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methods"/>
    <w:p>
      <w:pPr>
        <w:pStyle w:val="Heading1"/>
      </w:pPr>
      <w:r>
        <w:t xml:space="preserve">Methods</w:t>
      </w:r>
    </w:p>
    <w:bookmarkStart w:id="9" w:name="data-source-and-problem-statement"/>
    <w:p>
      <w:pPr>
        <w:pStyle w:val="Heading2"/>
      </w:pPr>
      <w:r>
        <w:t xml:space="preserve">Data Source and Problem Statement</w:t>
      </w:r>
    </w:p>
    <w:p>
      <w:pPr>
        <w:pStyle w:val="FirstParagraph"/>
      </w:pPr>
      <w:r>
        <w:t xml:space="preserve">We analyzed 759,774 cardiovascular drug-drug interaction (DDI) pairs from DrugBank v5.1.9. Initial classification using zero-shot BART-MNLI (</w:t>
      </w:r>
      <w:r>
        <w:rPr>
          <w:rStyle w:val="VerbatimChar"/>
        </w:rPr>
        <w:t xml:space="preserve">facebook/bart-large-mnli</w:t>
      </w:r>
      <w:r>
        <w:t xml:space="preserve">), a 400M-parameter transformer framing severity as textual entailment, revealed severe over-classification bias: 56.9% predicted as Contraindicated and 43.0% as Major—far exceeding clinically expected distributions.</w:t>
      </w:r>
    </w:p>
    <w:bookmarkEnd w:id="9"/>
    <w:bookmarkStart w:id="10" w:name="severity-recalibration-framework"/>
    <w:p>
      <w:pPr>
        <w:pStyle w:val="Heading2"/>
      </w:pPr>
      <w:r>
        <w:t xml:space="preserve">Severity Recalibration Framework</w:t>
      </w:r>
    </w:p>
    <w:p>
      <w:pPr>
        <w:pStyle w:val="FirstParagraph"/>
      </w:pPr>
      <w:r>
        <w:t xml:space="preserve">We derived target severity distributions from DDInter, a literature-curated DDI database with peer-reviewed severity annotations</w:t>
      </w:r>
      <w:r>
        <w:t xml:space="preserve"> </w:t>
      </w:r>
      <w:r>
        <w:t xml:space="preserve">. We matched 37,164 cardiovascular/antithrombotic DDI pairs between our DrugBank dataset and DDInter. The matched subset showed: Major 22.1%, Moderate 73.5%, Minor 4.4%. DDInter uses a three-level scheme without a distinct Contraindicated category.</w:t>
      </w:r>
    </w:p>
    <w:p>
      <w:pPr>
        <w:pStyle w:val="BodyText"/>
      </w:pPr>
      <w:r>
        <w:rPr>
          <w:b/>
          <w:bCs/>
        </w:rPr>
        <w:t xml:space="preserve">Target Selection:</w:t>
      </w:r>
      <w:r>
        <w:t xml:space="preserve"> </w:t>
      </w:r>
      <w:r>
        <w:t xml:space="preserve">We aligned targets with DDInter’s matched CV/AT distribution. To split DDInter’s Major (22%) into Contraindicated vs. Major, we queried FAERS pharmacovigilance data</w:t>
      </w:r>
      <w:r>
        <w:t xml:space="preserve"> </w:t>
      </w:r>
      <w:r>
        <w:t xml:space="preserve"> </w:t>
      </w:r>
      <w:r>
        <w:t xml:space="preserve">for all 4,314 cardiovascular/antithrombotic drugs in our dataset: from 116,087 multi-drug adverse event reports involving these specific drugs, death/life-threatening outcomes comprised 20.6% of serious events. Applying this ratio: Contraindicated</w:t>
      </w:r>
      <w:r>
        <w:t xml:space="preserve"> </w:t>
      </w:r>
      <m:oMath>
        <m:r>
          <m:rPr>
            <m:sty m:val="p"/>
          </m:rPr>
          <m:t>≈</m:t>
        </m:r>
      </m:oMath>
      <w:r>
        <w:t xml:space="preserve"> </w:t>
      </w:r>
      <w:r>
        <w:t xml:space="preserve">4%, Major</w:t>
      </w:r>
      <w:r>
        <w:t xml:space="preserve"> </w:t>
      </w:r>
      <m:oMath>
        <m:r>
          <m:rPr>
            <m:sty m:val="p"/>
          </m:rPr>
          <m:t>≈</m:t>
        </m:r>
      </m:oMath>
      <w:r>
        <w:t xml:space="preserve"> </w:t>
      </w:r>
      <w:r>
        <w:t xml:space="preserve">18%. Final targets: Contraindicated 4%, Major 18%, Moderate 74%, Minor 4%.</w:t>
      </w:r>
    </w:p>
    <w:p>
      <w:pPr>
        <w:pStyle w:val="BodyText"/>
      </w:pPr>
      <w:r>
        <w:t xml:space="preserve">We evaluated four classification approaches:</w:t>
      </w:r>
    </w:p>
    <w:p>
      <w:pPr>
        <w:pStyle w:val="BodyText"/>
      </w:pPr>
      <w:r>
        <w:rPr>
          <w:b/>
          <w:bCs/>
        </w:rPr>
        <w:t xml:space="preserve">(1) Zero-Shot BART-MNLI:</w:t>
      </w:r>
      <w:r>
        <w:t xml:space="preserve"> </w:t>
      </w:r>
      <w:r>
        <w:t xml:space="preserve">Direct transformer classification using</w:t>
      </w:r>
      <w:r>
        <w:t xml:space="preserve"> </w:t>
      </w:r>
      <w:r>
        <w:rPr>
          <w:rStyle w:val="VerbatimChar"/>
        </w:rPr>
        <w:t xml:space="preserve">facebook/bart-large-mnli</w:t>
      </w:r>
      <w:r>
        <w:t xml:space="preserve"> </w:t>
      </w:r>
      <w:r>
        <w:t xml:space="preserve">, a 400M-parameter natural language inference model. Severity classification is framed as textual entailment: each DDI description serves as the</w:t>
      </w:r>
      <w:r>
        <w:t xml:space="preserve"> </w:t>
      </w:r>
      <w:r>
        <w:rPr>
          <w:i/>
          <w:iCs/>
        </w:rPr>
        <w:t xml:space="preserve">premise</w:t>
      </w:r>
      <w:r>
        <w:t xml:space="preserve">, tested against four</w:t>
      </w:r>
      <w:r>
        <w:t xml:space="preserve"> </w:t>
      </w:r>
      <w:r>
        <w:rPr>
          <w:i/>
          <w:iCs/>
        </w:rPr>
        <w:t xml:space="preserve">hypotheses</w:t>
      </w:r>
      <w:r>
        <w:t xml:space="preserve"> </w:t>
      </w:r>
      <w:r>
        <w:t xml:space="preserve">(</w:t>
      </w:r>
      <w:r>
        <w:t xml:space="preserve">“This interaction is contraindicated/major/moderate/minor”</w:t>
      </w:r>
      <w:r>
        <w:t xml:space="preserve">). The highest-probability class is assigned. No post-processing applied.</w:t>
      </w:r>
    </w:p>
    <w:p>
      <w:pPr>
        <w:pStyle w:val="BodyText"/>
      </w:pPr>
      <w:r>
        <w:rPr>
          <w:b/>
          <w:bCs/>
        </w:rPr>
        <w:t xml:space="preserve">(2) Confidence-Weighted:</w:t>
      </w:r>
      <w:r>
        <w:t xml:space="preserve"> </w:t>
      </w:r>
      <w:r>
        <w:t xml:space="preserve">Extends Zero-Shot by downgrading high-severity predictions (Contraindicated, Major) when model confidence is low (</w:t>
      </w:r>
      <m:oMath>
        <m:r>
          <m:rPr>
            <m:sty m:val="p"/>
          </m:rPr>
          <m:t>&lt;</m:t>
        </m:r>
      </m:oMath>
      <w:r>
        <w:t xml:space="preserve">65%), as formalized in Supplementary S1.</w:t>
      </w:r>
    </w:p>
    <w:p>
      <w:pPr>
        <w:pStyle w:val="BodyText"/>
      </w:pPr>
      <w:r>
        <w:rPr>
          <w:b/>
          <w:bCs/>
        </w:rPr>
        <w:t xml:space="preserve">(3) Rule-Based Classifier:</w:t>
      </w:r>
      <w:r>
        <w:t xml:space="preserve"> </w:t>
      </w:r>
      <w:r>
        <w:t xml:space="preserve">Severity assigned based on clinical keyword pattern matching. We matched 37,164 DDI pairs between DrugBank (which provides interaction descriptions) and DDInter (which provides expert-validated severity labels but no descriptions). Keyword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were</w:t>
      </w:r>
      <w:r>
        <w:t xml:space="preserve"> </w:t>
      </w:r>
      <w:r>
        <w:rPr>
          <w:b/>
          <w:bCs/>
        </w:rPr>
        <w:t xml:space="preserve">empirically derived</w:t>
      </w:r>
      <w:r>
        <w:t xml:space="preserve"> </w:t>
      </w:r>
      <w:r>
        <w:t xml:space="preserve">using log-likelihood ratios computed from a 70/30 train/test split (training n=26,014, test n=11,150). Keywords predictive of Major (e.g.,</w:t>
      </w:r>
      <w:r>
        <w:t xml:space="preserve"> </w:t>
      </w:r>
      <w:r>
        <w:t xml:space="preserve">“prolongation”</w:t>
      </w:r>
      <w:r>
        <w:t xml:space="preserve"> </w:t>
      </w:r>
      <w:r>
        <w:t xml:space="preserve">+1.45,</w:t>
      </w:r>
      <w:r>
        <w:t xml:space="preserve"> </w:t>
      </w:r>
      <w:r>
        <w:t xml:space="preserve">“bleeding”</w:t>
      </w:r>
      <w:r>
        <w:t xml:space="preserve"> </w:t>
      </w:r>
      <w:r>
        <w:t xml:space="preserve">+1.03) receive positive weights; those predictive of Moderate/Minor (e.g.,</w:t>
      </w:r>
      <w:r>
        <w:t xml:space="preserve"> </w:t>
      </w:r>
      <w:r>
        <w:t xml:space="preserve">“therapeutic”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1.20,</w:t>
      </w:r>
      <w:r>
        <w:t xml:space="preserve"> </w:t>
      </w:r>
      <w:r>
        <w:t xml:space="preserve">“efficacy”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1.27) receive negative weights. Final severity is assigned by comparing the aggregate score against percentile thresholds derived from training data (equations, weight derivation algorithm, and classification pseudocode detailed in Supplementary S1).</w:t>
      </w:r>
    </w:p>
    <w:p>
      <w:pPr>
        <w:pStyle w:val="BodyText"/>
      </w:pPr>
      <w:r>
        <w:rPr>
          <w:b/>
          <w:bCs/>
        </w:rPr>
        <w:t xml:space="preserve">(4) Evidence-Based Classifier:</w:t>
      </w:r>
      <w:r>
        <w:t xml:space="preserve"> </w:t>
      </w:r>
      <w:r>
        <w:t xml:space="preserve">A hybrid framework combining the empirically-derived keyword weights from Rule-Based with confidence-based penalization. Uses identical weights derived from DDInter training data. Scores are reduced by 20% for predictions with base classifier confidence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50%. Final classification uses the same percentile-based thresholds as Rule-Based.</w:t>
      </w:r>
    </w:p>
    <w:p>
      <w:pPr>
        <w:pStyle w:val="BodyText"/>
      </w:pPr>
      <w:r>
        <w:t xml:space="preserve">Both classifiers produce our target 4-class distribution (Contraindicated 4%/Major 18%/Moderate 74%/Minor 4%). For DDInter validation, Contraindicated is mapped to Major (Supplementary S2–S4).</w:t>
      </w:r>
    </w:p>
    <w:bookmarkEnd w:id="10"/>
    <w:bookmarkStart w:id="11" w:name="external-validation"/>
    <w:p>
      <w:pPr>
        <w:pStyle w:val="Heading2"/>
      </w:pPr>
      <w:r>
        <w:t xml:space="preserve">External Validation</w:t>
      </w:r>
    </w:p>
    <w:p>
      <w:pPr>
        <w:pStyle w:val="FirstParagraph"/>
      </w:pPr>
      <w:r>
        <w:t xml:space="preserve">We validated against DDInter</w:t>
      </w:r>
      <w:r>
        <w:t xml:space="preserve"> </w:t>
      </w:r>
      <w:r>
        <w:t xml:space="preserve">, a literature-curated database with expert-validated severity annotations independent of our classification methodology (Xiong et al.,</w:t>
      </w:r>
      <w:r>
        <w:t xml:space="preserve"> </w:t>
      </w:r>
      <w:r>
        <w:rPr>
          <w:i/>
          <w:iCs/>
        </w:rPr>
        <w:t xml:space="preserve">Nucleic Acids Research</w:t>
      </w:r>
      <w:r>
        <w:t xml:space="preserve">, 2022). Drug name matching yielded 37,164 validated pairs after filtering Unknown labels.</w:t>
      </w:r>
    </w:p>
    <w:p>
      <w:pPr>
        <w:pStyle w:val="BodyText"/>
      </w:pPr>
      <w:r>
        <w:rPr>
          <w:b/>
          <w:bCs/>
        </w:rPr>
        <w:t xml:space="preserve">Severity Mapping:</w:t>
      </w:r>
      <w:r>
        <w:t xml:space="preserve"> </w:t>
      </w:r>
      <w:r>
        <w:t xml:space="preserve">DDInter uses three severity levels (Major/Moderate/Minor) without a Contraindicated category. For validation, we combined our Contraindicated and Major predictions into a single</w:t>
      </w:r>
      <w:r>
        <w:t xml:space="preserve"> </w:t>
      </w:r>
      <w:r>
        <w:t xml:space="preserve">“Major”</w:t>
      </w:r>
      <w:r>
        <w:t xml:space="preserve"> </w:t>
      </w:r>
      <w:r>
        <w:t xml:space="preserve">category to match DDInter’s schema.</w:t>
      </w:r>
    </w:p>
    <w:bookmarkEnd w:id="11"/>
    <w:bookmarkStart w:id="12" w:name="evaluation-metrics-and-method-selection"/>
    <w:p>
      <w:pPr>
        <w:pStyle w:val="Heading2"/>
      </w:pPr>
      <w:r>
        <w:t xml:space="preserve">Evaluation Metrics and Method Selection</w:t>
      </w:r>
    </w:p>
    <w:p>
      <w:pPr>
        <w:pStyle w:val="FirstParagraph"/>
      </w:pPr>
      <w:r>
        <w:t xml:space="preserve">We evaluated all four classification approaches using three metrics: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Exact Accuracy:</w:t>
      </w:r>
      <w:r>
        <w:t xml:space="preserve"> </w:t>
      </w:r>
      <w:r>
        <w:t xml:space="preserve">Percentage of predictions matching DDInter’s severity label exactly: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Exact Acc.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b"/>
                </m:rPr>
                <m:t>1</m:t>
              </m:r>
            </m:e>
          </m:nary>
          <m:r>
            <m:rPr>
              <m:sty m:val="p"/>
            </m:rPr>
            <m:t>[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]</m:t>
          </m:r>
        </m:oMath>
      </m:oMathPara>
    </w:p>
    <w:p>
      <w:pPr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predicted severity 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DDInter ground truth label for DDI pair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Adjacent Accuracy:</w:t>
      </w:r>
      <w:r>
        <w:t xml:space="preserve"> </w:t>
      </w:r>
      <w:r>
        <w:t xml:space="preserve">Percentage of predictions within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1 severity level of ground truth: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Adjacent Acc.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b"/>
                </m:rPr>
                <m:t>1</m:t>
              </m:r>
            </m:e>
          </m:nary>
          <m:r>
            <m:rPr>
              <m:sty m:val="p"/>
            </m:rPr>
            <m:t>[</m:t>
          </m:r>
          <m:r>
            <m:rPr>
              <m:sty m:val="p"/>
            </m:rPr>
            <m:t>|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]</m:t>
          </m:r>
        </m:oMath>
      </m:oMathPara>
    </w:p>
    <w:p>
      <w:pPr>
        <w:numPr>
          <w:ilvl w:val="0"/>
          <w:numId w:val="1000"/>
        </w:numPr>
      </w:pPr>
      <w:r>
        <w:t xml:space="preserve">where severity levels are encoded as integers (Minor=0, Moderate=1, Major=2).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Cohen’s</w:t>
      </w:r>
      <w:r>
        <w:rPr>
          <w:b/>
          <w:bCs/>
        </w:rPr>
        <w:t xml:space="preserve"> </w:t>
      </w:r>
      <m:oMath>
        <m:r>
          <m:t>κ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Inter-rater agreement beyond chance:</w:t>
      </w:r>
    </w:p>
    <w:p>
      <w:pPr>
        <w:pStyle w:val="BodyText"/>
      </w:pPr>
      <m:oMathPara>
        <m:oMathParaPr>
          <m:jc m:val="center"/>
        </m:oMathParaPr>
        <m:oMath>
          <m:r>
            <m:t>κ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</m:oMath>
      </m:oMathPara>
    </w:p>
    <w:p>
      <w:pPr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is observed agreement (exact accuracy) and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c</m:t>
            </m:r>
          </m:sub>
          <m:sup>
            <m:r>
              <m:t>​</m:t>
            </m:r>
          </m:sup>
          <m:e>
            <m:r>
              <m:t>P</m:t>
            </m:r>
          </m:e>
        </m:nary>
        <m:r>
          <m:rPr>
            <m:sty m:val="p"/>
          </m:rPr>
          <m:t>(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expected agreement by chance. Values:</w:t>
      </w:r>
      <w:r>
        <w:t xml:space="preserve"> </w:t>
      </w:r>
      <m:oMath>
        <m:r>
          <m:t>κ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indicates agreement better than random,</w:t>
      </w:r>
      <w:r>
        <w:t xml:space="preserve"> </w:t>
      </w:r>
      <m:oMath>
        <m:r>
          <m:t>κ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chance-level,</w:t>
      </w:r>
      <w:r>
        <w:t xml:space="preserve"> </w:t>
      </w:r>
      <m:oMath>
        <m:r>
          <m:t>κ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systematic disagreement.</w:t>
      </w:r>
    </w:p>
    <w:p>
      <w:pPr>
        <w:pStyle w:val="FirstParagraph"/>
      </w:pPr>
      <w:r>
        <w:t xml:space="preserve">Method selection prioritized exact accuracy as the primary metric, with Cohen’s</w:t>
      </w:r>
      <w:r>
        <w:t xml:space="preserve"> </w:t>
      </w:r>
      <m:oMath>
        <m:r>
          <m:t>κ</m:t>
        </m:r>
      </m:oMath>
      <w:r>
        <w:t xml:space="preserve"> </w:t>
      </w:r>
      <w:r>
        <w:t xml:space="preserve">as the secondary criterion for distinguishing methods with similar accuracy. The best-performing method was selected for final severity recalibration of the full DrugBank dataset.</w:t>
      </w:r>
    </w:p>
    <w:bookmarkEnd w:id="12"/>
    <w:bookmarkEnd w:id="13"/>
    <w:bookmarkStart w:id="18" w:name="results"/>
    <w:p>
      <w:pPr>
        <w:pStyle w:val="Heading1"/>
      </w:pPr>
      <w:r>
        <w:t xml:space="preserve">Results</w:t>
      </w:r>
    </w:p>
    <w:bookmarkStart w:id="15" w:name="method-comparison"/>
    <w:p>
      <w:pPr>
        <w:pStyle w:val="Heading2"/>
      </w:pPr>
      <w:r>
        <w:t xml:space="preserve">Method Comparison</w:t>
      </w:r>
    </w:p>
    <w:p>
      <w:pPr>
        <w:pStyle w:val="FirstParagraph"/>
      </w:pPr>
      <w:r>
        <w:t xml:space="preserve">We evaluated all methods using proper train/test split validation (70%/30%). The Rule-Based classifier with empirically-derived weights achieved 52.1% exact accuracy on the held-out test set (n=11,150), with 98.6% adjacent accuracy and Cohen’s</w:t>
      </w:r>
      <w:r>
        <w:t xml:space="preserve"> </w:t>
      </w:r>
      <m:oMath>
        <m:r>
          <m:t>κ</m:t>
        </m:r>
      </m:oMath>
      <w:r>
        <w:t xml:space="preserve">=+0.071 (Table </w:t>
      </w:r>
      <w:hyperlink w:anchor="tab:methods">
        <w:r>
          <w:rPr>
            <w:rStyle w:val="Hyperlink"/>
          </w:rPr>
          <w:t xml:space="preserve">1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Score-Severity Correlation:</w:t>
      </w:r>
      <w:r>
        <w:t xml:space="preserve"> </w:t>
      </w:r>
      <w:r>
        <w:t xml:space="preserve">The keyword scoring successfully discriminated severity levels. Mean scores by DDInter ground truth: Major (+0.94), Moderate (+0.09), Minor (</w:t>
      </w:r>
      <m:oMath>
        <m:r>
          <m:rPr>
            <m:sty m:val="p"/>
          </m:rPr>
          <m:t>−</m:t>
        </m:r>
      </m:oMath>
      <w:r>
        <w:t xml:space="preserve">0.27)—demonstrating that empirically-derived weights capture meaningful severity signals. However, substantial within-class variance (std</w:t>
      </w:r>
      <w:r>
        <w:t xml:space="preserve"> </w:t>
      </w:r>
      <m:oMath>
        <m:r>
          <m:rPr>
            <m:sty m:val="p"/>
          </m:rPr>
          <m:t>≈</m:t>
        </m:r>
      </m:oMath>
      <w:r>
        <w:t xml:space="preserve">1.3–1.5) limits classification accuracy.</w:t>
      </w:r>
    </w:p>
    <w:p>
      <w:pPr>
        <w:pStyle w:val="BodyText"/>
      </w:pPr>
      <w:r>
        <w:rPr>
          <w:b/>
          <w:bCs/>
        </w:rPr>
        <w:t xml:space="preserve">Per-Class Recall:</w:t>
      </w:r>
      <w:r>
        <w:t xml:space="preserve"> </w:t>
      </w:r>
      <w:r>
        <w:t xml:space="preserve">Major 49.8%, Moderate 55.2%, Minor 11.4%. The classifier correctly identifies approximately half of Major interactions, though Minor interactions remain challenging due to their low prevalence (4.4% of test set).</w:t>
      </w:r>
    </w:p>
    <w:p>
      <w:pPr>
        <w:pStyle w:val="BodyText"/>
      </w:pPr>
      <w:r>
        <w:t xml:space="preserve">Zero-Shot BART-MNLI and Confidence-Weighted both achieved 22.1% accuracy with</w:t>
      </w:r>
      <w:r>
        <w:t xml:space="preserve"> </w:t>
      </w:r>
      <m:oMath>
        <m:r>
          <m:t>κ</m:t>
        </m:r>
      </m:oMath>
      <w:r>
        <w:t xml:space="preserve">=0.000, reflecting their bias toward over-classifying all interactions as Major (</w:t>
      </w:r>
      <m:oMath>
        <m:r>
          <m:rPr>
            <m:sty m:val="p"/>
          </m:rPr>
          <m:t>&gt;</m:t>
        </m:r>
      </m:oMath>
      <w:r>
        <w:t xml:space="preserve">99% Major predictions).</w:t>
      </w:r>
    </w:p>
    <w:bookmarkStart w:id="14" w:name="tab:methods"/>
    <w:p>
      <w:pPr>
        <w:pStyle w:val="TableCaption"/>
      </w:pPr>
      <w:r>
        <w:t xml:space="preserve">Method Performance Comparison (DDInter Validation, test set n=11,150)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Method Performance Comparison (DDInter Validation, test set n=11,150)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Method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Exact Acc.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Adjacent Acc.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Cohen’s</w:t>
            </w:r>
            <w:r>
              <w:rPr>
                <w:b/>
                <w:bCs/>
              </w:rPr>
              <w:t xml:space="preserve"> </w:t>
            </w:r>
            <m:oMath>
              <m:r>
                <m:t>κ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Zero-Shot BART-MNLI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22.1%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95.6%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Confidence-Weighted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22.1%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95.6%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Rule-Based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52.1%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98.6%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+0.071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Evidence-Based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52.1%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98.6%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+0.071</w:t>
            </w:r>
          </w:p>
        </w:tc>
      </w:tr>
    </w:tbl>
    <w:bookmarkEnd w:id="14"/>
    <w:bookmarkEnd w:id="15"/>
    <w:bookmarkStart w:id="17" w:name="distribution-alignment"/>
    <w:p>
      <w:pPr>
        <w:pStyle w:val="Heading2"/>
      </w:pPr>
      <w:r>
        <w:t xml:space="preserve">Distribution Alignment</w:t>
      </w:r>
    </w:p>
    <w:p>
      <w:pPr>
        <w:pStyle w:val="FirstParagraph"/>
      </w:pPr>
      <w:r>
        <w:t xml:space="preserve">Recalibration achieved exact alignment with target distributions (Table </w:t>
      </w:r>
      <w:hyperlink w:anchor="tab:dist">
        <w:r>
          <w:rPr>
            <w:rStyle w:val="Hyperlink"/>
          </w:rPr>
          <w:t xml:space="preserve">2</w:t>
        </w:r>
      </w:hyperlink>
      <w:r>
        <w:t xml:space="preserve">): Jensen-Shannon divergence decreased from 0.847 to 0.000, with 714,290 predictions (94%) modified. GPU-accelerated processing achieved 15,454 interactions/second (759,774 DDIs in 49s), demonstrating scalability for clinical deployment. Validation details in Supplementary S7–S9.</w:t>
      </w:r>
    </w:p>
    <w:bookmarkStart w:id="16" w:name="tab:dist"/>
    <w:p>
      <w:pPr>
        <w:pStyle w:val="TableCaption"/>
      </w:pPr>
      <w:r>
        <w:t xml:space="preserve">Severity Distribution: Original vs. Recalibrated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everity Distribution: Original vs. Recalibrated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Severity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Original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Recalibrated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Contraindicated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56.9%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Major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&lt;</m:t>
              </m:r>
            </m:oMath>
            <w:r>
              <w:t xml:space="preserve">0.1%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4%</w:t>
            </w:r>
          </w:p>
        </w:tc>
      </w:tr>
    </w:tbl>
    <w:bookmarkEnd w:id="16"/>
    <w:p>
      <w:pPr>
        <w:pStyle w:val="BodyText"/>
      </w:pPr>
      <w:r>
        <w:t xml:space="preserve">99</w:t>
      </w:r>
    </w:p>
    <w:p>
      <w:pPr>
        <w:pStyle w:val="BodyText"/>
      </w:pPr>
      <w:r>
        <w:t xml:space="preserve">Joglar JA, Chung MK, Armbruster AL, et al.</w:t>
      </w:r>
      <w:r>
        <w:t xml:space="preserve"> </w:t>
      </w:r>
      <w:r>
        <w:t xml:space="preserve">2023 ACC/AHA/ACCP/HRS Guideline for the Diagnosis and Management of Atrial Fibrillation.</w:t>
      </w:r>
      <w:r>
        <w:t xml:space="preserve"> </w:t>
      </w:r>
      <w:r>
        <w:rPr>
          <w:i/>
          <w:iCs/>
        </w:rPr>
        <w:t xml:space="preserve">J Am Coll Cardiol</w:t>
      </w:r>
      <w:r>
        <w:t xml:space="preserve">. 2024;83(1):109-279. PMID: 38043043.</w:t>
      </w:r>
    </w:p>
    <w:p>
      <w:pPr>
        <w:pStyle w:val="BodyText"/>
      </w:pPr>
      <w:r>
        <w:t xml:space="preserve">January CT, Wann LS, Calkins H, et al.</w:t>
      </w:r>
      <w:r>
        <w:t xml:space="preserve"> </w:t>
      </w:r>
      <w:r>
        <w:t xml:space="preserve">2019 AHA/ACC/HRS Focused Update of the 2014 AHA/ACC/HRS Guideline for the Management of Patients With Atrial Fibrillation.</w:t>
      </w:r>
      <w:r>
        <w:t xml:space="preserve"> </w:t>
      </w:r>
      <w:r>
        <w:rPr>
          <w:i/>
          <w:iCs/>
        </w:rPr>
        <w:t xml:space="preserve">J Am Coll Cardiol</w:t>
      </w:r>
      <w:r>
        <w:t xml:space="preserve">. 2019;74(1):104-132. PMID: 30703431.</w:t>
      </w:r>
    </w:p>
    <w:p>
      <w:pPr>
        <w:pStyle w:val="BodyText"/>
      </w:pPr>
      <w:r>
        <w:t xml:space="preserve">Beavers CJ, Rodgers JE, Bagnola AJ, et al.</w:t>
      </w:r>
      <w:r>
        <w:t xml:space="preserve"> </w:t>
      </w:r>
      <w:r>
        <w:t xml:space="preserve">Cardio-Oncology Drug Interactions: A Scientific Statement From the American Heart Association.</w:t>
      </w:r>
      <w:r>
        <w:t xml:space="preserve"> </w:t>
      </w:r>
      <w:r>
        <w:rPr>
          <w:i/>
          <w:iCs/>
        </w:rPr>
        <w:t xml:space="preserve">Circulation</w:t>
      </w:r>
      <w:r>
        <w:t xml:space="preserve">. 2022;145(15):e811-e838. PMID: 35249373.</w:t>
      </w:r>
    </w:p>
    <w:p>
      <w:pPr>
        <w:pStyle w:val="BodyText"/>
      </w:pPr>
      <w:r>
        <w:t xml:space="preserve">Chung MK, Eckhardt LL, Chen LY, et al.</w:t>
      </w:r>
      <w:r>
        <w:t xml:space="preserve"> </w:t>
      </w:r>
      <w:r>
        <w:t xml:space="preserve">Lifestyle and Risk Factor Modification for Reduction of Atrial Fibrillation: A Scientific Statement From the American Heart Association.</w:t>
      </w:r>
      <w:r>
        <w:t xml:space="preserve"> </w:t>
      </w:r>
      <w:r>
        <w:rPr>
          <w:i/>
          <w:iCs/>
        </w:rPr>
        <w:t xml:space="preserve">Circulation</w:t>
      </w:r>
      <w:r>
        <w:t xml:space="preserve">. 2020;141(16):e750-e772. PMID: 32148086.</w:t>
      </w:r>
    </w:p>
    <w:p>
      <w:pPr>
        <w:pStyle w:val="BodyText"/>
      </w:pPr>
      <w:r>
        <w:t xml:space="preserve">U.S. Food and Drug Administration.</w:t>
      </w:r>
      <w:r>
        <w:t xml:space="preserve"> </w:t>
      </w:r>
      <w:r>
        <w:t xml:space="preserve">FDA Adverse Event Reporting System (FAERS) Public Dashboard.</w:t>
      </w:r>
      <w:r>
        <w:t xml:space="preserve"> </w:t>
      </w:r>
      <w:r>
        <w:t xml:space="preserve">Accessed January 2024. Available at: https://www.fda.gov/drugs/fda-adverse-event-reporting-system-faers</w:t>
      </w:r>
    </w:p>
    <w:p>
      <w:pPr>
        <w:pStyle w:val="BodyText"/>
      </w:pPr>
      <w:r>
        <w:t xml:space="preserve">U.S. Food and Drug Administration.</w:t>
      </w:r>
      <w:r>
        <w:t xml:space="preserve"> </w:t>
      </w:r>
      <w:r>
        <w:t xml:space="preserve">Drug Safety Communications: Anticoagulants and Cardiovascular Drugs.</w:t>
      </w:r>
      <w:r>
        <w:t xml:space="preserve"> </w:t>
      </w:r>
      <w:r>
        <w:t xml:space="preserve">Available at: https://www.fda.gov/drugs/drug-safety-and-availability</w:t>
      </w:r>
    </w:p>
    <w:p>
      <w:pPr>
        <w:pStyle w:val="BodyText"/>
      </w:pPr>
      <w:r>
        <w:t xml:space="preserve">Xiong G, Yang Z, Yi J, et al.</w:t>
      </w:r>
      <w:r>
        <w:t xml:space="preserve"> </w:t>
      </w:r>
      <w:r>
        <w:t xml:space="preserve">DDInter: an online drug-drug interaction database towards improving clinical decision-making and patient safety.</w:t>
      </w:r>
      <w:r>
        <w:t xml:space="preserve"> </w:t>
      </w:r>
      <w:r>
        <w:rPr>
          <w:i/>
          <w:iCs/>
        </w:rPr>
        <w:t xml:space="preserve">Nucleic Acids Res</w:t>
      </w:r>
      <w:r>
        <w:t xml:space="preserve">. 2022;50(D1):D1200-D1207. PMID: 34634800.</w:t>
      </w:r>
    </w:p>
    <w:p>
      <w:pPr>
        <w:pStyle w:val="BodyText"/>
      </w:pPr>
      <w:r>
        <w:t xml:space="preserve">Hazell L, Shakir SA.</w:t>
      </w:r>
      <w:r>
        <w:t xml:space="preserve"> </w:t>
      </w:r>
      <w:r>
        <w:t xml:space="preserve">Under-reporting of adverse drug reactions: a systematic review.</w:t>
      </w:r>
      <w:r>
        <w:t xml:space="preserve"> </w:t>
      </w:r>
      <w:r>
        <w:rPr>
          <w:i/>
          <w:iCs/>
        </w:rPr>
        <w:t xml:space="preserve">Drug Saf</w:t>
      </w:r>
      <w:r>
        <w:t xml:space="preserve">. 2006;29(5):385-396. PMID: 16689555.</w:t>
      </w:r>
    </w:p>
    <w:p>
      <w:pPr>
        <w:pStyle w:val="BodyText"/>
      </w:pPr>
      <w:r>
        <w:t xml:space="preserve">Mühlenfeld HM, Manzo C.</w:t>
      </w:r>
      <w:r>
        <w:t xml:space="preserve"> </w:t>
      </w:r>
      <w:r>
        <w:t xml:space="preserve">Drug interaction databases: critical appraisal and recommendations for use.</w:t>
      </w:r>
      <w:r>
        <w:t xml:space="preserve"> </w:t>
      </w:r>
      <w:r>
        <w:rPr>
          <w:i/>
          <w:iCs/>
        </w:rPr>
        <w:t xml:space="preserve">Drug Saf</w:t>
      </w:r>
      <w:r>
        <w:t xml:space="preserve">. 2007;30(3):245-263.</w:t>
      </w:r>
    </w:p>
    <w:p>
      <w:pPr>
        <w:pStyle w:val="BodyText"/>
      </w:pPr>
      <w:r>
        <w:t xml:space="preserve">Lewis M, Liu Y, Goyal N, et al.</w:t>
      </w:r>
      <w:r>
        <w:t xml:space="preserve"> </w:t>
      </w:r>
      <w:r>
        <w:t xml:space="preserve">BART: Denoising Sequence-to-Sequence Pre-training for Natural Language Generation, Translation, and Comprehension.</w:t>
      </w:r>
      <w:r>
        <w:t xml:space="preserve"> </w:t>
      </w:r>
      <w:r>
        <w:rPr>
          <w:i/>
          <w:iCs/>
        </w:rPr>
        <w:t xml:space="preserve">Proc ACL</w:t>
      </w:r>
      <w:r>
        <w:t xml:space="preserve">. 2020;7871-7880. arXiv:1910.13461.</w:t>
      </w:r>
    </w:p>
    <w:p>
      <w:pPr>
        <w:pStyle w:val="BodyText"/>
      </w:pPr>
      <w:r>
        <w:t xml:space="preserve">Reimers N, Gurevych I.</w:t>
      </w:r>
      <w:r>
        <w:t xml:space="preserve"> </w:t>
      </w:r>
      <w:r>
        <w:t xml:space="preserve">Sentence-BERT: Sentence Embeddings using Siamese BERT-Networks.</w:t>
      </w:r>
      <w:r>
        <w:t xml:space="preserve"> </w:t>
      </w:r>
      <w:r>
        <w:rPr>
          <w:i/>
          <w:iCs/>
        </w:rPr>
        <w:t xml:space="preserve">Proc EMNLP-IJCNLP</w:t>
      </w:r>
      <w:r>
        <w:t xml:space="preserve">. 2019;3982-3992. arXiv:1908.10084.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2026-02-22T00:46:04Z</dcterms:created>
  <dcterms:modified xsi:type="dcterms:W3CDTF">2026-02-22T00:46:04Z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