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Supplementary Materials</w:t>
      </w:r>
      <w:r>
        <w:br/>
      </w:r>
      <w:r>
        <w:t xml:space="preserve">GPU-Accelerated Semantic Severity Recalibration for Drug-Drug Interactions</w:t>
      </w:r>
    </w:p>
    <w:p>
      <w:pPr>
        <w:pStyle w:val="Author"/>
      </w:pPr>
      <w:r>
        <w:t xml:space="preserve">Anonymous Authors</w:t>
      </w:r>
    </w:p>
    <w:p>
      <w:pPr>
        <w:pStyle w:val="Date"/>
      </w:pPr>
      <w:r>
        <w:t xml:space="preserve">February 2026</w:t>
      </w:r>
    </w:p>
    <w:bookmarkStart w:id="14" w:name="X99a6b4abe14b366a292c92a6493ee7dcced71f7"/>
    <w:p>
      <w:pPr>
        <w:pStyle w:val="Heading1"/>
      </w:pPr>
      <w:r>
        <w:t xml:space="preserve">S0: Target Severity Distribution Derivation</w:t>
      </w:r>
    </w:p>
    <w:bookmarkStart w:id="10" w:name="s0.1-overview"/>
    <w:p>
      <w:pPr>
        <w:pStyle w:val="Heading2"/>
      </w:pPr>
      <w:r>
        <w:t xml:space="preserve">S0.1 Overview</w:t>
      </w:r>
    </w:p>
    <w:p>
      <w:pPr>
        <w:pStyle w:val="FirstParagraph"/>
      </w:pPr>
      <w:r>
        <w:t xml:space="preserve">We derived target severity distributions from DDInter, a literature-curated DDI database with peer-reviewed severity annotations (Table </w:t>
      </w:r>
      <w:hyperlink w:anchor="tab:derivation">
        <w:r>
          <w:rPr>
            <w:rStyle w:val="Hyperlink"/>
          </w:rPr>
          <w:t xml:space="preserve">1</w:t>
        </w:r>
      </w:hyperlink>
      <w:r>
        <w:t xml:space="preserve">).</w:t>
      </w:r>
    </w:p>
    <w:bookmarkStart w:id="9" w:name="tab:derivation"/>
    <w:p>
      <w:pPr>
        <w:pStyle w:val="TableCaption"/>
      </w:pPr>
      <w:r>
        <w:t xml:space="preserve">DDInter Evidence for Target Severity Distribution</w:t>
      </w:r>
    </w:p>
    <w:tbl>
      <w:tblPr>
        <w:tblStyle w:val="Table"/>
        <w:tblW w:type="auto" w:w="0"/>
        <w:tblLook w:firstRow="1" w:lastRow="0" w:firstColumn="0" w:lastColumn="0" w:noHBand="0" w:noVBand="0" w:val="0020"/>
        <w:tblCaption w:val="DDInter Evidence for Target Severity Distribution"/>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Data</w:t>
            </w:r>
          </w:p>
        </w:tc>
        <w:tc>
          <w:tcPr/>
          <w:p>
            <w:pPr>
              <w:pStyle w:val="Compact"/>
              <w:jc w:val="left"/>
            </w:pPr>
            <w:r>
              <w:rPr>
                <w:b/>
                <w:bCs/>
              </w:rPr>
              <w:t xml:space="preserve">Severity Levels</w:t>
            </w:r>
          </w:p>
        </w:tc>
      </w:tr>
      <w:tr>
        <w:tc>
          <w:tcPr/>
          <w:p>
            <w:pPr>
              <w:pStyle w:val="Compact"/>
              <w:jc w:val="left"/>
            </w:pPr>
            <w:r>
              <w:rPr>
                <w:b/>
                <w:bCs/>
              </w:rPr>
              <w:t xml:space="preserve">DDInter Database</w:t>
            </w:r>
          </w:p>
        </w:tc>
        <w:tc>
          <w:tcPr/>
          <w:p>
            <w:pPr>
              <w:pStyle w:val="Compact"/>
              <w:jc w:val="left"/>
            </w:pPr>
            <w:r>
              <w:t xml:space="preserve">37,164 matched CV/AT DDI pairs</w:t>
            </w:r>
          </w:p>
        </w:tc>
        <w:tc>
          <w:tcPr/>
          <w:p>
            <w:pPr>
              <w:pStyle w:val="Compact"/>
              <w:jc w:val="left"/>
            </w:pPr>
            <w:r>
              <w:t xml:space="preserve">Literature-validated labels: Major (22.1%), Moderate (73.5%), Minor (4.4%). No Contraindicated category.</w:t>
            </w:r>
          </w:p>
        </w:tc>
      </w:tr>
    </w:tbl>
    <w:bookmarkEnd w:id="9"/>
    <w:bookmarkEnd w:id="10"/>
    <w:bookmarkStart w:id="11" w:name="s0.2-ddinter-database"/>
    <w:p>
      <w:pPr>
        <w:pStyle w:val="Heading2"/>
      </w:pPr>
      <w:r>
        <w:t xml:space="preserve">S0.2 DDInter Database</w:t>
      </w:r>
    </w:p>
    <w:p>
      <w:pPr>
        <w:pStyle w:val="FirstParagraph"/>
      </w:pPr>
      <w:r>
        <w:t xml:space="preserve">DDInter is a publicly accessible, literature-curated DDI database with severity annotations derived from scientific literature, package inserts, and regulatory labels (Xiong et al.,</w:t>
      </w:r>
      <w:r>
        <w:t xml:space="preserve"> </w:t>
      </w:r>
      <w:r>
        <w:rPr>
          <w:i/>
          <w:iCs/>
        </w:rPr>
        <w:t xml:space="preserve">Nucleic Acids Research</w:t>
      </w:r>
      <w:r>
        <w:t xml:space="preserve">, 2022).</w:t>
      </w:r>
      <w:r>
        <w:t xml:space="preserve"> </w:t>
      </w:r>
      <w:r>
        <w:rPr>
          <w:b/>
          <w:bCs/>
        </w:rPr>
        <w:t xml:space="preserve">Importantly, DDInter provides drug pairs and severity labels but does not include interaction description text.</w:t>
      </w:r>
      <w:r>
        <w:t xml:space="preserve"> </w:t>
      </w:r>
      <w:r>
        <w:t xml:space="preserve">We matched 37,164 DDI pairs between our DrugBank cardiovascular/antithrombotic dataset (which provides descriptions) and DDInter (which provides severity labels) using exact drug name matching. The matched subset showed: Major 22.1%, Moderate 73.5%, Minor 4.4%. DDInter does not distinguish a Contraindicated category from Major.</w:t>
      </w:r>
    </w:p>
    <w:bookmarkEnd w:id="11"/>
    <w:bookmarkStart w:id="13" w:name="s0.3-target-distribution-selection"/>
    <w:p>
      <w:pPr>
        <w:pStyle w:val="Heading2"/>
      </w:pPr>
      <w:r>
        <w:t xml:space="preserve">S0.3 Target Distribution Selection</w:t>
      </w:r>
    </w:p>
    <w:p>
      <w:pPr>
        <w:pStyle w:val="FirstParagraph"/>
      </w:pPr>
      <w:r>
        <w:t xml:space="preserve">We aligned our targets with DDInter’s matched CV/AT distribution. Since DDInter lacks a Contraindicated category, we used FAERS pharmacovigilance data to split DDInter’s Major (22%) into Contraindicated and Major (Table </w:t>
      </w:r>
      <w:hyperlink w:anchor="tab:consensus">
        <w:r>
          <w:rPr>
            <w:rStyle w:val="Hyperlink"/>
          </w:rPr>
          <w:t xml:space="preserve">2</w:t>
        </w:r>
      </w:hyperlink>
      <w:r>
        <w:t xml:space="preserve">).</w:t>
      </w:r>
    </w:p>
    <w:p>
      <w:pPr>
        <w:pStyle w:val="BodyText"/>
      </w:pPr>
      <w:r>
        <w:rPr>
          <w:b/>
          <w:bCs/>
        </w:rPr>
        <w:t xml:space="preserve">Rationale for each target:</w:t>
      </w:r>
    </w:p>
    <w:p>
      <w:pPr>
        <w:numPr>
          <w:ilvl w:val="0"/>
          <w:numId w:val="1001"/>
        </w:numPr>
      </w:pPr>
      <w:r>
        <w:rPr>
          <w:b/>
          <w:bCs/>
        </w:rPr>
        <w:t xml:space="preserve">Contraindicated + Major (22%):</w:t>
      </w:r>
      <w:r>
        <w:t xml:space="preserve"> </w:t>
      </w:r>
      <w:r>
        <w:t xml:space="preserve">Matches DDInter’s Major (22.1%). To split this into Contraindicated vs. Major, we analyzed FAERS multi-drug adverse event reports where death/life-threatening outcomes comprised approximately 20% of serious events. Applying this ratio: Contraindicated</w:t>
      </w:r>
      <w:r>
        <w:t xml:space="preserve"> </w:t>
      </w:r>
      <m:oMath>
        <m:r>
          <m:rPr>
            <m:sty m:val="p"/>
          </m:rPr>
          <m:t>≈</m:t>
        </m:r>
      </m:oMath>
      <w:r>
        <w:t xml:space="preserve"> </w:t>
      </w:r>
      <w:r>
        <w:t xml:space="preserve">4%, Major</w:t>
      </w:r>
      <w:r>
        <w:t xml:space="preserve"> </w:t>
      </w:r>
      <m:oMath>
        <m:r>
          <m:rPr>
            <m:sty m:val="p"/>
          </m:rPr>
          <m:t>≈</m:t>
        </m:r>
      </m:oMath>
      <w:r>
        <w:t xml:space="preserve"> </w:t>
      </w:r>
      <w:r>
        <w:t xml:space="preserve">18%.</w:t>
      </w:r>
    </w:p>
    <w:p>
      <w:pPr>
        <w:numPr>
          <w:ilvl w:val="0"/>
          <w:numId w:val="1001"/>
        </w:numPr>
      </w:pPr>
      <w:r>
        <w:rPr>
          <w:b/>
          <w:bCs/>
        </w:rPr>
        <w:t xml:space="preserve">Moderate (74%):</w:t>
      </w:r>
      <w:r>
        <w:t xml:space="preserve"> </w:t>
      </w:r>
      <w:r>
        <w:t xml:space="preserve">Preserved from DDInter’s 73.5%.</w:t>
      </w:r>
    </w:p>
    <w:p>
      <w:pPr>
        <w:numPr>
          <w:ilvl w:val="0"/>
          <w:numId w:val="1001"/>
        </w:numPr>
      </w:pPr>
      <w:r>
        <w:rPr>
          <w:b/>
          <w:bCs/>
        </w:rPr>
        <w:t xml:space="preserve">Minor (4%):</w:t>
      </w:r>
      <w:r>
        <w:t xml:space="preserve"> </w:t>
      </w:r>
      <w:r>
        <w:t xml:space="preserve">Preserved from DDInter’s 4.4%.</w:t>
      </w:r>
    </w:p>
    <w:bookmarkStart w:id="12" w:name="tab:consensus"/>
    <w:p>
      <w:pPr>
        <w:pStyle w:val="TableCaption"/>
      </w:pPr>
      <w:r>
        <w:t xml:space="preserve">DDInter Evidence and Selected Targets</w:t>
      </w:r>
    </w:p>
    <w:tbl>
      <w:tblPr>
        <w:tblStyle w:val="Table"/>
        <w:tblW w:type="auto" w:w="0"/>
        <w:tblLook w:firstRow="1" w:lastRow="0" w:firstColumn="0" w:lastColumn="0" w:noHBand="0" w:noVBand="0" w:val="0020"/>
        <w:tblCaption w:val="DDInter Evidence and Selected Targets"/>
      </w:tblPr>
      <w:tblGrid>
        <w:gridCol w:w="2640"/>
        <w:gridCol w:w="2640"/>
        <w:gridCol w:w="2640"/>
      </w:tblGrid>
      <w:tr>
        <w:trPr>
          <w:tblHeader w:val="on"/>
        </w:trPr>
        <w:tc>
          <w:tcPr/>
          <w:p>
            <w:pPr>
              <w:pStyle w:val="Compact"/>
              <w:jc w:val="left"/>
            </w:pPr>
            <w:r>
              <w:rPr>
                <w:b/>
                <w:bCs/>
              </w:rPr>
              <w:t xml:space="preserve">Severity</w:t>
            </w:r>
          </w:p>
        </w:tc>
        <w:tc>
          <w:tcPr/>
          <w:p>
            <w:pPr>
              <w:pStyle w:val="Compact"/>
              <w:jc w:val="center"/>
            </w:pPr>
            <w:r>
              <w:rPr>
                <w:b/>
                <w:bCs/>
              </w:rPr>
              <w:t xml:space="preserve">DDInter (matched)</w:t>
            </w:r>
          </w:p>
        </w:tc>
        <w:tc>
          <w:tcPr/>
          <w:p>
            <w:pPr>
              <w:pStyle w:val="Compact"/>
              <w:jc w:val="center"/>
            </w:pPr>
            <w:r>
              <w:rPr>
                <w:b/>
                <w:bCs/>
              </w:rPr>
              <w:t xml:space="preserve">Selected Target</w:t>
            </w:r>
          </w:p>
        </w:tc>
      </w:tr>
      <w:tr>
        <w:tc>
          <w:tcPr/>
          <w:p>
            <w:pPr>
              <w:pStyle w:val="Compact"/>
              <w:jc w:val="left"/>
            </w:pPr>
            <w:r>
              <w:t xml:space="preserve">Contraindicated</w:t>
            </w:r>
          </w:p>
        </w:tc>
        <w:tc>
          <w:tcPr/>
          <w:p>
            <w:pPr>
              <w:pStyle w:val="Compact"/>
              <w:jc w:val="center"/>
            </w:pPr>
            <w:r>
              <w:t xml:space="preserve">Major: 22.1%</w:t>
            </w:r>
          </w:p>
        </w:tc>
        <w:tc>
          <w:tcPr/>
          <w:p>
            <w:pPr>
              <w:pStyle w:val="Compact"/>
              <w:jc w:val="center"/>
            </w:pPr>
            <w:r>
              <w:rPr>
                <w:b/>
                <w:bCs/>
              </w:rPr>
              <w:t xml:space="preserve">4%</w:t>
            </w:r>
          </w:p>
        </w:tc>
      </w:tr>
      <w:tr>
        <w:tc>
          <w:tcPr/>
          <w:p>
            <w:pPr>
              <w:pStyle w:val="Compact"/>
              <w:jc w:val="left"/>
            </w:pPr>
            <w:r>
              <w:t xml:space="preserve">Major</w:t>
            </w:r>
          </w:p>
        </w:tc>
        <w:tc>
          <w:tcPr/>
          <w:p>
            <w:pPr>
              <w:pStyle w:val="Compact"/>
              <w:jc w:val="center"/>
            </w:pPr>
            <w:r>
              <w:t xml:space="preserve">(combined)</w:t>
            </w:r>
          </w:p>
        </w:tc>
        <w:tc>
          <w:tcPr/>
          <w:p>
            <w:pPr>
              <w:pStyle w:val="Compact"/>
              <w:jc w:val="center"/>
            </w:pPr>
            <w:r>
              <w:rPr>
                <w:b/>
                <w:bCs/>
              </w:rPr>
              <w:t xml:space="preserve">18%</w:t>
            </w:r>
          </w:p>
        </w:tc>
      </w:tr>
      <w:tr>
        <w:tc>
          <w:tcPr/>
          <w:p>
            <w:pPr>
              <w:pStyle w:val="Compact"/>
              <w:jc w:val="left"/>
            </w:pPr>
            <w:r>
              <w:t xml:space="preserve">Moderate</w:t>
            </w:r>
          </w:p>
        </w:tc>
        <w:tc>
          <w:tcPr/>
          <w:p>
            <w:pPr>
              <w:pStyle w:val="Compact"/>
              <w:jc w:val="center"/>
            </w:pPr>
            <w:r>
              <w:t xml:space="preserve">73.5%</w:t>
            </w:r>
          </w:p>
        </w:tc>
        <w:tc>
          <w:tcPr/>
          <w:p>
            <w:pPr>
              <w:pStyle w:val="Compact"/>
              <w:jc w:val="center"/>
            </w:pPr>
            <w:r>
              <w:rPr>
                <w:b/>
                <w:bCs/>
              </w:rPr>
              <w:t xml:space="preserve">74%</w:t>
            </w:r>
          </w:p>
        </w:tc>
      </w:tr>
      <w:tr>
        <w:tc>
          <w:tcPr/>
          <w:p>
            <w:pPr>
              <w:pStyle w:val="Compact"/>
              <w:jc w:val="left"/>
            </w:pPr>
            <w:r>
              <w:t xml:space="preserve">Minor</w:t>
            </w:r>
          </w:p>
        </w:tc>
        <w:tc>
          <w:tcPr/>
          <w:p>
            <w:pPr>
              <w:pStyle w:val="Compact"/>
              <w:jc w:val="center"/>
            </w:pPr>
            <w:r>
              <w:t xml:space="preserve">4.4%</w:t>
            </w:r>
          </w:p>
        </w:tc>
        <w:tc>
          <w:tcPr/>
          <w:p>
            <w:pPr>
              <w:pStyle w:val="Compact"/>
              <w:jc w:val="center"/>
            </w:pPr>
            <w:r>
              <w:rPr>
                <w:b/>
                <w:bCs/>
              </w:rPr>
              <w:t xml:space="preserve">4%</w:t>
            </w:r>
          </w:p>
        </w:tc>
      </w:tr>
    </w:tbl>
    <w:bookmarkEnd w:id="12"/>
    <w:bookmarkEnd w:id="13"/>
    <w:bookmarkEnd w:id="14"/>
    <w:bookmarkStart w:id="26" w:name="s1-classification-methods"/>
    <w:p>
      <w:pPr>
        <w:pStyle w:val="Heading1"/>
      </w:pPr>
      <w:r>
        <w:t xml:space="preserve">S1: Classification Methods</w:t>
      </w:r>
    </w:p>
    <w:p>
      <w:pPr>
        <w:pStyle w:val="FirstParagraph"/>
      </w:pPr>
      <w:r>
        <w:t xml:space="preserve">This section provides detailed equations and algorithms for the classification approaches described in the main text: (1) Zero-Shot BART-MNLI, (2) Confidence-Weighted, (3) Rule-Based Classifier, and (4) Evidence-Based Classifier (Section S2).</w:t>
      </w:r>
    </w:p>
    <w:bookmarkStart w:id="15" w:name="s1.1-zero-shot-bart-mnli"/>
    <w:p>
      <w:pPr>
        <w:pStyle w:val="Heading2"/>
      </w:pPr>
      <w:r>
        <w:t xml:space="preserve">S1.1 Zero-Shot BART-MNLI</w:t>
      </w:r>
    </w:p>
    <w:p>
      <w:pPr>
        <w:pStyle w:val="FirstParagraph"/>
      </w:pPr>
      <w:r>
        <w:t xml:space="preserve">The Zero-Shot method uses</w:t>
      </w:r>
      <w:r>
        <w:t xml:space="preserve"> </w:t>
      </w:r>
      <w:r>
        <w:rPr>
          <w:rStyle w:val="VerbatimChar"/>
        </w:rPr>
        <w:t xml:space="preserve">facebook/bart-large-mnli</w:t>
      </w:r>
      <w:r>
        <w:t xml:space="preserve">, a 400M-parameter natural language inference model. Severity classification is framed as textual entailment: each DDI description serves as the</w:t>
      </w:r>
      <w:r>
        <w:t xml:space="preserve"> </w:t>
      </w:r>
      <w:r>
        <w:rPr>
          <w:i/>
          <w:iCs/>
        </w:rPr>
        <w:t xml:space="preserve">premise</w:t>
      </w:r>
      <w:r>
        <w:t xml:space="preserve">, tested against four</w:t>
      </w:r>
      <w:r>
        <w:t xml:space="preserve"> </w:t>
      </w:r>
      <w:r>
        <w:rPr>
          <w:i/>
          <w:iCs/>
        </w:rPr>
        <w:t xml:space="preserve">hypotheses</w:t>
      </w:r>
      <w:r>
        <w:t xml:space="preserve"> </w:t>
      </w:r>
      <w:r>
        <w:t xml:space="preserve">(</w:t>
      </w:r>
      <w:r>
        <w:t xml:space="preserve">“This interaction is contraindicated/major/moderate/minor”</w:t>
      </w:r>
      <w:r>
        <w:t xml:space="preserve">). The model outputs entailment probabilities; the highest-probability class is assigned:</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c</m:t>
              </m:r>
              <m:r>
                <m:rPr>
                  <m:sty m:val="p"/>
                </m:rPr>
                <m:t>∈</m:t>
              </m:r>
              <m:r>
                <m:rPr>
                  <m:scr m:val="script"/>
                  <m:sty m:val="p"/>
                </m:rPr>
                <m:t>C</m:t>
              </m:r>
            </m:lim>
          </m:limLow>
          <m:r>
            <m:t>P</m:t>
          </m:r>
          <m:r>
            <m:rPr>
              <m:sty m:val="p"/>
            </m:rPr>
            <m:t>(</m:t>
          </m:r>
          <m:r>
            <m:rPr>
              <m:nor/>
              <m:sty m:val="p"/>
            </m:rPr>
            <m:t>entailment</m:t>
          </m:r>
          <m:r>
            <m:rPr>
              <m:sty m:val="p"/>
            </m:rPr>
            <m:t>∣</m:t>
          </m:r>
          <m:r>
            <m:rPr>
              <m:nor/>
              <m:sty m:val="p"/>
            </m:rPr>
            <m:t>description</m:t>
          </m:r>
          <m:r>
            <m:rPr>
              <m:sty m:val="p"/>
            </m:rPr>
            <m:t>,</m:t>
          </m:r>
          <m:r>
            <m:t>c</m:t>
          </m:r>
          <m:r>
            <m:rPr>
              <m:sty m:val="p"/>
            </m:rPr>
            <m:t>)</m:t>
          </m:r>
        </m:oMath>
      </m:oMathPara>
    </w:p>
    <w:p>
      <w:pPr>
        <w:pStyle w:val="FirstParagraph"/>
      </w:pPr>
      <w:r>
        <w:t xml:space="preserve">where</w:t>
      </w:r>
      <w:r>
        <w:t xml:space="preserve"> </w:t>
      </w:r>
      <m:oMath>
        <m:r>
          <m:rPr>
            <m:scr m:val="script"/>
            <m:sty m:val="p"/>
          </m:rPr>
          <m:t>C</m:t>
        </m:r>
        <m:r>
          <m:rPr>
            <m:sty m:val="p"/>
          </m:rPr>
          <m:t>=</m:t>
        </m:r>
        <m:r>
          <m:rPr>
            <m:sty m:val="p"/>
          </m:rPr>
          <m:t>{</m:t>
        </m:r>
        <m:r>
          <m:rPr>
            <m:nor/>
            <m:sty m:val="p"/>
          </m:rPr>
          <m:t>Contraindicated, Major, Moderate, Minor</m:t>
        </m:r>
        <m:r>
          <m:rPr>
            <m:sty m:val="p"/>
          </m:rPr>
          <m:t>}</m:t>
        </m:r>
      </m:oMath>
      <w:r>
        <w:t xml:space="preserve">.</w:t>
      </w:r>
    </w:p>
    <w:bookmarkEnd w:id="15"/>
    <w:bookmarkStart w:id="16" w:name="s1.2-confidence-weighted-adjustment"/>
    <w:p>
      <w:pPr>
        <w:pStyle w:val="Heading2"/>
      </w:pPr>
      <w:r>
        <w:t xml:space="preserve">S1.2 Confidence-Weighted Adjustment</w:t>
      </w:r>
    </w:p>
    <w:p>
      <w:pPr>
        <w:pStyle w:val="FirstParagraph"/>
      </w:pPr>
      <w:r>
        <w:t xml:space="preserve">The Confidence-Weighted method extends Zero-Shot BART-MNLI by downgrading high-severity predictions when model confidence is low (</w:t>
      </w:r>
      <m:oMath>
        <m:r>
          <m:rPr>
            <m:sty m:val="p"/>
          </m:rPr>
          <m:t>&lt;</m:t>
        </m:r>
      </m:oMath>
      <w:r>
        <w:t xml:space="preserve">65%):</w:t>
      </w:r>
    </w:p>
    <w:p>
      <w:pPr>
        <w:pStyle w:val="BodyText"/>
      </w:pPr>
      <m:oMathPara>
        <m:oMathParaPr>
          <m:jc m:val="center"/>
        </m:oMathParaPr>
        <m:oMath>
          <m:sSub>
            <m:e>
              <m:r>
                <m:rPr>
                  <m:nor/>
                  <m:sty m:val="p"/>
                </m:rPr>
                <m:t>Severity</m:t>
              </m:r>
            </m:e>
            <m:sub>
              <m:r>
                <m:rPr>
                  <m:nor/>
                  <m:sty m:val="p"/>
                </m:rPr>
                <m:t>adj</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downgrade by 1 level</m:t>
                    </m:r>
                  </m:e>
                  <m:e>
                    <m:r>
                      <m:rPr>
                        <m:nor/>
                        <m:sty m:val="p"/>
                      </m:rPr>
                      <m:t>if </m:t>
                    </m:r>
                    <m:acc>
                      <m:accPr>
                        <m:chr m:val="̂"/>
                      </m:accPr>
                      <m:e>
                        <m:r>
                          <m:t>y</m:t>
                        </m:r>
                      </m:e>
                    </m:acc>
                    <m:r>
                      <m:rPr>
                        <m:sty m:val="p"/>
                      </m:rPr>
                      <m:t>∈</m:t>
                    </m:r>
                    <m:r>
                      <m:rPr>
                        <m:sty m:val="p"/>
                      </m:rPr>
                      <m:t>{</m:t>
                    </m:r>
                    <m:r>
                      <m:rPr>
                        <m:nor/>
                        <m:sty m:val="p"/>
                      </m:rPr>
                      <m:t>Contraindicated, Major</m:t>
                    </m:r>
                    <m:r>
                      <m:rPr>
                        <m:sty m:val="p"/>
                      </m:rPr>
                      <m:t>}</m:t>
                    </m:r>
                    <m:r>
                      <m:rPr>
                        <m:sty m:val="p"/>
                      </m:rPr>
                      <m:t>∧</m:t>
                    </m:r>
                    <m:r>
                      <m:t>c</m:t>
                    </m:r>
                    <m:r>
                      <m:rPr>
                        <m:sty m:val="p"/>
                      </m:rPr>
                      <m:t>&lt;</m:t>
                    </m:r>
                    <m:r>
                      <m:t>0.65</m:t>
                    </m:r>
                  </m:e>
                </m:mr>
                <m:mr>
                  <m:e>
                    <m:acc>
                      <m:accPr>
                        <m:chr m:val="̂"/>
                      </m:accPr>
                      <m:e>
                        <m:r>
                          <m:t>y</m:t>
                        </m:r>
                      </m:e>
                    </m:acc>
                  </m:e>
                  <m:e>
                    <m:r>
                      <m:rPr>
                        <m:nor/>
                        <m:sty m:val="p"/>
                      </m:rPr>
                      <m:t>otherwise</m:t>
                    </m:r>
                  </m:e>
                </m:mr>
              </m:m>
            </m:e>
          </m:d>
        </m:oMath>
      </m:oMathPara>
    </w:p>
    <w:p>
      <w:pPr>
        <w:pStyle w:val="FirstParagraph"/>
      </w:pPr>
      <w:r>
        <w:t xml:space="preserve">where</w:t>
      </w:r>
      <w:r>
        <w:t xml:space="preserve"> </w:t>
      </w:r>
      <m:oMath>
        <m:acc>
          <m:accPr>
            <m:chr m:val="̂"/>
          </m:accPr>
          <m:e>
            <m:r>
              <m:t>y</m:t>
            </m:r>
          </m:e>
        </m:acc>
      </m:oMath>
      <w:r>
        <w:t xml:space="preserve"> </w:t>
      </w:r>
      <w:r>
        <w:t xml:space="preserve">is the predicted severity and</w:t>
      </w:r>
      <w:r>
        <w:t xml:space="preserve"> </w:t>
      </w:r>
      <m:oMath>
        <m:r>
          <m:t>c</m:t>
        </m:r>
      </m:oMath>
      <w:r>
        <w:t xml:space="preserve"> </w:t>
      </w:r>
      <w:r>
        <w:t xml:space="preserve">is the model’s confidence score (maximum entailment probability).</w:t>
      </w:r>
    </w:p>
    <w:bookmarkEnd w:id="16"/>
    <w:bookmarkStart w:id="25" w:name="s1.3-rule-based-classifier"/>
    <w:p>
      <w:pPr>
        <w:pStyle w:val="Heading2"/>
      </w:pPr>
      <w:r>
        <w:t xml:space="preserve">S1.3 Rule-Based Classifier</w:t>
      </w:r>
    </w:p>
    <w:p>
      <w:pPr>
        <w:pStyle w:val="FirstParagraph"/>
      </w:pPr>
      <w:r>
        <w:t xml:space="preserve">The Rule-Based classifier assigns severity based on clinical keyword pattern matching in DDI descriptions. We matched 37,164 DDI pairs between DrugBank (which provides interaction descriptions) and DDInter (which provides expert-validated severity labels but no descriptions). Keyword weights</w:t>
      </w:r>
      <w:r>
        <w:t xml:space="preserve"> </w:t>
      </w:r>
      <m:oMath>
        <m:sSub>
          <m:e>
            <m:r>
              <m:t>w</m:t>
            </m:r>
          </m:e>
          <m:sub>
            <m:r>
              <m:t>k</m:t>
            </m:r>
          </m:sub>
        </m:sSub>
      </m:oMath>
      <w:r>
        <w:t xml:space="preserve"> </w:t>
      </w:r>
      <w:r>
        <w:t xml:space="preserve">were</w:t>
      </w:r>
      <w:r>
        <w:t xml:space="preserve"> </w:t>
      </w:r>
      <w:r>
        <w:rPr>
          <w:b/>
          <w:bCs/>
        </w:rPr>
        <w:t xml:space="preserve">empirically derived</w:t>
      </w:r>
      <w:r>
        <w:t xml:space="preserve"> </w:t>
      </w:r>
      <w:r>
        <w:t xml:space="preserve">using log-likelihood ratios.</w:t>
      </w:r>
    </w:p>
    <w:bookmarkStart w:id="17" w:name="s1.3.1-traintest-split"/>
    <w:p>
      <w:pPr>
        <w:pStyle w:val="Heading3"/>
      </w:pPr>
      <w:r>
        <w:t xml:space="preserve">S1.3.1 Train/Test Split</w:t>
      </w:r>
    </w:p>
    <w:p>
      <w:pPr>
        <w:pStyle w:val="FirstParagraph"/>
      </w:pPr>
      <w:r>
        <w:t xml:space="preserve">We split the 37,164 matched DDI pairs into training (70%, n=26,014) and held-out test (30%, n=11,150) sets using stratified sampling to preserve severity class proportions.</w:t>
      </w:r>
    </w:p>
    <w:bookmarkEnd w:id="17"/>
    <w:bookmarkStart w:id="19" w:name="s1.3.2-empirical-weight-derivation"/>
    <w:p>
      <w:pPr>
        <w:pStyle w:val="Heading3"/>
      </w:pPr>
      <w:r>
        <w:t xml:space="preserve">S1.3.2 Empirical Weight Derivation</w:t>
      </w:r>
    </w:p>
    <w:p>
      <w:pPr>
        <w:pStyle w:val="FirstParagraph"/>
      </w:pPr>
      <w:r>
        <w:t xml:space="preserve">For each clinical keyword</w:t>
      </w:r>
      <w:r>
        <w:t xml:space="preserve"> </w:t>
      </w:r>
      <m:oMath>
        <m:r>
          <m:t>k</m:t>
        </m:r>
      </m:oMath>
      <w:r>
        <w:t xml:space="preserve">, we computed:</w:t>
      </w:r>
    </w:p>
    <w:p>
      <w:pPr>
        <w:pStyle w:val="BodyText"/>
      </w:pPr>
      <m:oMathPara>
        <m:oMathParaPr>
          <m:jc m:val="center"/>
        </m:oMathParaPr>
        <m:oMath>
          <m:sSub>
            <m:e>
              <m:r>
                <m:t>w</m:t>
              </m:r>
            </m:e>
            <m:sub>
              <m:r>
                <m:t>k</m:t>
              </m:r>
            </m:sub>
          </m:sSub>
          <m:r>
            <m:rPr>
              <m:sty m:val="p"/>
            </m:rPr>
            <m:t>=</m:t>
          </m:r>
          <m:r>
            <m:rPr>
              <m:sty m:val="p"/>
            </m:rPr>
            <m:t>ln</m:t>
          </m:r>
          <m:d>
            <m:dPr>
              <m:begChr m:val="("/>
              <m:sepChr m:val=""/>
              <m:endChr m:val=")"/>
              <m:grow/>
            </m:dPr>
            <m:e>
              <m:f>
                <m:fPr>
                  <m:type m:val="bar"/>
                </m:fPr>
                <m:num>
                  <m:r>
                    <m:t>P</m:t>
                  </m:r>
                  <m:r>
                    <m:rPr>
                      <m:sty m:val="p"/>
                    </m:rPr>
                    <m:t>(</m:t>
                  </m:r>
                  <m:r>
                    <m:t>k</m:t>
                  </m:r>
                  <m:r>
                    <m:rPr>
                      <m:sty m:val="p"/>
                    </m:rPr>
                    <m:t>|</m:t>
                  </m:r>
                  <m:r>
                    <m:rPr>
                      <m:nor/>
                      <m:sty m:val="p"/>
                    </m:rPr>
                    <m:t>Major</m:t>
                  </m:r>
                  <m:r>
                    <m:rPr>
                      <m:sty m:val="p"/>
                    </m:rPr>
                    <m:t>)</m:t>
                  </m:r>
                </m:num>
                <m:den>
                  <m:r>
                    <m:t>P</m:t>
                  </m:r>
                  <m:r>
                    <m:rPr>
                      <m:sty m:val="p"/>
                    </m:rPr>
                    <m:t>(</m:t>
                  </m:r>
                  <m:r>
                    <m:t>k</m:t>
                  </m:r>
                  <m:r>
                    <m:rPr>
                      <m:sty m:val="p"/>
                    </m:rPr>
                    <m:t>|</m:t>
                  </m:r>
                  <m:r>
                    <m:rPr>
                      <m:nor/>
                      <m:sty m:val="p"/>
                    </m:rPr>
                    <m:t>Moderate</m:t>
                  </m:r>
                  <m:r>
                    <m:rPr>
                      <m:sty m:val="p"/>
                    </m:rPr>
                    <m:t>)</m:t>
                  </m:r>
                </m:den>
              </m:f>
            </m:e>
          </m:d>
        </m:oMath>
      </m:oMathPara>
    </w:p>
    <w:p>
      <w:pPr>
        <w:pStyle w:val="FirstParagraph"/>
      </w:pPr>
      <w:r>
        <w:t xml:space="preserve">where</w:t>
      </w:r>
      <w:r>
        <w:t xml:space="preserve"> </w:t>
      </w:r>
      <m:oMath>
        <m:r>
          <m:t>P</m:t>
        </m:r>
        <m:r>
          <m:rPr>
            <m:sty m:val="p"/>
          </m:rPr>
          <m:t>(</m:t>
        </m:r>
        <m:r>
          <m:t>k</m:t>
        </m:r>
        <m:r>
          <m:rPr>
            <m:sty m:val="p"/>
          </m:rPr>
          <m:t>|</m:t>
        </m:r>
        <m:r>
          <m:rPr>
            <m:nor/>
            <m:sty m:val="p"/>
          </m:rPr>
          <m:t>Level</m:t>
        </m:r>
        <m:r>
          <m:rPr>
            <m:sty m:val="p"/>
          </m:rPr>
          <m:t>)</m:t>
        </m:r>
      </m:oMath>
      <w:r>
        <w:t xml:space="preserve"> </w:t>
      </w:r>
      <w:r>
        <w:t xml:space="preserve">is the frequency of keyword</w:t>
      </w:r>
      <w:r>
        <w:t xml:space="preserve"> </w:t>
      </w:r>
      <m:oMath>
        <m:r>
          <m:t>k</m:t>
        </m:r>
      </m:oMath>
      <w:r>
        <w:t xml:space="preserve"> </w:t>
      </w:r>
      <w:r>
        <w:t xml:space="preserve">appearing in DrugBank descriptions for DDI pairs labeled with that severity level in DDInter. Positive weights indicate keywords predictive of Major severity; negative weights indicate keywords predictive of Moderate or Minor severity.</w:t>
      </w:r>
    </w:p>
    <w:bookmarkStart w:id="18" w:name="tab:empirical_weights"/>
    <w:p>
      <w:pPr>
        <w:pStyle w:val="TableCaption"/>
      </w:pPr>
      <w:r>
        <w:t xml:space="preserve">Empirically-Derived Keyword Weights (from training set)</w:t>
      </w:r>
    </w:p>
    <w:tbl>
      <w:tblPr>
        <w:tblStyle w:val="Table"/>
        <w:tblW w:type="auto" w:w="0"/>
        <w:tblLook w:firstRow="1" w:lastRow="0" w:firstColumn="0" w:lastColumn="0" w:noHBand="0" w:noVBand="0" w:val="0020"/>
        <w:tblCaption w:val="Empirically-Derived Keyword Weights (from training set)"/>
      </w:tblPr>
      <w:tblGrid>
        <w:gridCol w:w="1584"/>
        <w:gridCol w:w="1584"/>
        <w:gridCol w:w="1584"/>
        <w:gridCol w:w="1584"/>
        <w:gridCol w:w="1584"/>
      </w:tblGrid>
      <w:tr>
        <w:trPr>
          <w:tblHeader w:val="on"/>
        </w:trPr>
        <w:tc>
          <w:tcPr/>
          <w:p>
            <w:pPr>
              <w:pStyle w:val="Compact"/>
              <w:jc w:val="left"/>
            </w:pPr>
            <w:r>
              <w:rPr>
                <w:b/>
                <w:bCs/>
              </w:rPr>
              <w:t xml:space="preserve">Keyword</w:t>
            </w:r>
          </w:p>
        </w:tc>
        <w:tc>
          <w:tcPr/>
          <w:p>
            <w:pPr>
              <w:pStyle w:val="Compact"/>
              <w:jc w:val="center"/>
            </w:pPr>
            <w:r>
              <w:rPr>
                <w:b/>
                <w:bCs/>
              </w:rPr>
              <w:t xml:space="preserve">Weight</w:t>
            </w:r>
          </w:p>
        </w:tc>
        <w:tc>
          <w:tcPr/>
          <w:p>
            <w:pPr>
              <w:pStyle w:val="Compact"/>
              <w:jc w:val="center"/>
            </w:pPr>
            <w:r>
              <w:rPr>
                <w:b/>
                <w:bCs/>
              </w:rPr>
              <w:t xml:space="preserve">LR</w:t>
            </w:r>
          </w:p>
        </w:tc>
        <w:tc>
          <w:tcPr/>
          <w:p>
            <w:pPr>
              <w:pStyle w:val="Compact"/>
              <w:jc w:val="center"/>
            </w:pPr>
            <w:r>
              <w:rPr>
                <w:b/>
                <w:bCs/>
              </w:rPr>
              <w:t xml:space="preserve">Major %</w:t>
            </w:r>
          </w:p>
        </w:tc>
        <w:tc>
          <w:tcPr/>
          <w:p>
            <w:pPr>
              <w:pStyle w:val="Compact"/>
              <w:jc w:val="center"/>
            </w:pPr>
            <w:r>
              <w:rPr>
                <w:b/>
                <w:bCs/>
              </w:rPr>
              <w:t xml:space="preserve">Mod %</w:t>
            </w:r>
          </w:p>
        </w:tc>
      </w:tr>
      <w:tr>
        <w:tc>
          <w:tcPr>
            <w:gridSpan w:val="5"/>
          </w:tcPr>
          <w:p>
            <w:pPr>
              <w:pStyle w:val="Compact"/>
              <w:jc w:val="left"/>
            </w:pPr>
            <w:r>
              <w:rPr>
                <w:i/>
                <w:iCs/>
              </w:rPr>
              <w:t xml:space="preserve">Positive weights (predictive of Major):</w:t>
            </w:r>
          </w:p>
        </w:tc>
      </w:tr>
      <w:tr>
        <w:tc>
          <w:tcPr/>
          <w:p>
            <w:pPr>
              <w:pStyle w:val="Compact"/>
              <w:jc w:val="left"/>
            </w:pPr>
            <w:r>
              <w:t xml:space="preserve">prolongation</w:t>
            </w:r>
          </w:p>
        </w:tc>
        <w:tc>
          <w:tcPr/>
          <w:p>
            <w:pPr>
              <w:pStyle w:val="Compact"/>
              <w:jc w:val="center"/>
            </w:pPr>
            <w:r>
              <w:t xml:space="preserve">+1.45</w:t>
            </w:r>
          </w:p>
        </w:tc>
        <w:tc>
          <w:tcPr/>
          <w:p>
            <w:pPr>
              <w:pStyle w:val="Compact"/>
              <w:jc w:val="center"/>
            </w:pPr>
            <w:r>
              <w:t xml:space="preserve">4.25</w:t>
            </w:r>
            <m:oMath>
              <m:r>
                <m:rPr>
                  <m:sty m:val="p"/>
                </m:rPr>
                <m:t>×</m:t>
              </m:r>
            </m:oMath>
          </w:p>
        </w:tc>
        <w:tc>
          <w:tcPr/>
          <w:p>
            <w:pPr>
              <w:pStyle w:val="Compact"/>
              <w:jc w:val="center"/>
            </w:pPr>
            <w:r>
              <w:t xml:space="preserve">11.6%</w:t>
            </w:r>
          </w:p>
        </w:tc>
        <w:tc>
          <w:tcPr/>
          <w:p>
            <w:pPr>
              <w:pStyle w:val="Compact"/>
              <w:jc w:val="center"/>
            </w:pPr>
            <w:r>
              <w:t xml:space="preserve">2.7%</w:t>
            </w:r>
          </w:p>
        </w:tc>
      </w:tr>
      <w:tr>
        <w:tc>
          <w:tcPr/>
          <w:p>
            <w:pPr>
              <w:pStyle w:val="Compact"/>
              <w:jc w:val="left"/>
            </w:pPr>
            <w:r>
              <w:t xml:space="preserve">bleeding</w:t>
            </w:r>
          </w:p>
        </w:tc>
        <w:tc>
          <w:tcPr/>
          <w:p>
            <w:pPr>
              <w:pStyle w:val="Compact"/>
              <w:jc w:val="center"/>
            </w:pPr>
            <w:r>
              <w:t xml:space="preserve">+1.03</w:t>
            </w:r>
          </w:p>
        </w:tc>
        <w:tc>
          <w:tcPr/>
          <w:p>
            <w:pPr>
              <w:pStyle w:val="Compact"/>
              <w:jc w:val="center"/>
            </w:pPr>
            <w:r>
              <w:t xml:space="preserve">2.80</w:t>
            </w:r>
            <m:oMath>
              <m:r>
                <m:rPr>
                  <m:sty m:val="p"/>
                </m:rPr>
                <m:t>×</m:t>
              </m:r>
            </m:oMath>
          </w:p>
        </w:tc>
        <w:tc>
          <w:tcPr/>
          <w:p>
            <w:pPr>
              <w:pStyle w:val="Compact"/>
              <w:jc w:val="center"/>
            </w:pPr>
            <w:r>
              <w:t xml:space="preserve">25.9%</w:t>
            </w:r>
          </w:p>
        </w:tc>
        <w:tc>
          <w:tcPr/>
          <w:p>
            <w:pPr>
              <w:pStyle w:val="Compact"/>
              <w:jc w:val="center"/>
            </w:pPr>
            <w:r>
              <w:t xml:space="preserve">9.2%</w:t>
            </w:r>
          </w:p>
        </w:tc>
      </w:tr>
      <w:tr>
        <w:tc>
          <w:tcPr/>
          <w:p>
            <w:pPr>
              <w:pStyle w:val="Compact"/>
              <w:jc w:val="left"/>
            </w:pPr>
            <w:r>
              <w:t xml:space="preserve">hemorrhage</w:t>
            </w:r>
          </w:p>
        </w:tc>
        <w:tc>
          <w:tcPr/>
          <w:p>
            <w:pPr>
              <w:pStyle w:val="Compact"/>
              <w:jc w:val="center"/>
            </w:pPr>
            <w:r>
              <w:t xml:space="preserve">+0.63</w:t>
            </w:r>
          </w:p>
        </w:tc>
        <w:tc>
          <w:tcPr/>
          <w:p>
            <w:pPr>
              <w:pStyle w:val="Compact"/>
              <w:jc w:val="center"/>
            </w:pPr>
            <w:r>
              <w:t xml:space="preserve">1.88</w:t>
            </w:r>
            <m:oMath>
              <m:r>
                <m:rPr>
                  <m:sty m:val="p"/>
                </m:rPr>
                <m:t>×</m:t>
              </m:r>
            </m:oMath>
          </w:p>
        </w:tc>
        <w:tc>
          <w:tcPr/>
          <w:p>
            <w:pPr>
              <w:pStyle w:val="Compact"/>
              <w:jc w:val="center"/>
            </w:pPr>
            <w:r>
              <w:t xml:space="preserve">9.2%</w:t>
            </w:r>
          </w:p>
        </w:tc>
        <w:tc>
          <w:tcPr/>
          <w:p>
            <w:pPr>
              <w:pStyle w:val="Compact"/>
              <w:jc w:val="center"/>
            </w:pPr>
            <w:r>
              <w:t xml:space="preserve">5.0%</w:t>
            </w:r>
          </w:p>
        </w:tc>
      </w:tr>
      <w:tr>
        <w:tc>
          <w:tcPr/>
          <w:p>
            <w:pPr>
              <w:pStyle w:val="Compact"/>
              <w:jc w:val="left"/>
            </w:pPr>
            <w:r>
              <w:t xml:space="preserve">anticoagulant</w:t>
            </w:r>
          </w:p>
        </w:tc>
        <w:tc>
          <w:tcPr/>
          <w:p>
            <w:pPr>
              <w:pStyle w:val="Compact"/>
              <w:jc w:val="center"/>
            </w:pPr>
            <w:r>
              <w:t xml:space="preserve">+0.57</w:t>
            </w:r>
          </w:p>
        </w:tc>
        <w:tc>
          <w:tcPr/>
          <w:p>
            <w:pPr>
              <w:pStyle w:val="Compact"/>
              <w:jc w:val="center"/>
            </w:pPr>
            <w:r>
              <w:t xml:space="preserve">1.76</w:t>
            </w:r>
            <m:oMath>
              <m:r>
                <m:rPr>
                  <m:sty m:val="p"/>
                </m:rPr>
                <m:t>×</m:t>
              </m:r>
            </m:oMath>
          </w:p>
        </w:tc>
        <w:tc>
          <w:tcPr/>
          <w:p>
            <w:pPr>
              <w:pStyle w:val="Compact"/>
              <w:jc w:val="center"/>
            </w:pPr>
            <w:r>
              <w:t xml:space="preserve">3.3%</w:t>
            </w:r>
          </w:p>
        </w:tc>
        <w:tc>
          <w:tcPr/>
          <w:p>
            <w:pPr>
              <w:pStyle w:val="Compact"/>
              <w:jc w:val="center"/>
            </w:pPr>
            <w:r>
              <w:t xml:space="preserve">1.8%</w:t>
            </w:r>
          </w:p>
        </w:tc>
      </w:tr>
      <w:tr>
        <w:tc>
          <w:tcPr/>
          <w:p>
            <w:pPr>
              <w:pStyle w:val="Compact"/>
              <w:jc w:val="left"/>
            </w:pPr>
            <w:r>
              <w:t xml:space="preserve">risk / severity</w:t>
            </w:r>
          </w:p>
        </w:tc>
        <w:tc>
          <w:tcPr/>
          <w:p>
            <w:pPr>
              <w:pStyle w:val="Compact"/>
              <w:jc w:val="center"/>
            </w:pPr>
            <w:r>
              <w:t xml:space="preserve">+0.33</w:t>
            </w:r>
          </w:p>
        </w:tc>
        <w:tc>
          <w:tcPr/>
          <w:p>
            <w:pPr>
              <w:pStyle w:val="Compact"/>
              <w:jc w:val="center"/>
            </w:pPr>
            <w:r>
              <w:t xml:space="preserve">1.39</w:t>
            </w:r>
            <m:oMath>
              <m:r>
                <m:rPr>
                  <m:sty m:val="p"/>
                </m:rPr>
                <m:t>×</m:t>
              </m:r>
            </m:oMath>
          </w:p>
        </w:tc>
        <w:tc>
          <w:tcPr/>
          <w:p>
            <w:pPr>
              <w:pStyle w:val="Compact"/>
              <w:jc w:val="center"/>
            </w:pPr>
            <w:r>
              <w:t xml:space="preserve">49.7%</w:t>
            </w:r>
          </w:p>
        </w:tc>
        <w:tc>
          <w:tcPr/>
          <w:p>
            <w:pPr>
              <w:pStyle w:val="Compact"/>
              <w:jc w:val="center"/>
            </w:pPr>
            <w:r>
              <w:t xml:space="preserve">35.3%</w:t>
            </w:r>
          </w:p>
        </w:tc>
      </w:tr>
      <w:tr>
        <w:tc>
          <w:tcPr/>
          <w:p>
            <w:pPr>
              <w:pStyle w:val="Compact"/>
              <w:jc w:val="left"/>
            </w:pPr>
            <w:r>
              <w:t xml:space="preserve">increased</w:t>
            </w:r>
          </w:p>
        </w:tc>
        <w:tc>
          <w:tcPr/>
          <w:p>
            <w:pPr>
              <w:pStyle w:val="Compact"/>
              <w:jc w:val="center"/>
            </w:pPr>
            <w:r>
              <w:t xml:space="preserve">+0.20</w:t>
            </w:r>
          </w:p>
        </w:tc>
        <w:tc>
          <w:tcPr/>
          <w:p>
            <w:pPr>
              <w:pStyle w:val="Compact"/>
              <w:jc w:val="center"/>
            </w:pPr>
            <w:r>
              <w:t xml:space="preserve">1.22</w:t>
            </w:r>
            <m:oMath>
              <m:r>
                <m:rPr>
                  <m:sty m:val="p"/>
                </m:rPr>
                <m:t>×</m:t>
              </m:r>
            </m:oMath>
          </w:p>
        </w:tc>
        <w:tc>
          <w:tcPr/>
          <w:p>
            <w:pPr>
              <w:pStyle w:val="Compact"/>
              <w:jc w:val="center"/>
            </w:pPr>
            <w:r>
              <w:t xml:space="preserve">64.0%</w:t>
            </w:r>
          </w:p>
        </w:tc>
        <w:tc>
          <w:tcPr/>
          <w:p>
            <w:pPr>
              <w:pStyle w:val="Compact"/>
              <w:jc w:val="center"/>
            </w:pPr>
            <w:r>
              <w:t xml:space="preserve">52.0%</w:t>
            </w:r>
          </w:p>
        </w:tc>
      </w:tr>
      <w:tr>
        <w:tc>
          <w:tcPr>
            <w:gridSpan w:val="5"/>
          </w:tcPr>
          <w:p>
            <w:pPr>
              <w:pStyle w:val="Compact"/>
              <w:jc w:val="left"/>
            </w:pPr>
            <w:r>
              <w:rPr>
                <w:i/>
                <w:iCs/>
              </w:rPr>
              <w:t xml:space="preserve">Negative weights (predictive of Moderate/Minor):</w:t>
            </w:r>
          </w:p>
        </w:tc>
      </w:tr>
      <w:tr>
        <w:tc>
          <w:tcPr/>
          <w:p>
            <w:pPr>
              <w:pStyle w:val="Compact"/>
              <w:jc w:val="left"/>
            </w:pPr>
            <w:r>
              <w:t xml:space="preserve">decrease</w:t>
            </w:r>
          </w:p>
        </w:tc>
        <w:tc>
          <w:tcPr/>
          <w:p>
            <w:pPr>
              <w:pStyle w:val="Compact"/>
              <w:jc w:val="center"/>
            </w:pPr>
            <m:oMath>
              <m:r>
                <m:rPr>
                  <m:sty m:val="p"/>
                </m:rPr>
                <m:t>−</m:t>
              </m:r>
            </m:oMath>
            <w:r>
              <w:t xml:space="preserve">0.30</w:t>
            </w:r>
          </w:p>
        </w:tc>
        <w:tc>
          <w:tcPr/>
          <w:p>
            <w:pPr>
              <w:pStyle w:val="Compact"/>
              <w:jc w:val="center"/>
            </w:pPr>
            <w:r>
              <w:t xml:space="preserve">0.74</w:t>
            </w:r>
            <m:oMath>
              <m:r>
                <m:rPr>
                  <m:sty m:val="p"/>
                </m:rPr>
                <m:t>×</m:t>
              </m:r>
            </m:oMath>
          </w:p>
        </w:tc>
        <w:tc>
          <w:tcPr/>
          <w:p>
            <w:pPr>
              <w:pStyle w:val="Compact"/>
              <w:jc w:val="center"/>
            </w:pPr>
            <w:r>
              <w:t xml:space="preserve">25.7%</w:t>
            </w:r>
          </w:p>
        </w:tc>
        <w:tc>
          <w:tcPr/>
          <w:p>
            <w:pPr>
              <w:pStyle w:val="Compact"/>
              <w:jc w:val="center"/>
            </w:pPr>
            <w:r>
              <w:t xml:space="preserve">35.3%</w:t>
            </w:r>
          </w:p>
        </w:tc>
      </w:tr>
      <w:tr>
        <w:tc>
          <w:tcPr/>
          <w:p>
            <w:pPr>
              <w:pStyle w:val="Compact"/>
              <w:jc w:val="left"/>
            </w:pPr>
            <w:r>
              <w:t xml:space="preserve">serum</w:t>
            </w:r>
          </w:p>
        </w:tc>
        <w:tc>
          <w:tcPr/>
          <w:p>
            <w:pPr>
              <w:pStyle w:val="Compact"/>
              <w:jc w:val="center"/>
            </w:pPr>
            <m:oMath>
              <m:r>
                <m:rPr>
                  <m:sty m:val="p"/>
                </m:rPr>
                <m:t>−</m:t>
              </m:r>
            </m:oMath>
            <w:r>
              <w:t xml:space="preserve">0.31</w:t>
            </w:r>
          </w:p>
        </w:tc>
        <w:tc>
          <w:tcPr/>
          <w:p>
            <w:pPr>
              <w:pStyle w:val="Compact"/>
              <w:jc w:val="center"/>
            </w:pPr>
            <w:r>
              <w:t xml:space="preserve">0.73</w:t>
            </w:r>
            <m:oMath>
              <m:r>
                <m:rPr>
                  <m:sty m:val="p"/>
                </m:rPr>
                <m:t>×</m:t>
              </m:r>
            </m:oMath>
          </w:p>
        </w:tc>
        <w:tc>
          <w:tcPr/>
          <w:p>
            <w:pPr>
              <w:pStyle w:val="Compact"/>
              <w:jc w:val="center"/>
            </w:pPr>
            <w:r>
              <w:t xml:space="preserve">13.3%</w:t>
            </w:r>
          </w:p>
        </w:tc>
        <w:tc>
          <w:tcPr/>
          <w:p>
            <w:pPr>
              <w:pStyle w:val="Compact"/>
              <w:jc w:val="center"/>
            </w:pPr>
            <w:r>
              <w:t xml:space="preserve">18.5%</w:t>
            </w:r>
          </w:p>
        </w:tc>
      </w:tr>
      <w:tr>
        <w:tc>
          <w:tcPr/>
          <w:p>
            <w:pPr>
              <w:pStyle w:val="Compact"/>
              <w:jc w:val="left"/>
            </w:pPr>
            <w:r>
              <w:t xml:space="preserve">therapeutic</w:t>
            </w:r>
          </w:p>
        </w:tc>
        <w:tc>
          <w:tcPr/>
          <w:p>
            <w:pPr>
              <w:pStyle w:val="Compact"/>
              <w:jc w:val="center"/>
            </w:pPr>
            <m:oMath>
              <m:r>
                <m:rPr>
                  <m:sty m:val="p"/>
                </m:rPr>
                <m:t>−</m:t>
              </m:r>
            </m:oMath>
            <w:r>
              <w:t xml:space="preserve">1.20</w:t>
            </w:r>
          </w:p>
        </w:tc>
        <w:tc>
          <w:tcPr/>
          <w:p>
            <w:pPr>
              <w:pStyle w:val="Compact"/>
              <w:jc w:val="center"/>
            </w:pPr>
            <w:r>
              <w:t xml:space="preserve">0.30</w:t>
            </w:r>
            <m:oMath>
              <m:r>
                <m:rPr>
                  <m:sty m:val="p"/>
                </m:rPr>
                <m:t>×</m:t>
              </m:r>
            </m:oMath>
          </w:p>
        </w:tc>
        <w:tc>
          <w:tcPr/>
          <w:p>
            <w:pPr>
              <w:pStyle w:val="Compact"/>
              <w:jc w:val="center"/>
            </w:pPr>
            <w:r>
              <w:t xml:space="preserve">3.3%</w:t>
            </w:r>
          </w:p>
        </w:tc>
        <w:tc>
          <w:tcPr/>
          <w:p>
            <w:pPr>
              <w:pStyle w:val="Compact"/>
              <w:jc w:val="center"/>
            </w:pPr>
            <w:r>
              <w:t xml:space="preserve">11.8%</w:t>
            </w:r>
          </w:p>
        </w:tc>
      </w:tr>
      <w:tr>
        <w:tc>
          <w:tcPr/>
          <w:p>
            <w:pPr>
              <w:pStyle w:val="Compact"/>
              <w:jc w:val="left"/>
            </w:pPr>
            <w:r>
              <w:t xml:space="preserve">efficacy</w:t>
            </w:r>
          </w:p>
        </w:tc>
        <w:tc>
          <w:tcPr/>
          <w:p>
            <w:pPr>
              <w:pStyle w:val="Compact"/>
              <w:jc w:val="center"/>
            </w:pPr>
            <m:oMath>
              <m:r>
                <m:rPr>
                  <m:sty m:val="p"/>
                </m:rPr>
                <m:t>−</m:t>
              </m:r>
            </m:oMath>
            <w:r>
              <w:t xml:space="preserve">1.27</w:t>
            </w:r>
          </w:p>
        </w:tc>
        <w:tc>
          <w:tcPr/>
          <w:p>
            <w:pPr>
              <w:pStyle w:val="Compact"/>
              <w:jc w:val="center"/>
            </w:pPr>
            <w:r>
              <w:t xml:space="preserve">0.28</w:t>
            </w:r>
            <m:oMath>
              <m:r>
                <m:rPr>
                  <m:sty m:val="p"/>
                </m:rPr>
                <m:t>×</m:t>
              </m:r>
            </m:oMath>
          </w:p>
        </w:tc>
        <w:tc>
          <w:tcPr/>
          <w:p>
            <w:pPr>
              <w:pStyle w:val="Compact"/>
              <w:jc w:val="center"/>
            </w:pPr>
            <w:r>
              <w:t xml:space="preserve">3.8%</w:t>
            </w:r>
          </w:p>
        </w:tc>
        <w:tc>
          <w:tcPr/>
          <w:p>
            <w:pPr>
              <w:pStyle w:val="Compact"/>
              <w:jc w:val="center"/>
            </w:pPr>
            <w:r>
              <w:t xml:space="preserve">14.5%</w:t>
            </w:r>
          </w:p>
        </w:tc>
      </w:tr>
      <w:tr>
        <w:tc>
          <w:tcPr/>
          <w:p>
            <w:pPr>
              <w:pStyle w:val="Compact"/>
              <w:jc w:val="left"/>
            </w:pPr>
            <w:r>
              <w:t xml:space="preserve">antihypertensive</w:t>
            </w:r>
          </w:p>
        </w:tc>
        <w:tc>
          <w:tcPr/>
          <w:p>
            <w:pPr>
              <w:pStyle w:val="Compact"/>
              <w:jc w:val="center"/>
            </w:pPr>
            <m:oMath>
              <m:r>
                <m:rPr>
                  <m:sty m:val="p"/>
                </m:rPr>
                <m:t>−</m:t>
              </m:r>
            </m:oMath>
            <w:r>
              <w:t xml:space="preserve">1.49</w:t>
            </w:r>
          </w:p>
        </w:tc>
        <w:tc>
          <w:tcPr/>
          <w:p>
            <w:pPr>
              <w:pStyle w:val="Compact"/>
              <w:jc w:val="center"/>
            </w:pPr>
            <w:r>
              <w:t xml:space="preserve">0.23</w:t>
            </w:r>
            <m:oMath>
              <m:r>
                <m:rPr>
                  <m:sty m:val="p"/>
                </m:rPr>
                <m:t>×</m:t>
              </m:r>
            </m:oMath>
          </w:p>
        </w:tc>
        <w:tc>
          <w:tcPr/>
          <w:p>
            <w:pPr>
              <w:pStyle w:val="Compact"/>
              <w:jc w:val="center"/>
            </w:pPr>
            <w:r>
              <w:t xml:space="preserve">0.5%</w:t>
            </w:r>
          </w:p>
        </w:tc>
        <w:tc>
          <w:tcPr/>
          <w:p>
            <w:pPr>
              <w:pStyle w:val="Compact"/>
              <w:jc w:val="center"/>
            </w:pPr>
            <w:r>
              <w:t xml:space="preserve">2.3%</w:t>
            </w:r>
          </w:p>
        </w:tc>
      </w:tr>
      <w:tr>
        <w:tc>
          <w:tcPr/>
          <w:p>
            <w:pPr>
              <w:pStyle w:val="Compact"/>
              <w:jc w:val="left"/>
            </w:pPr>
            <w:r>
              <w:t xml:space="preserve">reduce</w:t>
            </w:r>
          </w:p>
        </w:tc>
        <w:tc>
          <w:tcPr/>
          <w:p>
            <w:pPr>
              <w:pStyle w:val="Compact"/>
              <w:jc w:val="center"/>
            </w:pPr>
            <m:oMath>
              <m:r>
                <m:rPr>
                  <m:sty m:val="p"/>
                </m:rPr>
                <m:t>−</m:t>
              </m:r>
            </m:oMath>
            <w:r>
              <w:t xml:space="preserve">1.61</w:t>
            </w:r>
          </w:p>
        </w:tc>
        <w:tc>
          <w:tcPr/>
          <w:p>
            <w:pPr>
              <w:pStyle w:val="Compact"/>
              <w:jc w:val="center"/>
            </w:pPr>
            <w:r>
              <w:t xml:space="preserve">0.20</w:t>
            </w:r>
            <m:oMath>
              <m:r>
                <m:rPr>
                  <m:sty m:val="p"/>
                </m:rPr>
                <m:t>×</m:t>
              </m:r>
            </m:oMath>
          </w:p>
        </w:tc>
        <w:tc>
          <w:tcPr/>
          <w:p>
            <w:pPr>
              <w:pStyle w:val="Compact"/>
              <w:jc w:val="center"/>
            </w:pPr>
            <w:r>
              <w:t xml:space="preserve">0.3%</w:t>
            </w:r>
          </w:p>
        </w:tc>
        <w:tc>
          <w:tcPr/>
          <w:p>
            <w:pPr>
              <w:pStyle w:val="Compact"/>
              <w:jc w:val="center"/>
            </w:pPr>
            <w:r>
              <w:t xml:space="preserve">1.7%</w:t>
            </w:r>
          </w:p>
        </w:tc>
      </w:tr>
    </w:tbl>
    <w:bookmarkEnd w:id="18"/>
    <w:p>
      <w:pPr>
        <w:pStyle w:val="BodyText"/>
      </w:pPr>
      <w:r>
        <w:t xml:space="preserve">LR = Likelihood Ratio =</w:t>
      </w:r>
      <w:r>
        <w:t xml:space="preserve"> </w:t>
      </w:r>
      <m:oMath>
        <m:r>
          <m:t>P</m:t>
        </m:r>
        <m:r>
          <m:rPr>
            <m:sty m:val="p"/>
          </m:rPr>
          <m:t>(</m:t>
        </m:r>
        <m:r>
          <m:t>k</m:t>
        </m:r>
        <m:r>
          <m:rPr>
            <m:sty m:val="p"/>
          </m:rPr>
          <m:t>|</m:t>
        </m:r>
        <m:r>
          <m:rPr>
            <m:nor/>
            <m:sty m:val="p"/>
          </m:rPr>
          <m:t>Major</m:t>
        </m:r>
        <m:r>
          <m:rPr>
            <m:sty m:val="p"/>
          </m:rPr>
          <m:t>)</m:t>
        </m:r>
        <m:r>
          <m:rPr>
            <m:sty m:val="p"/>
          </m:rPr>
          <m:t>/</m:t>
        </m:r>
        <m:r>
          <m:t>P</m:t>
        </m:r>
        <m:r>
          <m:rPr>
            <m:sty m:val="p"/>
          </m:rPr>
          <m:t>(</m:t>
        </m:r>
        <m:r>
          <m:t>k</m:t>
        </m:r>
        <m:r>
          <m:rPr>
            <m:sty m:val="p"/>
          </m:rPr>
          <m:t>|</m:t>
        </m:r>
        <m:r>
          <m:rPr>
            <m:nor/>
            <m:sty m:val="p"/>
          </m:rPr>
          <m:t>Moderate</m:t>
        </m:r>
        <m:r>
          <m:rPr>
            <m:sty m:val="p"/>
          </m:rPr>
          <m:t>)</m:t>
        </m:r>
      </m:oMath>
      <w:r>
        <w:t xml:space="preserve">. Keywords with LR</w:t>
      </w:r>
      <w:r>
        <w:t xml:space="preserve"> </w:t>
      </w:r>
      <m:oMath>
        <m:r>
          <m:rPr>
            <m:sty m:val="p"/>
          </m:rPr>
          <m:t>&gt;</m:t>
        </m:r>
      </m:oMath>
      <w:r>
        <w:t xml:space="preserve"> </w:t>
      </w:r>
      <w:r>
        <w:t xml:space="preserve">1 are more frequent in Major interactions. Weight =</w:t>
      </w:r>
      <w:r>
        <w:t xml:space="preserve"> </w:t>
      </w:r>
      <m:oMath>
        <m:r>
          <m:rPr>
            <m:sty m:val="p"/>
          </m:rPr>
          <m:t>ln</m:t>
        </m:r>
        <m:r>
          <m:rPr>
            <m:sty m:val="p"/>
          </m:rPr>
          <m:t>(</m:t>
        </m:r>
        <m:r>
          <m:rPr>
            <m:nor/>
            <m:sty m:val="p"/>
          </m:rPr>
          <m:t>LR</m:t>
        </m:r>
        <m:r>
          <m:rPr>
            <m:sty m:val="p"/>
          </m:rPr>
          <m:t>)</m:t>
        </m:r>
      </m:oMath>
      <w:r>
        <w:t xml:space="preserve">.</w:t>
      </w:r>
    </w:p>
    <w:bookmarkEnd w:id="19"/>
    <w:bookmarkStart w:id="20" w:name="Xc1ce12df223a2a8ea4941446521298a41182d1a"/>
    <w:p>
      <w:pPr>
        <w:pStyle w:val="Heading3"/>
      </w:pPr>
      <w:r>
        <w:t xml:space="preserve">S1.3.3 Algorithm: Keyword Weight Derivation</w:t>
      </w:r>
    </w:p>
    <w:p>
      <w:pPr>
        <w:pStyle w:val="FirstParagraph"/>
      </w:pPr>
      <m:oMath>
        <m:sSub>
          <m:e>
            <m:r>
              <m:rPr>
                <m:scr m:val="script"/>
                <m:sty m:val="p"/>
              </m:rPr>
              <m:t>D</m:t>
            </m:r>
          </m:e>
          <m:sub>
            <m:r>
              <m:rPr>
                <m:nor/>
                <m:sty m:val="p"/>
              </m:rPr>
              <m:t>train</m:t>
            </m:r>
          </m:sub>
        </m:sSub>
      </m:oMath>
      <w:r>
        <w:t xml:space="preserve">: Training set of (DrugBank description, DDInter severity) pairs</w:t>
      </w:r>
      <w:r>
        <w:t xml:space="preserve"> </w:t>
      </w:r>
      <m:oMath>
        <m:r>
          <m:rPr>
            <m:scr m:val="script"/>
            <m:sty m:val="p"/>
          </m:rPr>
          <m:t>K</m:t>
        </m:r>
      </m:oMath>
      <w:r>
        <w:t xml:space="preserve">: Set of candidate clinical keywords</w:t>
      </w:r>
      <w:r>
        <w:t xml:space="preserve"> </w:t>
      </w:r>
      <m:oMath>
        <m:r>
          <m:rPr>
            <m:scr m:val="script"/>
            <m:sty m:val="p"/>
          </m:rPr>
          <m:t>W</m:t>
        </m:r>
      </m:oMath>
      <w:r>
        <w:t xml:space="preserve">: Dictionary of keyword</w:t>
      </w:r>
      <w:r>
        <w:t xml:space="preserve"> </w:t>
      </w:r>
      <m:oMath>
        <m:r>
          <m:rPr>
            <m:sty m:val="p"/>
          </m:rPr>
          <m:t>→</m:t>
        </m:r>
      </m:oMath>
      <w:r>
        <w:t xml:space="preserve"> </w:t>
      </w:r>
      <w:r>
        <w:t xml:space="preserve">weight</w:t>
      </w:r>
      <w:r>
        <w:t xml:space="preserve"> </w:t>
      </w:r>
      <m:oMath>
        <m:sSub>
          <m:e>
            <m:r>
              <m:t>n</m:t>
            </m:r>
          </m:e>
          <m:sub>
            <m:r>
              <m:rPr>
                <m:nor/>
                <m:sty m:val="p"/>
              </m:rPr>
              <m:t>Major</m:t>
            </m:r>
          </m:sub>
        </m:sSub>
        <m:r>
          <m:rPr>
            <m:sty m:val="p"/>
          </m:rPr>
          <m:t>←</m:t>
        </m:r>
        <m:r>
          <m:rPr>
            <m:sty m:val="p"/>
          </m:rPr>
          <m:t>|</m:t>
        </m:r>
        <m:r>
          <m:rPr>
            <m:sty m:val="p"/>
          </m:rPr>
          <m:t>{</m:t>
        </m:r>
        <m:r>
          <m:t>d</m:t>
        </m:r>
        <m:r>
          <m:rPr>
            <m:sty m:val="p"/>
          </m:rPr>
          <m:t>∈</m:t>
        </m:r>
        <m:sSub>
          <m:e>
            <m:r>
              <m:rPr>
                <m:scr m:val="script"/>
                <m:sty m:val="p"/>
              </m:rPr>
              <m:t>D</m:t>
            </m:r>
          </m:e>
          <m:sub>
            <m:r>
              <m:rPr>
                <m:nor/>
                <m:sty m:val="p"/>
              </m:rPr>
              <m:t>train</m:t>
            </m:r>
          </m:sub>
        </m:sSub>
        <m:r>
          <m:rPr>
            <m:sty m:val="p"/>
          </m:rPr>
          <m:t>:</m:t>
        </m:r>
        <m:r>
          <m:rPr>
            <m:nor/>
            <m:sty m:val="p"/>
          </m:rPr>
          <m:t>severity</m:t>
        </m:r>
        <m:r>
          <m:rPr>
            <m:sty m:val="p"/>
          </m:rPr>
          <m:t>(</m:t>
        </m:r>
        <m:r>
          <m:t>d</m:t>
        </m:r>
        <m:r>
          <m:rPr>
            <m:sty m:val="p"/>
          </m:rPr>
          <m:t>)</m:t>
        </m:r>
        <m:r>
          <m:rPr>
            <m:sty m:val="p"/>
          </m:rPr>
          <m:t>=</m:t>
        </m:r>
        <m:r>
          <m:rPr>
            <m:nor/>
            <m:sty m:val="p"/>
          </m:rPr>
          <m:t>Major</m:t>
        </m:r>
        <m:r>
          <m:rPr>
            <m:sty m:val="p"/>
          </m:rPr>
          <m:t>}</m:t>
        </m:r>
        <m:r>
          <m:rPr>
            <m:sty m:val="p"/>
          </m:rPr>
          <m:t>|</m:t>
        </m:r>
      </m:oMath>
      <w:r>
        <w:t xml:space="preserve"> </w:t>
      </w:r>
      <m:oMath>
        <m:sSub>
          <m:e>
            <m:r>
              <m:t>n</m:t>
            </m:r>
          </m:e>
          <m:sub>
            <m:r>
              <m:rPr>
                <m:nor/>
                <m:sty m:val="p"/>
              </m:rPr>
              <m:t>Moderate</m:t>
            </m:r>
          </m:sub>
        </m:sSub>
        <m:r>
          <m:rPr>
            <m:sty m:val="p"/>
          </m:rPr>
          <m:t>←</m:t>
        </m:r>
        <m:r>
          <m:rPr>
            <m:sty m:val="p"/>
          </m:rPr>
          <m:t>|</m:t>
        </m:r>
        <m:r>
          <m:rPr>
            <m:sty m:val="p"/>
          </m:rPr>
          <m:t>{</m:t>
        </m:r>
        <m:r>
          <m:t>d</m:t>
        </m:r>
        <m:r>
          <m:rPr>
            <m:sty m:val="p"/>
          </m:rPr>
          <m:t>∈</m:t>
        </m:r>
        <m:sSub>
          <m:e>
            <m:r>
              <m:rPr>
                <m:scr m:val="script"/>
                <m:sty m:val="p"/>
              </m:rPr>
              <m:t>D</m:t>
            </m:r>
          </m:e>
          <m:sub>
            <m:r>
              <m:rPr>
                <m:nor/>
                <m:sty m:val="p"/>
              </m:rPr>
              <m:t>train</m:t>
            </m:r>
          </m:sub>
        </m:sSub>
        <m:r>
          <m:rPr>
            <m:sty m:val="p"/>
          </m:rPr>
          <m:t>:</m:t>
        </m:r>
        <m:r>
          <m:rPr>
            <m:nor/>
            <m:sty m:val="p"/>
          </m:rPr>
          <m:t>severity</m:t>
        </m:r>
        <m:r>
          <m:rPr>
            <m:sty m:val="p"/>
          </m:rPr>
          <m:t>(</m:t>
        </m:r>
        <m:r>
          <m:t>d</m:t>
        </m:r>
        <m:r>
          <m:rPr>
            <m:sty m:val="p"/>
          </m:rPr>
          <m:t>)</m:t>
        </m:r>
        <m:r>
          <m:rPr>
            <m:sty m:val="p"/>
          </m:rPr>
          <m:t>=</m:t>
        </m:r>
        <m:r>
          <m:rPr>
            <m:nor/>
            <m:sty m:val="p"/>
          </m:rPr>
          <m:t>Moderate</m:t>
        </m:r>
        <m:r>
          <m:rPr>
            <m:sty m:val="p"/>
          </m:rPr>
          <m:t>}</m:t>
        </m:r>
        <m:r>
          <m:rPr>
            <m:sty m:val="p"/>
          </m:rPr>
          <m:t>|</m:t>
        </m:r>
      </m:oMath>
      <w:r>
        <w:t xml:space="preserve"> </w:t>
      </w:r>
      <m:oMath>
        <m:sSub>
          <m:e>
            <m:r>
              <m:t>c</m:t>
            </m:r>
          </m:e>
          <m:sub>
            <m:r>
              <m:rPr>
                <m:nor/>
                <m:sty m:val="p"/>
              </m:rPr>
              <m:t>Major</m:t>
            </m:r>
          </m:sub>
        </m:sSub>
        <m:r>
          <m:rPr>
            <m:sty m:val="p"/>
          </m:rPr>
          <m:t>←</m:t>
        </m:r>
        <m:r>
          <m:rPr>
            <m:sty m:val="p"/>
          </m:rPr>
          <m:t>|</m:t>
        </m:r>
        <m:r>
          <m:rPr>
            <m:sty m:val="p"/>
          </m:rPr>
          <m:t>{</m:t>
        </m:r>
        <m:r>
          <m:t>d</m:t>
        </m:r>
        <m:r>
          <m:rPr>
            <m:sty m:val="p"/>
          </m:rPr>
          <m:t>∈</m:t>
        </m:r>
        <m:sSub>
          <m:e>
            <m:r>
              <m:rPr>
                <m:scr m:val="script"/>
                <m:sty m:val="p"/>
              </m:rPr>
              <m:t>D</m:t>
            </m:r>
          </m:e>
          <m:sub>
            <m:r>
              <m:rPr>
                <m:nor/>
                <m:sty m:val="p"/>
              </m:rPr>
              <m:t>train</m:t>
            </m:r>
          </m:sub>
        </m:sSub>
        <m:r>
          <m:rPr>
            <m:sty m:val="p"/>
          </m:rPr>
          <m:t>:</m:t>
        </m:r>
        <m:r>
          <m:t>k</m:t>
        </m:r>
        <m:r>
          <m:rPr>
            <m:sty m:val="p"/>
          </m:rPr>
          <m:t>∈</m:t>
        </m:r>
        <m:r>
          <m:rPr>
            <m:nor/>
            <m:sty m:val="p"/>
          </m:rPr>
          <m:t>desc</m:t>
        </m:r>
        <m:r>
          <m:rPr>
            <m:sty m:val="p"/>
          </m:rPr>
          <m:t>(</m:t>
        </m:r>
        <m:r>
          <m:t>d</m:t>
        </m:r>
        <m:r>
          <m:rPr>
            <m:sty m:val="p"/>
          </m:rPr>
          <m:t>)</m:t>
        </m:r>
        <m:r>
          <m:rPr>
            <m:sty m:val="p"/>
          </m:rPr>
          <m:t>∧</m:t>
        </m:r>
        <m:r>
          <m:rPr>
            <m:nor/>
            <m:sty m:val="p"/>
          </m:rPr>
          <m:t>severity</m:t>
        </m:r>
        <m:r>
          <m:rPr>
            <m:sty m:val="p"/>
          </m:rPr>
          <m:t>(</m:t>
        </m:r>
        <m:r>
          <m:t>d</m:t>
        </m:r>
        <m:r>
          <m:rPr>
            <m:sty m:val="p"/>
          </m:rPr>
          <m:t>)</m:t>
        </m:r>
        <m:r>
          <m:rPr>
            <m:sty m:val="p"/>
          </m:rPr>
          <m:t>=</m:t>
        </m:r>
        <m:r>
          <m:rPr>
            <m:nor/>
            <m:sty m:val="p"/>
          </m:rPr>
          <m:t>Major</m:t>
        </m:r>
        <m:r>
          <m:rPr>
            <m:sty m:val="p"/>
          </m:rPr>
          <m:t>}</m:t>
        </m:r>
        <m:r>
          <m:rPr>
            <m:sty m:val="p"/>
          </m:rPr>
          <m:t>|</m:t>
        </m:r>
      </m:oMath>
      <w:r>
        <w:t xml:space="preserve"> </w:t>
      </w:r>
      <m:oMath>
        <m:sSub>
          <m:e>
            <m:r>
              <m:t>c</m:t>
            </m:r>
          </m:e>
          <m:sub>
            <m:r>
              <m:rPr>
                <m:nor/>
                <m:sty m:val="p"/>
              </m:rPr>
              <m:t>Moderate</m:t>
            </m:r>
          </m:sub>
        </m:sSub>
        <m:r>
          <m:rPr>
            <m:sty m:val="p"/>
          </m:rPr>
          <m:t>←</m:t>
        </m:r>
        <m:r>
          <m:rPr>
            <m:sty m:val="p"/>
          </m:rPr>
          <m:t>|</m:t>
        </m:r>
        <m:r>
          <m:rPr>
            <m:sty m:val="p"/>
          </m:rPr>
          <m:t>{</m:t>
        </m:r>
        <m:r>
          <m:t>d</m:t>
        </m:r>
        <m:r>
          <m:rPr>
            <m:sty m:val="p"/>
          </m:rPr>
          <m:t>∈</m:t>
        </m:r>
        <m:sSub>
          <m:e>
            <m:r>
              <m:rPr>
                <m:scr m:val="script"/>
                <m:sty m:val="p"/>
              </m:rPr>
              <m:t>D</m:t>
            </m:r>
          </m:e>
          <m:sub>
            <m:r>
              <m:rPr>
                <m:nor/>
                <m:sty m:val="p"/>
              </m:rPr>
              <m:t>train</m:t>
            </m:r>
          </m:sub>
        </m:sSub>
        <m:r>
          <m:rPr>
            <m:sty m:val="p"/>
          </m:rPr>
          <m:t>:</m:t>
        </m:r>
        <m:r>
          <m:t>k</m:t>
        </m:r>
        <m:r>
          <m:rPr>
            <m:sty m:val="p"/>
          </m:rPr>
          <m:t>∈</m:t>
        </m:r>
        <m:r>
          <m:rPr>
            <m:nor/>
            <m:sty m:val="p"/>
          </m:rPr>
          <m:t>desc</m:t>
        </m:r>
        <m:r>
          <m:rPr>
            <m:sty m:val="p"/>
          </m:rPr>
          <m:t>(</m:t>
        </m:r>
        <m:r>
          <m:t>d</m:t>
        </m:r>
        <m:r>
          <m:rPr>
            <m:sty m:val="p"/>
          </m:rPr>
          <m:t>)</m:t>
        </m:r>
        <m:r>
          <m:rPr>
            <m:sty m:val="p"/>
          </m:rPr>
          <m:t>∧</m:t>
        </m:r>
        <m:r>
          <m:rPr>
            <m:nor/>
            <m:sty m:val="p"/>
          </m:rPr>
          <m:t>severity</m:t>
        </m:r>
        <m:r>
          <m:rPr>
            <m:sty m:val="p"/>
          </m:rPr>
          <m:t>(</m:t>
        </m:r>
        <m:r>
          <m:t>d</m:t>
        </m:r>
        <m:r>
          <m:rPr>
            <m:sty m:val="p"/>
          </m:rPr>
          <m:t>)</m:t>
        </m:r>
        <m:r>
          <m:rPr>
            <m:sty m:val="p"/>
          </m:rPr>
          <m:t>=</m:t>
        </m:r>
        <m:r>
          <m:rPr>
            <m:nor/>
            <m:sty m:val="p"/>
          </m:rPr>
          <m:t>Moderate</m:t>
        </m:r>
        <m:r>
          <m:rPr>
            <m:sty m:val="p"/>
          </m:rPr>
          <m:t>}</m:t>
        </m:r>
        <m:r>
          <m:rPr>
            <m:sty m:val="p"/>
          </m:rPr>
          <m:t>|</m:t>
        </m:r>
      </m:oMath>
      <w:r>
        <w:t xml:space="preserve"> </w:t>
      </w:r>
      <m:oMath>
        <m:r>
          <m:t>P</m:t>
        </m:r>
        <m:r>
          <m:rPr>
            <m:sty m:val="p"/>
          </m:rPr>
          <m:t>(</m:t>
        </m:r>
        <m:r>
          <m:t>k</m:t>
        </m:r>
        <m:r>
          <m:rPr>
            <m:sty m:val="p"/>
          </m:rPr>
          <m:t>|</m:t>
        </m:r>
        <m:r>
          <m:rPr>
            <m:nor/>
            <m:sty m:val="p"/>
          </m:rPr>
          <m:t>Major</m:t>
        </m:r>
        <m:r>
          <m:rPr>
            <m:sty m:val="p"/>
          </m:rPr>
          <m:t>)</m:t>
        </m:r>
        <m:r>
          <m:rPr>
            <m:sty m:val="p"/>
          </m:rPr>
          <m:t>←</m:t>
        </m:r>
        <m:sSub>
          <m:e>
            <m:r>
              <m:t>c</m:t>
            </m:r>
          </m:e>
          <m:sub>
            <m:r>
              <m:rPr>
                <m:nor/>
                <m:sty m:val="p"/>
              </m:rPr>
              <m:t>Major</m:t>
            </m:r>
          </m:sub>
        </m:sSub>
        <m:r>
          <m:rPr>
            <m:sty m:val="p"/>
          </m:rPr>
          <m:t>/</m:t>
        </m:r>
        <m:sSub>
          <m:e>
            <m:r>
              <m:t>n</m:t>
            </m:r>
          </m:e>
          <m:sub>
            <m:r>
              <m:rPr>
                <m:nor/>
                <m:sty m:val="p"/>
              </m:rPr>
              <m:t>Major</m:t>
            </m:r>
          </m:sub>
        </m:sSub>
      </m:oMath>
      <w:r>
        <w:t xml:space="preserve"> </w:t>
      </w:r>
      <m:oMath>
        <m:r>
          <m:t>P</m:t>
        </m:r>
        <m:r>
          <m:rPr>
            <m:sty m:val="p"/>
          </m:rPr>
          <m:t>(</m:t>
        </m:r>
        <m:r>
          <m:t>k</m:t>
        </m:r>
        <m:r>
          <m:rPr>
            <m:sty m:val="p"/>
          </m:rPr>
          <m:t>|</m:t>
        </m:r>
        <m:r>
          <m:rPr>
            <m:nor/>
            <m:sty m:val="p"/>
          </m:rPr>
          <m:t>Moderate</m:t>
        </m:r>
        <m:r>
          <m:rPr>
            <m:sty m:val="p"/>
          </m:rPr>
          <m:t>)</m:t>
        </m:r>
        <m:r>
          <m:rPr>
            <m:sty m:val="p"/>
          </m:rPr>
          <m:t>←</m:t>
        </m:r>
        <m:sSub>
          <m:e>
            <m:r>
              <m:t>c</m:t>
            </m:r>
          </m:e>
          <m:sub>
            <m:r>
              <m:rPr>
                <m:nor/>
                <m:sty m:val="p"/>
              </m:rPr>
              <m:t>Moderate</m:t>
            </m:r>
          </m:sub>
        </m:sSub>
        <m:r>
          <m:rPr>
            <m:sty m:val="p"/>
          </m:rPr>
          <m:t>/</m:t>
        </m:r>
        <m:sSub>
          <m:e>
            <m:r>
              <m:t>n</m:t>
            </m:r>
          </m:e>
          <m:sub>
            <m:r>
              <m:rPr>
                <m:nor/>
                <m:sty m:val="p"/>
              </m:rPr>
              <m:t>Moderate</m:t>
            </m:r>
          </m:sub>
        </m:sSub>
      </m:oMath>
      <w:r>
        <w:t xml:space="preserve"> </w:t>
      </w:r>
      <m:oMath>
        <m:r>
          <m:rPr>
            <m:scr m:val="script"/>
            <m:sty m:val="p"/>
          </m:rPr>
          <m:t>W</m:t>
        </m:r>
        <m:r>
          <m:rPr>
            <m:sty m:val="p"/>
          </m:rPr>
          <m:t>[</m:t>
        </m:r>
        <m:r>
          <m:t>k</m:t>
        </m:r>
        <m:r>
          <m:rPr>
            <m:sty m:val="p"/>
          </m:rPr>
          <m:t>]</m:t>
        </m:r>
        <m:r>
          <m:rPr>
            <m:sty m:val="p"/>
          </m:rPr>
          <m:t>←</m:t>
        </m:r>
        <m:r>
          <m:rPr>
            <m:sty m:val="p"/>
          </m:rPr>
          <m:t>ln</m:t>
        </m:r>
        <m:r>
          <m:rPr>
            <m:sty m:val="p"/>
          </m:rPr>
          <m:t>(</m:t>
        </m:r>
        <m:r>
          <m:t>P</m:t>
        </m:r>
        <m:r>
          <m:rPr>
            <m:sty m:val="p"/>
          </m:rPr>
          <m:t>(</m:t>
        </m:r>
        <m:r>
          <m:t>k</m:t>
        </m:r>
        <m:r>
          <m:rPr>
            <m:sty m:val="p"/>
          </m:rPr>
          <m:t>|</m:t>
        </m:r>
        <m:r>
          <m:rPr>
            <m:nor/>
            <m:sty m:val="p"/>
          </m:rPr>
          <m:t>Major</m:t>
        </m:r>
        <m:r>
          <m:rPr>
            <m:sty m:val="p"/>
          </m:rPr>
          <m:t>)</m:t>
        </m:r>
        <m:r>
          <m:rPr>
            <m:sty m:val="p"/>
          </m:rPr>
          <m:t>/</m:t>
        </m:r>
        <m:r>
          <m:t>P</m:t>
        </m:r>
        <m:r>
          <m:rPr>
            <m:sty m:val="p"/>
          </m:rPr>
          <m:t>(</m:t>
        </m:r>
        <m:r>
          <m:t>k</m:t>
        </m:r>
        <m:r>
          <m:rPr>
            <m:sty m:val="p"/>
          </m:rPr>
          <m:t>|</m:t>
        </m:r>
        <m:r>
          <m:rPr>
            <m:nor/>
            <m:sty m:val="p"/>
          </m:rPr>
          <m:t>Moderate</m:t>
        </m:r>
        <m:r>
          <m:rPr>
            <m:sty m:val="p"/>
          </m:rPr>
          <m:t>)</m:t>
        </m:r>
        <m:r>
          <m:rPr>
            <m:sty m:val="p"/>
          </m:rPr>
          <m:t>)</m:t>
        </m:r>
      </m:oMath>
      <w:r>
        <w:t xml:space="preserve"> </w:t>
      </w:r>
      <m:oMath>
        <m:r>
          <m:rPr>
            <m:scr m:val="script"/>
            <m:sty m:val="p"/>
          </m:rPr>
          <m:t>W</m:t>
        </m:r>
      </m:oMath>
    </w:p>
    <w:bookmarkEnd w:id="20"/>
    <w:bookmarkStart w:id="21" w:name="s1.3.4-algorithm-severity-classification"/>
    <w:p>
      <w:pPr>
        <w:pStyle w:val="Heading3"/>
      </w:pPr>
      <w:r>
        <w:t xml:space="preserve">S1.3.4 Algorithm: Severity Classification</w:t>
      </w:r>
    </w:p>
    <w:p>
      <w:pPr>
        <w:pStyle w:val="FirstParagraph"/>
      </w:pPr>
      <m:oMath>
        <m:r>
          <m:rPr>
            <m:scr m:val="script"/>
            <m:sty m:val="p"/>
          </m:rPr>
          <m:t>W</m:t>
        </m:r>
      </m:oMath>
      <w:r>
        <w:t xml:space="preserve">: Keyword weights (from Algorithm </w:t>
      </w:r>
      <w:hyperlink w:anchor="alg:weight_derivation">
        <w:r>
          <w:rPr>
            <w:rStyle w:val="Hyperlink"/>
          </w:rPr>
          <w:t xml:space="preserve">[alg:weight_derivation]</w:t>
        </w:r>
      </w:hyperlink>
      <w:r>
        <w:t xml:space="preserve">)</w:t>
      </w:r>
      <w:r>
        <w:t xml:space="preserve"> </w:t>
      </w:r>
      <m:oMath>
        <m:sSub>
          <m:e>
            <m:r>
              <m:rPr>
                <m:scr m:val="script"/>
                <m:sty m:val="p"/>
              </m:rPr>
              <m:t>S</m:t>
            </m:r>
          </m:e>
          <m:sub>
            <m:r>
              <m:rPr>
                <m:nor/>
                <m:sty m:val="p"/>
              </m:rPr>
              <m:t>train</m:t>
            </m:r>
          </m:sub>
        </m:sSub>
      </m:oMath>
      <w:r>
        <w:t xml:space="preserve">: Training set scores (for threshold calibration)</w:t>
      </w:r>
      <w:r>
        <w:t xml:space="preserve"> </w:t>
      </w:r>
      <m:oMath>
        <m:r>
          <m:t>d</m:t>
        </m:r>
      </m:oMath>
      <w:r>
        <w:t xml:space="preserve">: DDI description to classify</w:t>
      </w:r>
      <w:r>
        <w:t xml:space="preserve"> </w:t>
      </w:r>
      <w:r>
        <w:t xml:space="preserve">severity: One of {Contraindicated, Major, Moderate, Minor}</w:t>
      </w:r>
      <w:r>
        <w:t xml:space="preserve"> </w:t>
      </w:r>
      <w:r>
        <w:rPr>
          <w:b/>
          <w:bCs/>
        </w:rPr>
        <w:t xml:space="preserve">Step 1: Compute severity score</w:t>
      </w:r>
      <w:r>
        <w:t xml:space="preserve"> </w:t>
      </w:r>
      <m:oMath>
        <m:r>
          <m:t>S</m:t>
        </m:r>
        <m:r>
          <m:rPr>
            <m:sty m:val="p"/>
          </m:rPr>
          <m:t>←</m:t>
        </m:r>
        <m:r>
          <m:t>0</m:t>
        </m:r>
      </m:oMath>
      <w:r>
        <w:t xml:space="preserve"> </w:t>
      </w:r>
      <m:oMath>
        <m:r>
          <m:t>S</m:t>
        </m:r>
        <m:r>
          <m:rPr>
            <m:sty m:val="p"/>
          </m:rPr>
          <m:t>←</m:t>
        </m:r>
        <m:r>
          <m:t>S</m:t>
        </m:r>
        <m:r>
          <m:rPr>
            <m:sty m:val="p"/>
          </m:rPr>
          <m:t>+</m:t>
        </m:r>
        <m:r>
          <m:rPr>
            <m:scr m:val="script"/>
            <m:sty m:val="p"/>
          </m:rPr>
          <m:t>W</m:t>
        </m:r>
        <m:r>
          <m:rPr>
            <m:sty m:val="p"/>
          </m:rPr>
          <m:t>[</m:t>
        </m:r>
        <m:r>
          <m:t>k</m:t>
        </m:r>
        <m:r>
          <m:rPr>
            <m:sty m:val="p"/>
          </m:rPr>
          <m:t>]</m:t>
        </m:r>
      </m:oMath>
      <w:r>
        <w:t xml:space="preserve"> </w:t>
      </w:r>
      <w:r>
        <w:rPr>
          <w:b/>
          <w:bCs/>
        </w:rPr>
        <w:t xml:space="preserve">Step 2: Compute percentile thresholds from training scores</w:t>
      </w:r>
      <w:r>
        <w:t xml:space="preserve"> </w:t>
      </w:r>
      <m:oMath>
        <m:sSub>
          <m:e>
            <m:r>
              <m:t>P</m:t>
            </m:r>
          </m:e>
          <m:sub>
            <m:r>
              <m:t>96</m:t>
            </m:r>
          </m:sub>
        </m:sSub>
        <m:r>
          <m:rPr>
            <m:sty m:val="p"/>
          </m:rPr>
          <m:t>←</m:t>
        </m:r>
        <m:r>
          <m:rPr>
            <m:nor/>
            <m:sty m:val="p"/>
          </m:rPr>
          <m:t>percentile</m:t>
        </m:r>
        <m:r>
          <m:rPr>
            <m:sty m:val="p"/>
          </m:rPr>
          <m:t>(</m:t>
        </m:r>
        <m:sSub>
          <m:e>
            <m:r>
              <m:rPr>
                <m:scr m:val="script"/>
                <m:sty m:val="p"/>
              </m:rPr>
              <m:t>S</m:t>
            </m:r>
          </m:e>
          <m:sub>
            <m:r>
              <m:rPr>
                <m:nor/>
                <m:sty m:val="p"/>
              </m:rPr>
              <m:t>train</m:t>
            </m:r>
          </m:sub>
        </m:sSub>
        <m:r>
          <m:rPr>
            <m:sty m:val="p"/>
          </m:rPr>
          <m:t>,</m:t>
        </m:r>
        <m:r>
          <m:t>96</m:t>
        </m:r>
        <m:r>
          <m:rPr>
            <m:sty m:val="p"/>
          </m:rPr>
          <m:t>)</m:t>
        </m:r>
      </m:oMath>
      <w:r>
        <w:t xml:space="preserve"> </w:t>
      </w:r>
      <m:oMath>
        <m:sSub>
          <m:e>
            <m:r>
              <m:t>P</m:t>
            </m:r>
          </m:e>
          <m:sub>
            <m:r>
              <m:t>78</m:t>
            </m:r>
          </m:sub>
        </m:sSub>
        <m:r>
          <m:rPr>
            <m:sty m:val="p"/>
          </m:rPr>
          <m:t>←</m:t>
        </m:r>
        <m:r>
          <m:rPr>
            <m:nor/>
            <m:sty m:val="p"/>
          </m:rPr>
          <m:t>percentile</m:t>
        </m:r>
        <m:r>
          <m:rPr>
            <m:sty m:val="p"/>
          </m:rPr>
          <m:t>(</m:t>
        </m:r>
        <m:sSub>
          <m:e>
            <m:r>
              <m:rPr>
                <m:scr m:val="script"/>
                <m:sty m:val="p"/>
              </m:rPr>
              <m:t>S</m:t>
            </m:r>
          </m:e>
          <m:sub>
            <m:r>
              <m:rPr>
                <m:nor/>
                <m:sty m:val="p"/>
              </m:rPr>
              <m:t>train</m:t>
            </m:r>
          </m:sub>
        </m:sSub>
        <m:r>
          <m:rPr>
            <m:sty m:val="p"/>
          </m:rPr>
          <m:t>,</m:t>
        </m:r>
        <m:r>
          <m:t>78</m:t>
        </m:r>
        <m:r>
          <m:rPr>
            <m:sty m:val="p"/>
          </m:rPr>
          <m:t>)</m:t>
        </m:r>
      </m:oMath>
      <w:r>
        <w:t xml:space="preserve"> </w:t>
      </w:r>
      <m:oMath>
        <m:sSub>
          <m:e>
            <m:r>
              <m:t>P</m:t>
            </m:r>
          </m:e>
          <m:sub>
            <m:r>
              <m:t>4</m:t>
            </m:r>
          </m:sub>
        </m:sSub>
        <m:r>
          <m:rPr>
            <m:sty m:val="p"/>
          </m:rPr>
          <m:t>←</m:t>
        </m:r>
        <m:r>
          <m:rPr>
            <m:nor/>
            <m:sty m:val="p"/>
          </m:rPr>
          <m:t>percentile</m:t>
        </m:r>
        <m:r>
          <m:rPr>
            <m:sty m:val="p"/>
          </m:rPr>
          <m:t>(</m:t>
        </m:r>
        <m:sSub>
          <m:e>
            <m:r>
              <m:rPr>
                <m:scr m:val="script"/>
                <m:sty m:val="p"/>
              </m:rPr>
              <m:t>S</m:t>
            </m:r>
          </m:e>
          <m:sub>
            <m:r>
              <m:rPr>
                <m:nor/>
                <m:sty m:val="p"/>
              </m:rPr>
              <m:t>train</m:t>
            </m:r>
          </m:sub>
        </m:sSub>
        <m:r>
          <m:rPr>
            <m:sty m:val="p"/>
          </m:rPr>
          <m:t>,</m:t>
        </m:r>
        <m:r>
          <m:t>4</m:t>
        </m:r>
        <m:r>
          <m:rPr>
            <m:sty m:val="p"/>
          </m:rPr>
          <m:t>)</m:t>
        </m:r>
      </m:oMath>
      <w:r>
        <w:t xml:space="preserve"> </w:t>
      </w:r>
      <w:r>
        <w:rPr>
          <w:b/>
          <w:bCs/>
        </w:rPr>
        <w:t xml:space="preserve">Step 3: Classify based on score</w:t>
      </w:r>
      <w:r>
        <w:t xml:space="preserve"> </w:t>
      </w:r>
      <w:r>
        <w:t xml:space="preserve">Contraindicated</w:t>
      </w:r>
      <w:r>
        <w:t xml:space="preserve"> </w:t>
      </w:r>
      <w:r>
        <w:t xml:space="preserve">Major</w:t>
      </w:r>
      <w:r>
        <w:t xml:space="preserve"> </w:t>
      </w:r>
      <w:r>
        <w:t xml:space="preserve">Minor</w:t>
      </w:r>
      <w:r>
        <w:t xml:space="preserve"> </w:t>
      </w:r>
      <w:r>
        <w:t xml:space="preserve">Moderate</w:t>
      </w:r>
    </w:p>
    <w:bookmarkEnd w:id="21"/>
    <w:bookmarkStart w:id="22" w:name="s1.3.5-severity-score-calculation"/>
    <w:p>
      <w:pPr>
        <w:pStyle w:val="Heading3"/>
      </w:pPr>
      <w:r>
        <w:t xml:space="preserve">S1.3.5 Severity Score Calculation</w:t>
      </w:r>
    </w:p>
    <w:p>
      <w:pPr>
        <w:pStyle w:val="FirstParagraph"/>
      </w:pPr>
      <w:r>
        <w:t xml:space="preserve">For each DDI description, the severity score is computed:</w:t>
      </w:r>
    </w:p>
    <w:p>
      <w:pPr>
        <w:pStyle w:val="BodyText"/>
      </w:pPr>
      <m:oMathPara>
        <m:oMathParaPr>
          <m:jc m:val="center"/>
        </m:oMathParaPr>
        <m:oMath>
          <m:r>
            <m:t>S</m:t>
          </m:r>
          <m:r>
            <m:rPr>
              <m:sty m:val="p"/>
            </m:rPr>
            <m:t>=</m:t>
          </m:r>
          <m:nary>
            <m:naryPr>
              <m:chr m:val="∑"/>
              <m:limLoc m:val="undOvr"/>
              <m:subHide m:val="off"/>
              <m:supHide m:val="on"/>
            </m:naryPr>
            <m:sub>
              <m:r>
                <m:t>k</m:t>
              </m:r>
              <m:r>
                <m:rPr>
                  <m:sty m:val="p"/>
                </m:rPr>
                <m:t>∈</m:t>
              </m:r>
              <m:r>
                <m:rPr>
                  <m:nor/>
                  <m:sty m:val="p"/>
                </m:rPr>
                <m:t>keywords</m:t>
              </m:r>
            </m:sub>
            <m:sup>
              <m:r>
                <m:t>​</m:t>
              </m:r>
            </m:sup>
            <m:e>
              <m:sSub>
                <m:e>
                  <m:r>
                    <m:t>w</m:t>
                  </m:r>
                </m:e>
                <m:sub>
                  <m:r>
                    <m:t>k</m:t>
                  </m:r>
                </m:sub>
              </m:sSub>
            </m:e>
          </m:nary>
          <m:r>
            <m:rPr>
              <m:sty m:val="p"/>
            </m:rPr>
            <m:t>⋅</m:t>
          </m:r>
          <m:r>
            <m:rPr>
              <m:scr m:val="double-struck"/>
              <m:sty m:val="p"/>
            </m:rPr>
            <m:t>1</m:t>
          </m:r>
          <m:r>
            <m:rPr>
              <m:sty m:val="p"/>
            </m:rPr>
            <m:t>[</m:t>
          </m:r>
          <m:r>
            <m:t>k</m:t>
          </m:r>
          <m:r>
            <m:rPr>
              <m:sty m:val="p"/>
            </m:rPr>
            <m:t>∈</m:t>
          </m:r>
          <m:r>
            <m:rPr>
              <m:nor/>
              <m:sty m:val="p"/>
            </m:rPr>
            <m:t>description</m:t>
          </m:r>
          <m:r>
            <m:rPr>
              <m:sty m:val="p"/>
            </m:rPr>
            <m:t>]</m:t>
          </m:r>
        </m:oMath>
      </m:oMathPara>
    </w:p>
    <w:p>
      <w:pPr>
        <w:pStyle w:val="FirstParagraph"/>
      </w:pPr>
      <w:r>
        <w:t xml:space="preserve">where</w:t>
      </w:r>
      <w:r>
        <w:t xml:space="preserve"> </w:t>
      </w:r>
      <m:oMath>
        <m:r>
          <m:rPr>
            <m:scr m:val="double-struck"/>
            <m:sty m:val="p"/>
          </m:rPr>
          <m:t>1</m:t>
        </m:r>
        <m:r>
          <m:rPr>
            <m:sty m:val="p"/>
          </m:rPr>
          <m:t>[</m:t>
        </m:r>
        <m:r>
          <m:rPr>
            <m:sty m:val="p"/>
          </m:rPr>
          <m:t>⋅</m:t>
        </m:r>
        <m:r>
          <m:rPr>
            <m:sty m:val="p"/>
          </m:rPr>
          <m:t>]</m:t>
        </m:r>
      </m:oMath>
      <w:r>
        <w:t xml:space="preserve"> </w:t>
      </w:r>
      <w:r>
        <w:t xml:space="preserve">is the indicator function.</w:t>
      </w:r>
    </w:p>
    <w:bookmarkEnd w:id="22"/>
    <w:bookmarkStart w:id="23" w:name="s1.3.6-percentile-based-thresholds"/>
    <w:p>
      <w:pPr>
        <w:pStyle w:val="Heading3"/>
      </w:pPr>
      <w:r>
        <w:t xml:space="preserve">S1.3.6 Percentile-Based Thresholds</w:t>
      </w:r>
    </w:p>
    <w:p>
      <w:pPr>
        <w:pStyle w:val="FirstParagraph"/>
      </w:pPr>
      <w:r>
        <w:t xml:space="preserve">Final classification uses percentile thresholds derived from the training set score distribution, aligned to DDInter’s severity distribution:</w:t>
      </w:r>
    </w:p>
    <w:p>
      <w:pPr>
        <w:numPr>
          <w:ilvl w:val="0"/>
          <w:numId w:val="1002"/>
        </w:numPr>
      </w:pPr>
      <w:r>
        <w:rPr>
          <w:b/>
          <w:bCs/>
        </w:rPr>
        <w:t xml:space="preserve">Contraindicated:</w:t>
      </w:r>
      <w:r>
        <w:t xml:space="preserve"> </w:t>
      </w:r>
      <w:r>
        <w:t xml:space="preserve">Top 4% of scores (</w:t>
      </w:r>
      <m:oMath>
        <m:r>
          <m:rPr>
            <m:sty m:val="p"/>
          </m:rPr>
          <m:t>≥</m:t>
        </m:r>
      </m:oMath>
      <w:r>
        <w:t xml:space="preserve"> </w:t>
      </w:r>
      <w:r>
        <w:t xml:space="preserve">96th percentile)</w:t>
      </w:r>
    </w:p>
    <w:p>
      <w:pPr>
        <w:numPr>
          <w:ilvl w:val="0"/>
          <w:numId w:val="1002"/>
        </w:numPr>
      </w:pPr>
      <w:r>
        <w:rPr>
          <w:b/>
          <w:bCs/>
        </w:rPr>
        <w:t xml:space="preserve">Major:</w:t>
      </w:r>
      <w:r>
        <w:t xml:space="preserve"> </w:t>
      </w:r>
      <w:r>
        <w:t xml:space="preserve">Next 18% of scores (78th–96th percentile)</w:t>
      </w:r>
    </w:p>
    <w:p>
      <w:pPr>
        <w:numPr>
          <w:ilvl w:val="0"/>
          <w:numId w:val="1002"/>
        </w:numPr>
      </w:pPr>
      <w:r>
        <w:rPr>
          <w:b/>
          <w:bCs/>
        </w:rPr>
        <w:t xml:space="preserve">Moderate:</w:t>
      </w:r>
      <w:r>
        <w:t xml:space="preserve"> </w:t>
      </w:r>
      <w:r>
        <w:t xml:space="preserve">Middle 74% (4th–78th percentiles)</w:t>
      </w:r>
    </w:p>
    <w:p>
      <w:pPr>
        <w:numPr>
          <w:ilvl w:val="0"/>
          <w:numId w:val="1002"/>
        </w:numPr>
      </w:pPr>
      <w:r>
        <w:rPr>
          <w:b/>
          <w:bCs/>
        </w:rPr>
        <w:t xml:space="preserve">Minor:</w:t>
      </w:r>
      <w:r>
        <w:t xml:space="preserve"> </w:t>
      </w:r>
      <w:r>
        <w:t xml:space="preserve">Bottom 4% of scores (</w:t>
      </w:r>
      <m:oMath>
        <m:r>
          <m:rPr>
            <m:sty m:val="p"/>
          </m:rPr>
          <m:t>≤</m:t>
        </m:r>
      </m:oMath>
      <w:r>
        <w:t xml:space="preserve"> </w:t>
      </w:r>
      <w:r>
        <w:t xml:space="preserve">4th percentile)</w:t>
      </w:r>
    </w:p>
    <w:p>
      <w:pPr>
        <w:pStyle w:val="FirstParagraph"/>
      </w:pPr>
      <m:oMathPara>
        <m:oMathParaPr>
          <m:jc m:val="center"/>
        </m:oMathParaPr>
        <m:oMath>
          <m:r>
            <m:rPr>
              <m:nor/>
              <m:sty m:val="p"/>
            </m:rPr>
            <m:t>Severity</m:t>
          </m:r>
          <m:r>
            <m:rPr>
              <m:sty m:val="p"/>
            </m:rPr>
            <m:t>=</m:t>
          </m:r>
          <m:d>
            <m:dPr>
              <m:begChr m:val="{"/>
              <m:sepChr m:val=""/>
              <m:endChr m:val=""/>
              <m:grow/>
            </m:dPr>
            <m:e>
              <m:m>
                <m:mPr>
                  <m:baseJc m:val="center"/>
                  <m:plcHide m:val="on"/>
                  <m:mcs>
                    <m:mc>
                      <m:mcPr>
                        <m:mcJc m:val="left"/>
                        <m:count m:val="1"/>
                      </m:mcPr>
                    </m:mc>
                    <m:mc>
                      <m:mcPr>
                        <m:mcJc m:val="left"/>
                        <m:count m:val="1"/>
                      </m:mcPr>
                    </m:mc>
                  </m:mcs>
                </m:mPr>
                <m:mr>
                  <m:e>
                    <m:r>
                      <m:rPr>
                        <m:nor/>
                        <m:scr m:val="monospace"/>
                        <m:sty m:val="p"/>
                      </m:rPr>
                      <m:t>Contraindicated</m:t>
                    </m:r>
                  </m:e>
                  <m:e>
                    <m:r>
                      <m:t>S</m:t>
                    </m:r>
                    <m:r>
                      <m:rPr>
                        <m:sty m:val="p"/>
                      </m:rPr>
                      <m:t>≥</m:t>
                    </m:r>
                    <m:sSub>
                      <m:e>
                        <m:r>
                          <m:t>P</m:t>
                        </m:r>
                      </m:e>
                      <m:sub>
                        <m:r>
                          <m:t>96</m:t>
                        </m:r>
                      </m:sub>
                    </m:sSub>
                  </m:e>
                </m:mr>
                <m:mr>
                  <m:e>
                    <m:r>
                      <m:rPr>
                        <m:nor/>
                        <m:scr m:val="monospace"/>
                        <m:sty m:val="p"/>
                      </m:rPr>
                      <m:t>Major</m:t>
                    </m:r>
                  </m:e>
                  <m:e>
                    <m:sSub>
                      <m:e>
                        <m:r>
                          <m:t>P</m:t>
                        </m:r>
                      </m:e>
                      <m:sub>
                        <m:r>
                          <m:t>78</m:t>
                        </m:r>
                      </m:sub>
                    </m:sSub>
                    <m:r>
                      <m:rPr>
                        <m:sty m:val="p"/>
                      </m:rPr>
                      <m:t>≤</m:t>
                    </m:r>
                    <m:r>
                      <m:t>S</m:t>
                    </m:r>
                    <m:r>
                      <m:rPr>
                        <m:sty m:val="p"/>
                      </m:rPr>
                      <m:t>&lt;</m:t>
                    </m:r>
                    <m:sSub>
                      <m:e>
                        <m:r>
                          <m:t>P</m:t>
                        </m:r>
                      </m:e>
                      <m:sub>
                        <m:r>
                          <m:t>96</m:t>
                        </m:r>
                      </m:sub>
                    </m:sSub>
                  </m:e>
                </m:mr>
                <m:mr>
                  <m:e>
                    <m:r>
                      <m:rPr>
                        <m:nor/>
                        <m:scr m:val="monospace"/>
                        <m:sty m:val="p"/>
                      </m:rPr>
                      <m:t>Minor</m:t>
                    </m:r>
                  </m:e>
                  <m:e>
                    <m:r>
                      <m:t>S</m:t>
                    </m:r>
                    <m:r>
                      <m:rPr>
                        <m:sty m:val="p"/>
                      </m:rPr>
                      <m:t>≤</m:t>
                    </m:r>
                    <m:sSub>
                      <m:e>
                        <m:r>
                          <m:t>P</m:t>
                        </m:r>
                      </m:e>
                      <m:sub>
                        <m:r>
                          <m:t>4</m:t>
                        </m:r>
                      </m:sub>
                    </m:sSub>
                  </m:e>
                </m:mr>
                <m:mr>
                  <m:e>
                    <m:r>
                      <m:rPr>
                        <m:nor/>
                        <m:scr m:val="monospace"/>
                        <m:sty m:val="p"/>
                      </m:rPr>
                      <m:t>Moderate</m:t>
                    </m:r>
                  </m:e>
                  <m:e>
                    <m:r>
                      <m:rPr>
                        <m:nor/>
                        <m:sty m:val="p"/>
                      </m:rPr>
                      <m:t>otherwise</m:t>
                    </m:r>
                  </m:e>
                </m:mr>
              </m:m>
            </m:e>
          </m:d>
        </m:oMath>
      </m:oMathPara>
    </w:p>
    <w:bookmarkEnd w:id="23"/>
    <w:bookmarkStart w:id="24" w:name="s1.3.7-validation-results"/>
    <w:p>
      <w:pPr>
        <w:pStyle w:val="Heading3"/>
      </w:pPr>
      <w:r>
        <w:t xml:space="preserve">S1.3.7 Validation Results</w:t>
      </w:r>
    </w:p>
    <w:p>
      <w:pPr>
        <w:pStyle w:val="FirstParagraph"/>
      </w:pPr>
      <w:r>
        <w:rPr>
          <w:b/>
          <w:bCs/>
        </w:rPr>
        <w:t xml:space="preserve">DDInter Validation Mapping:</w:t>
      </w:r>
      <w:r>
        <w:t xml:space="preserve"> </w:t>
      </w:r>
      <w:r>
        <w:t xml:space="preserve">For validation against DDInter (which uses only 3 levels), we map Contraindicated</w:t>
      </w:r>
      <w:r>
        <w:t xml:space="preserve"> </w:t>
      </w:r>
      <m:oMath>
        <m:r>
          <m:rPr>
            <m:sty m:val="p"/>
          </m:rPr>
          <m:t>→</m:t>
        </m:r>
      </m:oMath>
      <w:r>
        <w:t xml:space="preserve"> </w:t>
      </w:r>
      <w:r>
        <w:t xml:space="preserve">Major, yielding a combined Major = 22% matching DDInter’s distribution.</w:t>
      </w:r>
    </w:p>
    <w:p>
      <w:pPr>
        <w:pStyle w:val="BodyText"/>
      </w:pPr>
      <w:r>
        <w:rPr>
          <w:b/>
          <w:bCs/>
        </w:rPr>
        <w:t xml:space="preserve">Test Set Performance (n=11,150):</w:t>
      </w:r>
    </w:p>
    <w:p>
      <w:pPr>
        <w:numPr>
          <w:ilvl w:val="0"/>
          <w:numId w:val="1003"/>
        </w:numPr>
      </w:pPr>
      <w:r>
        <w:t xml:space="preserve">Exact Accuracy: 52.1%</w:t>
      </w:r>
    </w:p>
    <w:p>
      <w:pPr>
        <w:numPr>
          <w:ilvl w:val="0"/>
          <w:numId w:val="1003"/>
        </w:numPr>
      </w:pPr>
      <w:r>
        <w:t xml:space="preserve">Adjacent Accuracy: 98.6%</w:t>
      </w:r>
    </w:p>
    <w:p>
      <w:pPr>
        <w:numPr>
          <w:ilvl w:val="0"/>
          <w:numId w:val="1003"/>
        </w:numPr>
      </w:pPr>
      <w:r>
        <w:t xml:space="preserve">Cohen’s</w:t>
      </w:r>
      <w:r>
        <w:t xml:space="preserve"> </w:t>
      </w:r>
      <m:oMath>
        <m:r>
          <m:t>κ</m:t>
        </m:r>
      </m:oMath>
      <w:r>
        <w:t xml:space="preserve">: +0.071</w:t>
      </w:r>
    </w:p>
    <w:p>
      <w:pPr>
        <w:pStyle w:val="FirstParagraph"/>
      </w:pPr>
      <w:r>
        <w:rPr>
          <w:b/>
          <w:bCs/>
        </w:rPr>
        <w:t xml:space="preserve">Per-class Recall:</w:t>
      </w:r>
      <w:r>
        <w:t xml:space="preserve"> </w:t>
      </w:r>
      <w:r>
        <w:t xml:space="preserve">Major 49.8%, Moderate 55.2%, Minor 11.4%.</w:t>
      </w:r>
    </w:p>
    <w:p>
      <w:pPr>
        <w:pStyle w:val="BodyText"/>
      </w:pPr>
      <w:r>
        <w:rPr>
          <w:b/>
          <w:bCs/>
        </w:rPr>
        <w:t xml:space="preserve">Score-Severity Correlation:</w:t>
      </w:r>
      <w:r>
        <w:t xml:space="preserve"> </w:t>
      </w:r>
      <w:r>
        <w:t xml:space="preserve">Mean scores by true severity: Major (+0.94), Moderate (+0.09), Minor (</w:t>
      </w:r>
      <m:oMath>
        <m:r>
          <m:rPr>
            <m:sty m:val="p"/>
          </m:rPr>
          <m:t>−</m:t>
        </m:r>
      </m:oMath>
      <w:r>
        <w:t xml:space="preserve">0.27). The empirically-derived weights successfully discriminate severity levels despite substantial within-class overlap (std</w:t>
      </w:r>
      <w:r>
        <w:t xml:space="preserve"> </w:t>
      </w:r>
      <m:oMath>
        <m:r>
          <m:rPr>
            <m:sty m:val="p"/>
          </m:rPr>
          <m:t>≈</m:t>
        </m:r>
      </m:oMath>
      <w:r>
        <w:t xml:space="preserve"> </w:t>
      </w:r>
      <w:r>
        <w:t xml:space="preserve">1.3–1.5).</w:t>
      </w:r>
    </w:p>
    <w:bookmarkEnd w:id="24"/>
    <w:bookmarkEnd w:id="25"/>
    <w:bookmarkEnd w:id="26"/>
    <w:bookmarkStart w:id="32" w:name="s2-evidence-based-classifier"/>
    <w:p>
      <w:pPr>
        <w:pStyle w:val="Heading1"/>
      </w:pPr>
      <w:r>
        <w:t xml:space="preserve">S2: Evidence-Based Classifier</w:t>
      </w:r>
    </w:p>
    <w:bookmarkStart w:id="27" w:name="s2.1-overview"/>
    <w:p>
      <w:pPr>
        <w:pStyle w:val="Heading2"/>
      </w:pPr>
      <w:r>
        <w:t xml:space="preserve">S2.1 Overview</w:t>
      </w:r>
    </w:p>
    <w:p>
      <w:pPr>
        <w:pStyle w:val="FirstParagraph"/>
      </w:pPr>
      <w:r>
        <w:t xml:space="preserve">The Evidence-Based classifier is a hybrid framework combining the empirically-derived keyword weights from the Rule-Based classifier (Section S1.3) with confidence-based penalization. It uses identical weights derived from DDInter training data but applies a confidence penalty for low-confidence predictions.</w:t>
      </w:r>
    </w:p>
    <w:bookmarkEnd w:id="27"/>
    <w:bookmarkStart w:id="28" w:name="s2.2-keyword-scoring"/>
    <w:p>
      <w:pPr>
        <w:pStyle w:val="Heading2"/>
      </w:pPr>
      <w:r>
        <w:t xml:space="preserve">S2.2 Keyword Scoring</w:t>
      </w:r>
    </w:p>
    <w:p>
      <w:pPr>
        <w:pStyle w:val="FirstParagraph"/>
      </w:pPr>
      <w:r>
        <w:t xml:space="preserve">Uses the same empirically-derived weights as Rule-Based (Table </w:t>
      </w:r>
      <w:hyperlink w:anchor="tab:empirical_weights">
        <w:r>
          <w:rPr>
            <w:rStyle w:val="Hyperlink"/>
          </w:rPr>
          <w:t xml:space="preserve">3</w:t>
        </w:r>
      </w:hyperlink>
      <w:r>
        <w:t xml:space="preserve">):</w:t>
      </w:r>
    </w:p>
    <w:p>
      <w:pPr>
        <w:pStyle w:val="BodyText"/>
      </w:pPr>
      <m:oMathPara>
        <m:oMathParaPr>
          <m:jc m:val="center"/>
        </m:oMathParaPr>
        <m:oMath>
          <m:r>
            <m:t>S</m:t>
          </m:r>
          <m:r>
            <m:rPr>
              <m:sty m:val="p"/>
            </m:rPr>
            <m:t>=</m:t>
          </m:r>
          <m:nary>
            <m:naryPr>
              <m:chr m:val="∑"/>
              <m:limLoc m:val="undOvr"/>
              <m:subHide m:val="off"/>
              <m:supHide m:val="on"/>
            </m:naryPr>
            <m:sub>
              <m:r>
                <m:t>k</m:t>
              </m:r>
              <m:r>
                <m:rPr>
                  <m:sty m:val="p"/>
                </m:rPr>
                <m:t>∈</m:t>
              </m:r>
              <m:r>
                <m:rPr>
                  <m:nor/>
                  <m:sty m:val="p"/>
                </m:rPr>
                <m:t>keywords</m:t>
              </m:r>
            </m:sub>
            <m:sup>
              <m:r>
                <m:t>​</m:t>
              </m:r>
            </m:sup>
            <m:e>
              <m:sSub>
                <m:e>
                  <m:r>
                    <m:t>w</m:t>
                  </m:r>
                </m:e>
                <m:sub>
                  <m:r>
                    <m:t>k</m:t>
                  </m:r>
                </m:sub>
              </m:sSub>
            </m:e>
          </m:nary>
          <m:r>
            <m:rPr>
              <m:sty m:val="p"/>
            </m:rPr>
            <m:t>⋅</m:t>
          </m:r>
          <m:r>
            <m:rPr>
              <m:scr m:val="double-struck"/>
              <m:sty m:val="p"/>
            </m:rPr>
            <m:t>1</m:t>
          </m:r>
          <m:r>
            <m:rPr>
              <m:sty m:val="p"/>
            </m:rPr>
            <m:t>[</m:t>
          </m:r>
          <m:r>
            <m:t>k</m:t>
          </m:r>
          <m:r>
            <m:rPr>
              <m:sty m:val="p"/>
            </m:rPr>
            <m:t>∈</m:t>
          </m:r>
          <m:r>
            <m:rPr>
              <m:nor/>
              <m:sty m:val="p"/>
            </m:rPr>
            <m:t>description</m:t>
          </m:r>
          <m:r>
            <m:rPr>
              <m:sty m:val="p"/>
            </m:rPr>
            <m:t>]</m:t>
          </m:r>
        </m:oMath>
      </m:oMathPara>
    </w:p>
    <w:bookmarkEnd w:id="28"/>
    <w:bookmarkStart w:id="29" w:name="s2.3-confidence-penalty"/>
    <w:p>
      <w:pPr>
        <w:pStyle w:val="Heading2"/>
      </w:pPr>
      <w:r>
        <w:t xml:space="preserve">S2.3 Confidence Penalty</w:t>
      </w:r>
    </w:p>
    <w:p>
      <w:pPr>
        <w:pStyle w:val="FirstParagraph"/>
      </w:pPr>
      <w:r>
        <w:t xml:space="preserve">Scores are reduced by 20% for predictions with base classifier confidence</w:t>
      </w:r>
      <w:r>
        <w:t xml:space="preserve"> </w:t>
      </w:r>
      <m:oMath>
        <m:r>
          <m:rPr>
            <m:sty m:val="p"/>
          </m:rPr>
          <m:t>&lt;</m:t>
        </m:r>
      </m:oMath>
      <w:r>
        <w:t xml:space="preserve">50%:</w:t>
      </w:r>
    </w:p>
    <w:p>
      <w:pPr>
        <w:pStyle w:val="BodyText"/>
      </w:pPr>
      <m:oMathPara>
        <m:oMathParaPr>
          <m:jc m:val="center"/>
        </m:oMathParaPr>
        <m:oMath>
          <m:sSub>
            <m:e>
              <m:r>
                <m:t>S</m:t>
              </m:r>
            </m:e>
            <m:sub>
              <m:r>
                <m:rPr>
                  <m:nor/>
                  <m:sty m:val="p"/>
                </m:rPr>
                <m:t>adjusted</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S</m:t>
                        </m:r>
                      </m:e>
                      <m:sub>
                        <m:r>
                          <m:rPr>
                            <m:nor/>
                            <m:sty m:val="p"/>
                          </m:rPr>
                          <m:t>raw</m:t>
                        </m:r>
                      </m:sub>
                    </m:sSub>
                    <m:r>
                      <m:rPr>
                        <m:sty m:val="p"/>
                      </m:rPr>
                      <m:t>×</m:t>
                    </m:r>
                    <m:r>
                      <m:t>0.8</m:t>
                    </m:r>
                  </m:e>
                  <m:e>
                    <m:r>
                      <m:rPr>
                        <m:nor/>
                        <m:sty m:val="p"/>
                      </m:rPr>
                      <m:t>if confidence</m:t>
                    </m:r>
                    <m:r>
                      <m:rPr>
                        <m:sty m:val="p"/>
                      </m:rPr>
                      <m:t>&lt;</m:t>
                    </m:r>
                    <m:r>
                      <m:t>0.5</m:t>
                    </m:r>
                  </m:e>
                </m:mr>
                <m:mr>
                  <m:e>
                    <m:sSub>
                      <m:e>
                        <m:r>
                          <m:t>S</m:t>
                        </m:r>
                      </m:e>
                      <m:sub>
                        <m:r>
                          <m:rPr>
                            <m:nor/>
                            <m:sty m:val="p"/>
                          </m:rPr>
                          <m:t>raw</m:t>
                        </m:r>
                      </m:sub>
                    </m:sSub>
                  </m:e>
                  <m:e>
                    <m:r>
                      <m:rPr>
                        <m:nor/>
                        <m:sty m:val="p"/>
                      </m:rPr>
                      <m:t>otherwise</m:t>
                    </m:r>
                  </m:e>
                </m:mr>
              </m:m>
            </m:e>
          </m:d>
        </m:oMath>
      </m:oMathPara>
    </w:p>
    <w:bookmarkEnd w:id="29"/>
    <w:bookmarkStart w:id="30" w:name="s2.4-percentile-based-classification"/>
    <w:p>
      <w:pPr>
        <w:pStyle w:val="Heading2"/>
      </w:pPr>
      <w:r>
        <w:t xml:space="preserve">S2.4 Percentile-Based Classification</w:t>
      </w:r>
    </w:p>
    <w:p>
      <w:pPr>
        <w:pStyle w:val="FirstParagraph"/>
      </w:pPr>
      <w:r>
        <w:t xml:space="preserve">Final severity is assigned using the same percentile thresholds as Rule-Based, producing our target 4-class distribution:</w:t>
      </w:r>
    </w:p>
    <w:p>
      <w:pPr>
        <w:pStyle w:val="BodyText"/>
      </w:pPr>
      <m:oMathPara>
        <m:oMathParaPr>
          <m:jc m:val="center"/>
        </m:oMathParaPr>
        <m:oMath>
          <m:r>
            <m:rPr>
              <m:nor/>
              <m:sty m:val="p"/>
            </m:rPr>
            <m:t>Severity</m:t>
          </m:r>
          <m:r>
            <m:rPr>
              <m:sty m:val="p"/>
            </m:rPr>
            <m:t>=</m:t>
          </m:r>
          <m:d>
            <m:dPr>
              <m:begChr m:val="{"/>
              <m:sepChr m:val=""/>
              <m:endChr m:val=""/>
              <m:grow/>
            </m:dPr>
            <m:e>
              <m:m>
                <m:mPr>
                  <m:baseJc m:val="center"/>
                  <m:plcHide m:val="on"/>
                  <m:mcs>
                    <m:mc>
                      <m:mcPr>
                        <m:mcJc m:val="left"/>
                        <m:count m:val="1"/>
                      </m:mcPr>
                    </m:mc>
                    <m:mc>
                      <m:mcPr>
                        <m:mcJc m:val="left"/>
                        <m:count m:val="1"/>
                      </m:mcPr>
                    </m:mc>
                  </m:mcs>
                </m:mPr>
                <m:mr>
                  <m:e>
                    <m:r>
                      <m:rPr>
                        <m:nor/>
                        <m:scr m:val="monospace"/>
                        <m:sty m:val="p"/>
                      </m:rPr>
                      <m:t>Contraindicated</m:t>
                    </m:r>
                  </m:e>
                  <m:e>
                    <m:r>
                      <m:t>S</m:t>
                    </m:r>
                    <m:r>
                      <m:rPr>
                        <m:sty m:val="p"/>
                      </m:rPr>
                      <m:t>≥</m:t>
                    </m:r>
                    <m:sSub>
                      <m:e>
                        <m:r>
                          <m:t>P</m:t>
                        </m:r>
                      </m:e>
                      <m:sub>
                        <m:r>
                          <m:t>96</m:t>
                        </m:r>
                      </m:sub>
                    </m:sSub>
                    <m:r>
                      <m:rPr>
                        <m:nor/>
                        <m:sty m:val="p"/>
                      </m:rPr>
                      <m:t> (top 4%)</m:t>
                    </m:r>
                  </m:e>
                </m:mr>
                <m:mr>
                  <m:e>
                    <m:r>
                      <m:rPr>
                        <m:nor/>
                        <m:scr m:val="monospace"/>
                        <m:sty m:val="p"/>
                      </m:rPr>
                      <m:t>Major</m:t>
                    </m:r>
                  </m:e>
                  <m:e>
                    <m:sSub>
                      <m:e>
                        <m:r>
                          <m:t>P</m:t>
                        </m:r>
                      </m:e>
                      <m:sub>
                        <m:r>
                          <m:t>78</m:t>
                        </m:r>
                      </m:sub>
                    </m:sSub>
                    <m:r>
                      <m:rPr>
                        <m:sty m:val="p"/>
                      </m:rPr>
                      <m:t>≤</m:t>
                    </m:r>
                    <m:r>
                      <m:t>S</m:t>
                    </m:r>
                    <m:r>
                      <m:rPr>
                        <m:sty m:val="p"/>
                      </m:rPr>
                      <m:t>&lt;</m:t>
                    </m:r>
                    <m:sSub>
                      <m:e>
                        <m:r>
                          <m:t>P</m:t>
                        </m:r>
                      </m:e>
                      <m:sub>
                        <m:r>
                          <m:t>96</m:t>
                        </m:r>
                      </m:sub>
                    </m:sSub>
                    <m:r>
                      <m:rPr>
                        <m:nor/>
                        <m:sty m:val="p"/>
                      </m:rPr>
                      <m:t> (next 18%)</m:t>
                    </m:r>
                  </m:e>
                </m:mr>
                <m:mr>
                  <m:e>
                    <m:r>
                      <m:rPr>
                        <m:nor/>
                        <m:scr m:val="monospace"/>
                        <m:sty m:val="p"/>
                      </m:rPr>
                      <m:t>Minor</m:t>
                    </m:r>
                  </m:e>
                  <m:e>
                    <m:r>
                      <m:t>S</m:t>
                    </m:r>
                    <m:r>
                      <m:rPr>
                        <m:sty m:val="p"/>
                      </m:rPr>
                      <m:t>≤</m:t>
                    </m:r>
                    <m:sSub>
                      <m:e>
                        <m:r>
                          <m:t>P</m:t>
                        </m:r>
                      </m:e>
                      <m:sub>
                        <m:r>
                          <m:t>4</m:t>
                        </m:r>
                      </m:sub>
                    </m:sSub>
                    <m:r>
                      <m:rPr>
                        <m:nor/>
                        <m:sty m:val="p"/>
                      </m:rPr>
                      <m:t> (bottom 4%)</m:t>
                    </m:r>
                  </m:e>
                </m:mr>
                <m:mr>
                  <m:e>
                    <m:r>
                      <m:rPr>
                        <m:nor/>
                        <m:scr m:val="monospace"/>
                        <m:sty m:val="p"/>
                      </m:rPr>
                      <m:t>Moderate</m:t>
                    </m:r>
                  </m:e>
                  <m:e>
                    <m:r>
                      <m:rPr>
                        <m:nor/>
                        <m:sty m:val="p"/>
                      </m:rPr>
                      <m:t>otherwise (middle 74%)</m:t>
                    </m:r>
                  </m:e>
                </m:mr>
              </m:m>
            </m:e>
          </m:d>
        </m:oMath>
      </m:oMathPara>
    </w:p>
    <w:bookmarkEnd w:id="30"/>
    <w:bookmarkStart w:id="31" w:name="s2.5-validation-results"/>
    <w:p>
      <w:pPr>
        <w:pStyle w:val="Heading2"/>
      </w:pPr>
      <w:r>
        <w:t xml:space="preserve">S2.5 Validation Results</w:t>
      </w:r>
    </w:p>
    <w:p>
      <w:pPr>
        <w:pStyle w:val="FirstParagraph"/>
      </w:pPr>
      <w:r>
        <w:rPr>
          <w:b/>
          <w:bCs/>
        </w:rPr>
        <w:t xml:space="preserve">Test Set Performance (n=11,150):</w:t>
      </w:r>
      <w:r>
        <w:t xml:space="preserve"> </w:t>
      </w:r>
      <w:r>
        <w:t xml:space="preserve">Evidence-Based achieves identical performance to Rule-Based (52.1% exact accuracy, 98.6% adjacent,</w:t>
      </w:r>
      <w:r>
        <w:t xml:space="preserve"> </w:t>
      </w:r>
      <m:oMath>
        <m:r>
          <m:t>κ</m:t>
        </m:r>
      </m:oMath>
      <w:r>
        <w:t xml:space="preserve">=+0.071) because confidence penalization has minimal effect on the empirically-weighted scores.</w:t>
      </w:r>
    </w:p>
    <w:bookmarkEnd w:id="31"/>
    <w:bookmarkEnd w:id="32"/>
    <w:bookmarkStart w:id="42" w:name="X3387b96dbab8ca3783d7200f21ab86062a81739"/>
    <w:p>
      <w:pPr>
        <w:pStyle w:val="Heading1"/>
      </w:pPr>
      <w:r>
        <w:t xml:space="preserve">S3: Alternative Approaches Explored (Not Used in Final Validation)</w:t>
      </w:r>
    </w:p>
    <w:p>
      <w:pPr>
        <w:pStyle w:val="FirstParagraph"/>
      </w:pPr>
      <w:r>
        <w:t xml:space="preserve">The following approaches were explored during development but were not included in the final DDInter validation comparison. They are documented here for completeness.</w:t>
      </w:r>
    </w:p>
    <w:bookmarkStart w:id="33" w:name="s3.1-semantic-similarity-approach"/>
    <w:p>
      <w:pPr>
        <w:pStyle w:val="Heading2"/>
      </w:pPr>
      <w:r>
        <w:t xml:space="preserve">S3.1 Semantic Similarity Approach</w:t>
      </w:r>
    </w:p>
    <w:p>
      <w:pPr>
        <w:pStyle w:val="FirstParagraph"/>
      </w:pPr>
      <w:r>
        <w:t xml:space="preserve">Traditional keyword-based marker detection suffers from limited coverage—new drugs may use unfamiliar terminology, and paraphrased descriptions escape pattern matching. The semantic similarity approach uses sentence embeddings to generalize beyond fixed keyword lists.</w:t>
      </w:r>
    </w:p>
    <w:p>
      <w:pPr>
        <w:pStyle w:val="BodyText"/>
      </w:pPr>
      <w:r>
        <w:t xml:space="preserve">The key insight is that interaction descriptions with similar clinical meaning cluster together in embedding space, regardless of exact wording. We define</w:t>
      </w:r>
      <w:r>
        <w:t xml:space="preserve"> </w:t>
      </w:r>
      <w:r>
        <w:rPr>
          <w:b/>
          <w:bCs/>
        </w:rPr>
        <w:t xml:space="preserve">severity prototypes</w:t>
      </w:r>
      <w:r>
        <w:t xml:space="preserve">—representative descriptions for each severity class—and classify new descriptions based on their semantic proximity to these prototypes.</w:t>
      </w:r>
    </w:p>
    <w:bookmarkEnd w:id="33"/>
    <w:bookmarkStart w:id="34" w:name="s3.2-embedding-model"/>
    <w:p>
      <w:pPr>
        <w:pStyle w:val="Heading2"/>
      </w:pPr>
      <w:r>
        <w:t xml:space="preserve">S3.2 Embedding Model</w:t>
      </w:r>
    </w:p>
    <w:p>
      <w:pPr>
        <w:pStyle w:val="FirstParagraph"/>
      </w:pPr>
      <w:r>
        <w:t xml:space="preserve">We use</w:t>
      </w:r>
      <w:r>
        <w:t xml:space="preserve"> </w:t>
      </w:r>
      <w:r>
        <w:rPr>
          <w:rStyle w:val="VerbatimChar"/>
        </w:rPr>
        <w:t xml:space="preserve">all-MiniLM-L6-v2</w:t>
      </w:r>
      <w:r>
        <w:t xml:space="preserve">, a 384-dimensional sentence transformer that balances speed and quality. The model was pretrained on over 1 billion sentence pairs and fine-tuned for semantic similarity tasks.</w:t>
      </w:r>
    </w:p>
    <w:bookmarkEnd w:id="34"/>
    <w:bookmarkStart w:id="35" w:name="s3.3-prototype-design-philosophy"/>
    <w:p>
      <w:pPr>
        <w:pStyle w:val="Heading2"/>
      </w:pPr>
      <w:r>
        <w:t xml:space="preserve">S3.3 Prototype Design Philosophy</w:t>
      </w:r>
    </w:p>
    <w:p>
      <w:pPr>
        <w:pStyle w:val="FirstParagraph"/>
      </w:pPr>
      <w:r>
        <w:t xml:space="preserve">Prototypes are designed to:</w:t>
      </w:r>
    </w:p>
    <w:p>
      <w:pPr>
        <w:numPr>
          <w:ilvl w:val="0"/>
          <w:numId w:val="1004"/>
        </w:numPr>
      </w:pPr>
      <w:r>
        <w:t xml:space="preserve">Capture the</w:t>
      </w:r>
      <w:r>
        <w:t xml:space="preserve"> </w:t>
      </w:r>
      <w:r>
        <w:rPr>
          <w:b/>
          <w:bCs/>
        </w:rPr>
        <w:t xml:space="preserve">essence</w:t>
      </w:r>
      <w:r>
        <w:t xml:space="preserve"> </w:t>
      </w:r>
      <w:r>
        <w:t xml:space="preserve">of each severity level</w:t>
      </w:r>
    </w:p>
    <w:p>
      <w:pPr>
        <w:numPr>
          <w:ilvl w:val="0"/>
          <w:numId w:val="1004"/>
        </w:numPr>
      </w:pPr>
      <w:r>
        <w:t xml:space="preserve">Use</w:t>
      </w:r>
      <w:r>
        <w:t xml:space="preserve"> </w:t>
      </w:r>
      <w:r>
        <w:rPr>
          <w:b/>
          <w:bCs/>
        </w:rPr>
        <w:t xml:space="preserve">varied phrasing</w:t>
      </w:r>
      <w:r>
        <w:t xml:space="preserve"> </w:t>
      </w:r>
      <w:r>
        <w:t xml:space="preserve">to span the embedding space</w:t>
      </w:r>
    </w:p>
    <w:p>
      <w:pPr>
        <w:numPr>
          <w:ilvl w:val="0"/>
          <w:numId w:val="1004"/>
        </w:numPr>
      </w:pPr>
      <w:r>
        <w:t xml:space="preserve">Include</w:t>
      </w:r>
      <w:r>
        <w:t xml:space="preserve"> </w:t>
      </w:r>
      <w:r>
        <w:rPr>
          <w:b/>
          <w:bCs/>
        </w:rPr>
        <w:t xml:space="preserve">specific clinical outcomes</w:t>
      </w:r>
      <w:r>
        <w:t xml:space="preserve"> </w:t>
      </w:r>
      <w:r>
        <w:t xml:space="preserve">(e.g.,</w:t>
      </w:r>
      <w:r>
        <w:t xml:space="preserve"> </w:t>
      </w:r>
      <w:r>
        <w:t xml:space="preserve">“torsades de pointes”</w:t>
      </w:r>
      <w:r>
        <w:t xml:space="preserve">)</w:t>
      </w:r>
    </w:p>
    <w:p>
      <w:pPr>
        <w:numPr>
          <w:ilvl w:val="0"/>
          <w:numId w:val="1004"/>
        </w:numPr>
      </w:pPr>
      <w:r>
        <w:t xml:space="preserve">Represent</w:t>
      </w:r>
      <w:r>
        <w:t xml:space="preserve"> </w:t>
      </w:r>
      <w:r>
        <w:rPr>
          <w:b/>
          <w:bCs/>
        </w:rPr>
        <w:t xml:space="preserve">multiple mechanisms</w:t>
      </w:r>
      <w:r>
        <w:t xml:space="preserve"> </w:t>
      </w:r>
      <w:r>
        <w:t xml:space="preserve">(cardiac, bleeding, metabolic)</w:t>
      </w:r>
    </w:p>
    <w:bookmarkEnd w:id="35"/>
    <w:bookmarkStart w:id="40" w:name="s3.4-severity-prototypes"/>
    <w:p>
      <w:pPr>
        <w:pStyle w:val="Heading2"/>
      </w:pPr>
      <w:r>
        <w:t xml:space="preserve">S3.4 Severity Prototypes</w:t>
      </w:r>
    </w:p>
    <w:p>
      <w:pPr>
        <w:pStyle w:val="FirstParagraph"/>
      </w:pPr>
      <w:r>
        <w:t xml:space="preserve">For each severity class, we curate 8–12 prototype descriptions representing canonical clinical scenarios:</w:t>
      </w:r>
    </w:p>
    <w:bookmarkStart w:id="36" w:name="contraindicated-prototypes-s-4.0"/>
    <w:p>
      <w:pPr>
        <w:pStyle w:val="Heading3"/>
      </w:pPr>
      <w:r>
        <w:t xml:space="preserve">Contraindicated Prototypes (</w:t>
      </w:r>
      <m:oMath>
        <m:r>
          <m:t>S</m:t>
        </m:r>
        <m:r>
          <m:rPr>
            <m:sty m:val="p"/>
          </m:rPr>
          <m:t>=</m:t>
        </m:r>
        <m:r>
          <m:t>4.0</m:t>
        </m:r>
      </m:oMath>
      <w:r>
        <w:t xml:space="preserve">)</w:t>
      </w:r>
    </w:p>
    <w:p>
      <w:pPr>
        <w:numPr>
          <w:ilvl w:val="0"/>
          <w:numId w:val="1005"/>
        </w:numPr>
      </w:pPr>
      <w:r>
        <w:t xml:space="preserve">“This combination causes fatal cardiac arrhythmias including torsades de pointes”</w:t>
      </w:r>
    </w:p>
    <w:p>
      <w:pPr>
        <w:numPr>
          <w:ilvl w:val="0"/>
          <w:numId w:val="1005"/>
        </w:numPr>
      </w:pPr>
      <w:r>
        <w:t xml:space="preserve">“Co-administration leads to QT prolongation and sudden cardiac death”</w:t>
      </w:r>
    </w:p>
    <w:p>
      <w:pPr>
        <w:numPr>
          <w:ilvl w:val="0"/>
          <w:numId w:val="1005"/>
        </w:numPr>
      </w:pPr>
      <w:r>
        <w:t xml:space="preserve">“Combined use causes life-threatening serotonin syndrome”</w:t>
      </w:r>
    </w:p>
    <w:p>
      <w:pPr>
        <w:numPr>
          <w:ilvl w:val="0"/>
          <w:numId w:val="1005"/>
        </w:numPr>
      </w:pPr>
      <w:r>
        <w:t xml:space="preserve">“This combination is absolutely contraindicated due to fatality risk”</w:t>
      </w:r>
    </w:p>
    <w:p>
      <w:pPr>
        <w:numPr>
          <w:ilvl w:val="0"/>
          <w:numId w:val="1005"/>
        </w:numPr>
      </w:pPr>
      <w:r>
        <w:t xml:space="preserve">“Concurrent use may result in fatal bleeding events”</w:t>
      </w:r>
    </w:p>
    <w:p>
      <w:pPr>
        <w:numPr>
          <w:ilvl w:val="0"/>
          <w:numId w:val="1005"/>
        </w:numPr>
      </w:pPr>
      <w:r>
        <w:t xml:space="preserve">“The combination causes neuroleptic malignant syndrome”</w:t>
      </w:r>
    </w:p>
    <w:p>
      <w:pPr>
        <w:numPr>
          <w:ilvl w:val="0"/>
          <w:numId w:val="1005"/>
        </w:numPr>
      </w:pPr>
      <w:r>
        <w:t xml:space="preserve">“Using these drugs together can cause cardiac arrest”</w:t>
      </w:r>
    </w:p>
    <w:p>
      <w:pPr>
        <w:numPr>
          <w:ilvl w:val="0"/>
          <w:numId w:val="1005"/>
        </w:numPr>
      </w:pPr>
      <w:r>
        <w:t xml:space="preserve">“This drug combination has caused patient deaths”</w:t>
      </w:r>
    </w:p>
    <w:bookmarkEnd w:id="36"/>
    <w:bookmarkStart w:id="37" w:name="major-prototypes-s-3.2"/>
    <w:p>
      <w:pPr>
        <w:pStyle w:val="Heading3"/>
      </w:pPr>
      <w:r>
        <w:t xml:space="preserve">Major Prototypes (</w:t>
      </w:r>
      <m:oMath>
        <m:r>
          <m:t>S</m:t>
        </m:r>
        <m:r>
          <m:rPr>
            <m:sty m:val="p"/>
          </m:rPr>
          <m:t>=</m:t>
        </m:r>
        <m:r>
          <m:t>3.2</m:t>
        </m:r>
      </m:oMath>
      <w:r>
        <w:t xml:space="preserve">)</w:t>
      </w:r>
    </w:p>
    <w:p>
      <w:pPr>
        <w:numPr>
          <w:ilvl w:val="0"/>
          <w:numId w:val="1006"/>
        </w:numPr>
      </w:pPr>
      <w:r>
        <w:t xml:space="preserve">“This combination significantly increases the risk of serious bleeding”</w:t>
      </w:r>
    </w:p>
    <w:p>
      <w:pPr>
        <w:numPr>
          <w:ilvl w:val="0"/>
          <w:numId w:val="1006"/>
        </w:numPr>
      </w:pPr>
      <w:r>
        <w:t xml:space="preserve">“Co-administration causes major hemorrhagic complications”</w:t>
      </w:r>
    </w:p>
    <w:p>
      <w:pPr>
        <w:numPr>
          <w:ilvl w:val="0"/>
          <w:numId w:val="1006"/>
        </w:numPr>
      </w:pPr>
      <w:r>
        <w:t xml:space="preserve">“The combination causes dangerous hyperkalemia”</w:t>
      </w:r>
    </w:p>
    <w:p>
      <w:pPr>
        <w:numPr>
          <w:ilvl w:val="0"/>
          <w:numId w:val="1006"/>
        </w:numPr>
      </w:pPr>
      <w:r>
        <w:t xml:space="preserve">“Combined use may require hospitalization”</w:t>
      </w:r>
    </w:p>
    <w:p>
      <w:pPr>
        <w:numPr>
          <w:ilvl w:val="0"/>
          <w:numId w:val="1006"/>
        </w:numPr>
      </w:pPr>
      <w:r>
        <w:t xml:space="preserve">“This interaction causes severe hypotension requiring intervention”</w:t>
      </w:r>
    </w:p>
    <w:p>
      <w:pPr>
        <w:numPr>
          <w:ilvl w:val="0"/>
          <w:numId w:val="1006"/>
        </w:numPr>
      </w:pPr>
      <w:r>
        <w:t xml:space="preserve">“The combination may lead to acute renal failure”</w:t>
      </w:r>
    </w:p>
    <w:p>
      <w:pPr>
        <w:numPr>
          <w:ilvl w:val="0"/>
          <w:numId w:val="1006"/>
        </w:numPr>
      </w:pPr>
      <w:r>
        <w:t xml:space="preserve">“Using these drugs together increases rhabdomyolysis risk”</w:t>
      </w:r>
    </w:p>
    <w:p>
      <w:pPr>
        <w:numPr>
          <w:ilvl w:val="0"/>
          <w:numId w:val="1006"/>
        </w:numPr>
      </w:pPr>
      <w:r>
        <w:t xml:space="preserve">“Concurrent use causes serious hepatotoxicity”</w:t>
      </w:r>
    </w:p>
    <w:bookmarkEnd w:id="37"/>
    <w:bookmarkStart w:id="38" w:name="moderate-prototypes-s-2.0"/>
    <w:p>
      <w:pPr>
        <w:pStyle w:val="Heading3"/>
      </w:pPr>
      <w:r>
        <w:t xml:space="preserve">Moderate Prototypes (</w:t>
      </w:r>
      <m:oMath>
        <m:r>
          <m:t>S</m:t>
        </m:r>
        <m:r>
          <m:rPr>
            <m:sty m:val="p"/>
          </m:rPr>
          <m:t>=</m:t>
        </m:r>
        <m:r>
          <m:t>2.0</m:t>
        </m:r>
      </m:oMath>
      <w:r>
        <w:t xml:space="preserve">)</w:t>
      </w:r>
    </w:p>
    <w:p>
      <w:pPr>
        <w:numPr>
          <w:ilvl w:val="0"/>
          <w:numId w:val="1007"/>
        </w:numPr>
      </w:pPr>
      <w:r>
        <w:t xml:space="preserve">“This combination may increase serum concentration of the drug”</w:t>
      </w:r>
    </w:p>
    <w:p>
      <w:pPr>
        <w:numPr>
          <w:ilvl w:val="0"/>
          <w:numId w:val="1007"/>
        </w:numPr>
      </w:pPr>
      <w:r>
        <w:t xml:space="preserve">“Use together with caution and monitor for adverse effects”</w:t>
      </w:r>
    </w:p>
    <w:p>
      <w:pPr>
        <w:numPr>
          <w:ilvl w:val="0"/>
          <w:numId w:val="1007"/>
        </w:numPr>
      </w:pPr>
      <w:r>
        <w:t xml:space="preserve">“Dose adjustment may be needed when using these drugs together”</w:t>
      </w:r>
    </w:p>
    <w:p>
      <w:pPr>
        <w:numPr>
          <w:ilvl w:val="0"/>
          <w:numId w:val="1007"/>
        </w:numPr>
      </w:pPr>
      <w:r>
        <w:t xml:space="preserve">“The combination may alter drug metabolism through CYP enzymes”</w:t>
      </w:r>
    </w:p>
    <w:p>
      <w:pPr>
        <w:numPr>
          <w:ilvl w:val="0"/>
          <w:numId w:val="1007"/>
        </w:numPr>
      </w:pPr>
      <w:r>
        <w:t xml:space="preserve">“Monitor blood pressure when using these medications together”</w:t>
      </w:r>
    </w:p>
    <w:p>
      <w:pPr>
        <w:numPr>
          <w:ilvl w:val="0"/>
          <w:numId w:val="1007"/>
        </w:numPr>
      </w:pPr>
      <w:r>
        <w:t xml:space="preserve">“This interaction may reduce the clearance of one drug”</w:t>
      </w:r>
    </w:p>
    <w:p>
      <w:pPr>
        <w:numPr>
          <w:ilvl w:val="0"/>
          <w:numId w:val="1007"/>
        </w:numPr>
      </w:pPr>
      <w:r>
        <w:t xml:space="preserve">“Consider dose reduction when co-administering these agents”</w:t>
      </w:r>
    </w:p>
    <w:bookmarkEnd w:id="38"/>
    <w:bookmarkStart w:id="39" w:name="minor-prototypes-s-1.5"/>
    <w:p>
      <w:pPr>
        <w:pStyle w:val="Heading3"/>
      </w:pPr>
      <w:r>
        <w:t xml:space="preserve">Minor Prototypes (</w:t>
      </w:r>
      <m:oMath>
        <m:r>
          <m:t>S</m:t>
        </m:r>
        <m:r>
          <m:rPr>
            <m:sty m:val="p"/>
          </m:rPr>
          <m:t>=</m:t>
        </m:r>
        <m:r>
          <m:t>1.5</m:t>
        </m:r>
      </m:oMath>
      <w:r>
        <w:t xml:space="preserve">)</w:t>
      </w:r>
    </w:p>
    <w:p>
      <w:pPr>
        <w:numPr>
          <w:ilvl w:val="0"/>
          <w:numId w:val="1008"/>
        </w:numPr>
      </w:pPr>
      <w:r>
        <w:t xml:space="preserve">“This interaction is unlikely to be clinically significant”</w:t>
      </w:r>
    </w:p>
    <w:p>
      <w:pPr>
        <w:numPr>
          <w:ilvl w:val="0"/>
          <w:numId w:val="1008"/>
        </w:numPr>
      </w:pPr>
      <w:r>
        <w:t xml:space="preserve">“The combination has minimal impact on drug effects”</w:t>
      </w:r>
    </w:p>
    <w:p>
      <w:pPr>
        <w:numPr>
          <w:ilvl w:val="0"/>
          <w:numId w:val="1008"/>
        </w:numPr>
      </w:pPr>
      <w:r>
        <w:t xml:space="preserve">“Drug interaction is of low clinical significance”</w:t>
      </w:r>
    </w:p>
    <w:p>
      <w:pPr>
        <w:numPr>
          <w:ilvl w:val="0"/>
          <w:numId w:val="1008"/>
        </w:numPr>
      </w:pPr>
      <w:r>
        <w:t xml:space="preserve">“No dosage adjustment is typically required”</w:t>
      </w:r>
    </w:p>
    <w:p>
      <w:pPr>
        <w:numPr>
          <w:ilvl w:val="0"/>
          <w:numId w:val="1008"/>
        </w:numPr>
      </w:pPr>
      <w:r>
        <w:t xml:space="preserve">“The interaction is theoretical with limited clinical evidence”</w:t>
      </w:r>
    </w:p>
    <w:p>
      <w:pPr>
        <w:numPr>
          <w:ilvl w:val="0"/>
          <w:numId w:val="1008"/>
        </w:numPr>
      </w:pPr>
      <w:r>
        <w:t xml:space="preserve">“Effects are generally well-tolerated”</w:t>
      </w:r>
    </w:p>
    <w:bookmarkEnd w:id="39"/>
    <w:bookmarkEnd w:id="40"/>
    <w:bookmarkStart w:id="41" w:name="s3.5-semantic-scoring-algorithm"/>
    <w:p>
      <w:pPr>
        <w:pStyle w:val="Heading2"/>
      </w:pPr>
      <w:r>
        <w:t xml:space="preserve">S3.5 Semantic Scoring Algorithm</w:t>
      </w:r>
    </w:p>
    <w:p>
      <w:pPr>
        <w:pStyle w:val="FirstParagraph"/>
      </w:pPr>
      <w:r>
        <w:t xml:space="preserve">Given an interaction description</w:t>
      </w:r>
      <w:r>
        <w:t xml:space="preserve"> </w:t>
      </w:r>
      <m:oMath>
        <m:r>
          <m:t>d</m:t>
        </m:r>
      </m:oMath>
      <w:r>
        <w:t xml:space="preserve">, we compute semantic similarity to each severity class:</w:t>
      </w:r>
    </w:p>
    <w:p>
      <w:pPr>
        <w:numPr>
          <w:ilvl w:val="0"/>
          <w:numId w:val="1009"/>
        </w:numPr>
      </w:pPr>
      <w:r>
        <w:t xml:space="preserve">Encode</w:t>
      </w:r>
      <w:r>
        <w:t xml:space="preserve"> </w:t>
      </w:r>
      <m:oMath>
        <m:r>
          <m:t>d</m:t>
        </m:r>
      </m:oMath>
      <w:r>
        <w:t xml:space="preserve"> </w:t>
      </w:r>
      <w:r>
        <w:t xml:space="preserve">using a pre-trained sentence transformer (</w:t>
      </w:r>
      <w:r>
        <w:rPr>
          <w:rStyle w:val="VerbatimChar"/>
        </w:rPr>
        <w:t xml:space="preserve">all-MiniLM-L6-v2</w:t>
      </w:r>
      <w:r>
        <w:t xml:space="preserve">)</w:t>
      </w:r>
    </w:p>
    <w:p>
      <w:pPr>
        <w:numPr>
          <w:ilvl w:val="0"/>
          <w:numId w:val="1009"/>
        </w:numPr>
      </w:pPr>
      <w:r>
        <w:t xml:space="preserve">Compute cosine similarity to each class centroid</w:t>
      </w:r>
      <w:r>
        <w:t xml:space="preserve"> </w:t>
      </w:r>
      <m:oMath>
        <m:sSub>
          <m:e>
            <m:r>
              <m:rPr>
                <m:sty m:val="b"/>
              </m:rPr>
              <m:t>c</m:t>
            </m:r>
          </m:e>
          <m:sub>
            <m:r>
              <m:t>k</m:t>
            </m:r>
          </m:sub>
        </m:sSub>
      </m:oMath>
      <w:r>
        <w:t xml:space="preserve">:</w:t>
      </w:r>
    </w:p>
    <w:p>
      <w:pPr>
        <w:pStyle w:val="BodyText"/>
      </w:pPr>
      <m:oMathPara>
        <m:oMathParaPr>
          <m:jc m:val="center"/>
        </m:oMathParaPr>
        <m:oMath>
          <m:r>
            <m:rPr>
              <m:nor/>
              <m:sty m:val="p"/>
            </m:rPr>
            <m:t>sim</m:t>
          </m:r>
          <m:r>
            <m:rPr>
              <m:sty m:val="p"/>
            </m:rPr>
            <m:t>(</m:t>
          </m:r>
          <m:r>
            <m:t>d</m:t>
          </m:r>
          <m:r>
            <m:rPr>
              <m:sty m:val="p"/>
            </m:rPr>
            <m:t>,</m:t>
          </m:r>
          <m:r>
            <m:t>k</m:t>
          </m:r>
          <m:r>
            <m:rPr>
              <m:sty m:val="p"/>
            </m:rPr>
            <m:t>)</m:t>
          </m:r>
          <m:r>
            <m:rPr>
              <m:sty m:val="p"/>
            </m:rPr>
            <m:t>=</m:t>
          </m:r>
          <m:f>
            <m:fPr>
              <m:type m:val="bar"/>
            </m:fPr>
            <m:num>
              <m:sSub>
                <m:e>
                  <m:r>
                    <m:rPr>
                      <m:sty m:val="b"/>
                    </m:rPr>
                    <m:t>e</m:t>
                  </m:r>
                </m:e>
                <m:sub>
                  <m:r>
                    <m:t>d</m:t>
                  </m:r>
                </m:sub>
              </m:sSub>
              <m:r>
                <m:rPr>
                  <m:sty m:val="p"/>
                </m:rPr>
                <m:t>⋅</m:t>
              </m:r>
              <m:sSub>
                <m:e>
                  <m:r>
                    <m:rPr>
                      <m:sty m:val="b"/>
                    </m:rPr>
                    <m:t>c</m:t>
                  </m:r>
                </m:e>
                <m:sub>
                  <m:r>
                    <m:t>k</m:t>
                  </m:r>
                </m:sub>
              </m:sSub>
            </m:num>
            <m:den>
              <m:r>
                <m:rPr>
                  <m:sty m:val="p"/>
                </m:rPr>
                <m:t>∥</m:t>
              </m:r>
              <m:sSub>
                <m:e>
                  <m:r>
                    <m:rPr>
                      <m:sty m:val="b"/>
                    </m:rPr>
                    <m:t>e</m:t>
                  </m:r>
                </m:e>
                <m:sub>
                  <m:r>
                    <m:t>d</m:t>
                  </m:r>
                </m:sub>
              </m:sSub>
              <m:r>
                <m:rPr>
                  <m:sty m:val="p"/>
                </m:rPr>
                <m:t>∥</m:t>
              </m:r>
              <m:r>
                <m:rPr>
                  <m:sty m:val="p"/>
                </m:rPr>
                <m:t>∥</m:t>
              </m:r>
              <m:sSub>
                <m:e>
                  <m:r>
                    <m:rPr>
                      <m:sty m:val="b"/>
                    </m:rPr>
                    <m:t>c</m:t>
                  </m:r>
                </m:e>
                <m:sub>
                  <m:r>
                    <m:t>k</m:t>
                  </m:r>
                </m:sub>
              </m:sSub>
              <m:r>
                <m:rPr>
                  <m:sty m:val="p"/>
                </m:rPr>
                <m:t>∥</m:t>
              </m:r>
            </m:den>
          </m:f>
        </m:oMath>
      </m:oMathPara>
    </w:p>
    <w:p>
      <w:pPr>
        <w:numPr>
          <w:ilvl w:val="0"/>
          <w:numId w:val="1009"/>
        </w:numPr>
      </w:pPr>
      <w:r>
        <w:t xml:space="preserve">Assign severity based on similarity thresholds:</w:t>
      </w:r>
    </w:p>
    <w:p>
      <w:pPr>
        <w:pStyle w:val="BodyText"/>
      </w:pPr>
      <m:oMathPara>
        <m:oMathParaPr>
          <m:jc m:val="center"/>
        </m:oMathParaPr>
        <m:oMath>
          <m:sSub>
            <m:e>
              <m:r>
                <m:t>S</m:t>
              </m:r>
            </m:e>
            <m:sub>
              <m:r>
                <m:rPr>
                  <m:nor/>
                  <m:sty m:val="p"/>
                </m:rPr>
                <m:t>semantic</m:t>
              </m:r>
            </m:sub>
          </m:sSub>
          <m:r>
            <m:rPr>
              <m:sty m:val="p"/>
            </m:rPr>
            <m:t>=</m:t>
          </m:r>
          <m:d>
            <m:dPr>
              <m:begChr m:val="{"/>
              <m:sepChr m:val=""/>
              <m:endChr m:val=""/>
              <m:grow/>
            </m:dPr>
            <m:e>
              <m:m>
                <m:mPr>
                  <m:baseJc m:val="center"/>
                  <m:plcHide m:val="on"/>
                  <m:mcs>
                    <m:mc>
                      <m:mcPr>
                        <m:mcJc m:val="left"/>
                        <m:count m:val="1"/>
                      </m:mcPr>
                    </m:mc>
                    <m:mc>
                      <m:mcPr>
                        <m:mcJc m:val="left"/>
                        <m:count m:val="1"/>
                      </m:mcPr>
                    </m:mc>
                  </m:mcs>
                </m:mPr>
                <m:mr>
                  <m:e>
                    <m:r>
                      <m:t>4.0</m:t>
                    </m:r>
                  </m:e>
                  <m:e>
                    <m:r>
                      <m:rPr>
                        <m:nor/>
                        <m:sty m:val="p"/>
                      </m:rPr>
                      <m:t>sim</m:t>
                    </m:r>
                    <m:r>
                      <m:rPr>
                        <m:sty m:val="p"/>
                      </m:rPr>
                      <m:t>(</m:t>
                    </m:r>
                    <m:r>
                      <m:t>d</m:t>
                    </m:r>
                    <m:r>
                      <m:rPr>
                        <m:sty m:val="p"/>
                      </m:rPr>
                      <m:t>,</m:t>
                    </m:r>
                    <m:r>
                      <m:rPr>
                        <m:nor/>
                        <m:sty m:val="p"/>
                      </m:rPr>
                      <m:t>contra</m:t>
                    </m:r>
                    <m:r>
                      <m:rPr>
                        <m:sty m:val="p"/>
                      </m:rPr>
                      <m:t>)</m:t>
                    </m:r>
                    <m:r>
                      <m:rPr>
                        <m:sty m:val="p"/>
                      </m:rPr>
                      <m:t>≥</m:t>
                    </m:r>
                    <m:r>
                      <m:t>0.65</m:t>
                    </m:r>
                  </m:e>
                </m:mr>
                <m:mr>
                  <m:e>
                    <m:r>
                      <m:t>3.2</m:t>
                    </m:r>
                  </m:e>
                  <m:e>
                    <m:r>
                      <m:rPr>
                        <m:nor/>
                        <m:sty m:val="p"/>
                      </m:rPr>
                      <m:t>sim</m:t>
                    </m:r>
                    <m:r>
                      <m:rPr>
                        <m:sty m:val="p"/>
                      </m:rPr>
                      <m:t>(</m:t>
                    </m:r>
                    <m:r>
                      <m:t>d</m:t>
                    </m:r>
                    <m:r>
                      <m:rPr>
                        <m:sty m:val="p"/>
                      </m:rPr>
                      <m:t>,</m:t>
                    </m:r>
                    <m:r>
                      <m:rPr>
                        <m:nor/>
                        <m:sty m:val="p"/>
                      </m:rPr>
                      <m:t>major</m:t>
                    </m:r>
                    <m:r>
                      <m:rPr>
                        <m:sty m:val="p"/>
                      </m:rPr>
                      <m:t>)</m:t>
                    </m:r>
                    <m:r>
                      <m:rPr>
                        <m:sty m:val="p"/>
                      </m:rPr>
                      <m:t>≥</m:t>
                    </m:r>
                    <m:r>
                      <m:t>0.55</m:t>
                    </m:r>
                  </m:e>
                </m:mr>
                <m:mr>
                  <m:e>
                    <m:r>
                      <m:t>2.0</m:t>
                    </m:r>
                  </m:e>
                  <m:e>
                    <m:r>
                      <m:rPr>
                        <m:nor/>
                        <m:sty m:val="p"/>
                      </m:rPr>
                      <m:t>sim</m:t>
                    </m:r>
                    <m:r>
                      <m:rPr>
                        <m:sty m:val="p"/>
                      </m:rPr>
                      <m:t>(</m:t>
                    </m:r>
                    <m:r>
                      <m:t>d</m:t>
                    </m:r>
                    <m:r>
                      <m:rPr>
                        <m:sty m:val="p"/>
                      </m:rPr>
                      <m:t>,</m:t>
                    </m:r>
                    <m:r>
                      <m:rPr>
                        <m:nor/>
                        <m:sty m:val="p"/>
                      </m:rPr>
                      <m:t>moderate</m:t>
                    </m:r>
                    <m:r>
                      <m:rPr>
                        <m:sty m:val="p"/>
                      </m:rPr>
                      <m:t>)</m:t>
                    </m:r>
                    <m:r>
                      <m:rPr>
                        <m:sty m:val="p"/>
                      </m:rPr>
                      <m:t>≥</m:t>
                    </m:r>
                    <m:r>
                      <m:t>0.45</m:t>
                    </m:r>
                  </m:e>
                </m:mr>
                <m:mr>
                  <m:e>
                    <m:r>
                      <m:t>1.5</m:t>
                    </m:r>
                  </m:e>
                  <m:e>
                    <m:r>
                      <m:rPr>
                        <m:nor/>
                        <m:sty m:val="p"/>
                      </m:rPr>
                      <m:t>otherwise</m:t>
                    </m:r>
                  </m:e>
                </m:mr>
              </m:m>
            </m:e>
          </m:d>
        </m:oMath>
      </m:oMathPara>
    </w:p>
    <w:bookmarkEnd w:id="41"/>
    <w:bookmarkEnd w:id="42"/>
    <w:bookmarkStart w:id="46" w:name="X26a0beecc86681fc28aab60f0191d32a27c8d19"/>
    <w:p>
      <w:pPr>
        <w:pStyle w:val="Heading1"/>
      </w:pPr>
      <w:r>
        <w:t xml:space="preserve">S4: Confidence and Drug Class Components (Evidence-Based)</w:t>
      </w:r>
    </w:p>
    <w:bookmarkStart w:id="43" w:name="Xec82c246d7cd1649e5c9f67b4943037dae6d484"/>
    <w:p>
      <w:pPr>
        <w:pStyle w:val="Heading2"/>
      </w:pPr>
      <w:r>
        <w:t xml:space="preserve">S4.1 Confidence-Weighted Adjustment (Component 2)</w:t>
      </w:r>
    </w:p>
    <w:p>
      <w:pPr>
        <w:pStyle w:val="FirstParagraph"/>
      </w:pPr>
      <w:r>
        <w:t xml:space="preserve">The original zero-shot prediction is converted to a numeric score and adjusted based on prediction confidence:</w:t>
      </w:r>
    </w:p>
    <w:p>
      <w:pPr>
        <w:pStyle w:val="BodyText"/>
      </w:pPr>
      <m:oMathPara>
        <m:oMathParaPr>
          <m:jc m:val="center"/>
        </m:oMathParaPr>
        <m:oMath>
          <m:sSub>
            <m:e>
              <m:r>
                <m:t>S</m:t>
              </m:r>
            </m:e>
            <m:sub>
              <m:r>
                <m:rPr>
                  <m:nor/>
                  <m:sty m:val="p"/>
                </m:rPr>
                <m:t>confidence</m:t>
              </m:r>
            </m:sub>
          </m:sSub>
          <m:r>
            <m:rPr>
              <m:sty m:val="p"/>
            </m:rPr>
            <m:t>=</m:t>
          </m:r>
          <m:d>
            <m:dPr>
              <m:begChr m:val="{"/>
              <m:sepChr m:val=""/>
              <m:endChr m:val=""/>
              <m:grow/>
            </m:dPr>
            <m:e>
              <m:m>
                <m:mPr>
                  <m:baseJc m:val="center"/>
                  <m:plcHide m:val="on"/>
                  <m:mcs>
                    <m:mc>
                      <m:mcPr>
                        <m:mcJc m:val="left"/>
                        <m:count m:val="1"/>
                      </m:mcPr>
                    </m:mc>
                    <m:mc>
                      <m:mcPr>
                        <m:mcJc m:val="left"/>
                        <m:count m:val="1"/>
                      </m:mcPr>
                    </m:mc>
                  </m:mcs>
                </m:mPr>
                <m:mr>
                  <m:e>
                    <m:r>
                      <m:t>3.0</m:t>
                    </m:r>
                  </m:e>
                  <m:e>
                    <m:r>
                      <m:rPr>
                        <m:nor/>
                        <m:sty m:val="p"/>
                      </m:rPr>
                      <m:t>if </m:t>
                    </m:r>
                    <m:acc>
                      <m:accPr>
                        <m:chr m:val="̂"/>
                      </m:accPr>
                      <m:e>
                        <m:r>
                          <m:t>y</m:t>
                        </m:r>
                      </m:e>
                    </m:acc>
                    <m:r>
                      <m:rPr>
                        <m:sty m:val="p"/>
                      </m:rPr>
                      <m:t>=</m:t>
                    </m:r>
                    <m:r>
                      <m:rPr>
                        <m:nor/>
                        <m:scr m:val="monospace"/>
                        <m:sty m:val="p"/>
                      </m:rPr>
                      <m:t>Contraindicated</m:t>
                    </m:r>
                    <m:r>
                      <m:rPr>
                        <m:sty m:val="p"/>
                      </m:rPr>
                      <m:t>∧</m:t>
                    </m:r>
                    <m:r>
                      <m:t>c</m:t>
                    </m:r>
                    <m:r>
                      <m:rPr>
                        <m:sty m:val="p"/>
                      </m:rPr>
                      <m:t>&lt;</m:t>
                    </m:r>
                    <m:sSub>
                      <m:e>
                        <m:r>
                          <m:t>τ</m:t>
                        </m:r>
                      </m:e>
                      <m:sub>
                        <m:r>
                          <m:t>c</m:t>
                        </m:r>
                      </m:sub>
                    </m:sSub>
                  </m:e>
                </m:mr>
                <m:mr>
                  <m:e>
                    <m:r>
                      <m:t>2.5</m:t>
                    </m:r>
                  </m:e>
                  <m:e>
                    <m:r>
                      <m:rPr>
                        <m:nor/>
                        <m:sty m:val="p"/>
                      </m:rPr>
                      <m:t>if </m:t>
                    </m:r>
                    <m:acc>
                      <m:accPr>
                        <m:chr m:val="̂"/>
                      </m:accPr>
                      <m:e>
                        <m:r>
                          <m:t>y</m:t>
                        </m:r>
                      </m:e>
                    </m:acc>
                    <m:r>
                      <m:rPr>
                        <m:sty m:val="p"/>
                      </m:rPr>
                      <m:t>∈</m:t>
                    </m:r>
                    <m:r>
                      <m:rPr>
                        <m:sty m:val="p"/>
                      </m:rPr>
                      <m:t>{</m:t>
                    </m:r>
                    <m:r>
                      <m:rPr>
                        <m:nor/>
                        <m:scr m:val="monospace"/>
                        <m:sty m:val="p"/>
                      </m:rPr>
                      <m:t>Contraindicated</m:t>
                    </m:r>
                    <m:r>
                      <m:rPr>
                        <m:sty m:val="p"/>
                      </m:rPr>
                      <m:t>,</m:t>
                    </m:r>
                    <m:r>
                      <m:rPr>
                        <m:nor/>
                        <m:scr m:val="monospace"/>
                        <m:sty m:val="p"/>
                      </m:rPr>
                      <m:t>Major</m:t>
                    </m:r>
                    <m:r>
                      <m:rPr>
                        <m:sty m:val="p"/>
                      </m:rPr>
                      <m:t>}</m:t>
                    </m:r>
                    <m:r>
                      <m:rPr>
                        <m:sty m:val="p"/>
                      </m:rPr>
                      <m:t>∧</m:t>
                    </m:r>
                    <m:r>
                      <m:t>c</m:t>
                    </m:r>
                    <m:r>
                      <m:rPr>
                        <m:sty m:val="p"/>
                      </m:rPr>
                      <m:t>&lt;</m:t>
                    </m:r>
                    <m:sSub>
                      <m:e>
                        <m:r>
                          <m:t>τ</m:t>
                        </m:r>
                      </m:e>
                      <m:sub>
                        <m:r>
                          <m:t>m</m:t>
                        </m:r>
                      </m:sub>
                    </m:sSub>
                  </m:e>
                </m:mr>
                <m:mr>
                  <m:e>
                    <m:r>
                      <m:t>ϕ</m:t>
                    </m:r>
                    <m:r>
                      <m:rPr>
                        <m:sty m:val="p"/>
                      </m:rPr>
                      <m:t>(</m:t>
                    </m:r>
                    <m:acc>
                      <m:accPr>
                        <m:chr m:val="̂"/>
                      </m:accPr>
                      <m:e>
                        <m:r>
                          <m:t>y</m:t>
                        </m:r>
                      </m:e>
                    </m:acc>
                    <m:r>
                      <m:rPr>
                        <m:sty m:val="p"/>
                      </m:rPr>
                      <m:t>)</m:t>
                    </m:r>
                  </m:e>
                  <m:e>
                    <m:r>
                      <m:rPr>
                        <m:nor/>
                        <m:sty m:val="p"/>
                      </m:rPr>
                      <m:t>otherwise</m:t>
                    </m:r>
                  </m:e>
                </m:mr>
              </m:m>
            </m:e>
          </m:d>
        </m:oMath>
      </m:oMathPara>
    </w:p>
    <w:p>
      <w:pPr>
        <w:pStyle w:val="FirstParagraph"/>
      </w:pPr>
      <w:r>
        <w:t xml:space="preserve">where</w:t>
      </w:r>
      <w:r>
        <w:t xml:space="preserve"> </w:t>
      </w:r>
      <m:oMath>
        <m:acc>
          <m:accPr>
            <m:chr m:val="̂"/>
          </m:accPr>
          <m:e>
            <m:r>
              <m:t>y</m:t>
            </m:r>
          </m:e>
        </m:acc>
      </m:oMath>
      <w:r>
        <w:t xml:space="preserve"> </w:t>
      </w:r>
      <w:r>
        <w:t xml:space="preserve">is the predicted label,</w:t>
      </w:r>
      <w:r>
        <w:t xml:space="preserve"> </w:t>
      </w:r>
      <m:oMath>
        <m:r>
          <m:t>c</m:t>
        </m:r>
      </m:oMath>
      <w:r>
        <w:t xml:space="preserve"> </w:t>
      </w:r>
      <w:r>
        <w:t xml:space="preserve">is the prediction confidence,</w:t>
      </w:r>
      <w:r>
        <w:t xml:space="preserve"> </w:t>
      </w:r>
      <m:oMath>
        <m:sSub>
          <m:e>
            <m:r>
              <m:t>τ</m:t>
            </m:r>
          </m:e>
          <m:sub>
            <m:r>
              <m:t>c</m:t>
            </m:r>
          </m:sub>
        </m:sSub>
        <m:r>
          <m:rPr>
            <m:sty m:val="p"/>
          </m:rPr>
          <m:t>=</m:t>
        </m:r>
        <m:r>
          <m:t>0.65</m:t>
        </m:r>
      </m:oMath>
      <w:r>
        <w:t xml:space="preserve"> </w:t>
      </w:r>
      <w:r>
        <w:t xml:space="preserve">and</w:t>
      </w:r>
      <w:r>
        <w:t xml:space="preserve"> </w:t>
      </w:r>
      <m:oMath>
        <m:sSub>
          <m:e>
            <m:r>
              <m:t>τ</m:t>
            </m:r>
          </m:e>
          <m:sub>
            <m:r>
              <m:t>m</m:t>
            </m:r>
          </m:sub>
        </m:sSub>
        <m:r>
          <m:rPr>
            <m:sty m:val="p"/>
          </m:rPr>
          <m:t>=</m:t>
        </m:r>
        <m:r>
          <m:t>0.50</m:t>
        </m:r>
      </m:oMath>
      <w:r>
        <w:t xml:space="preserve"> </w:t>
      </w:r>
      <w:r>
        <w:t xml:space="preserve">are confidence thresholds, and</w:t>
      </w:r>
      <w:r>
        <w:t xml:space="preserve"> </w:t>
      </w:r>
      <m:oMath>
        <m:r>
          <m:t>ϕ</m:t>
        </m:r>
        <m:r>
          <m:rPr>
            <m:sty m:val="p"/>
          </m:rPr>
          <m:t>:</m:t>
        </m:r>
        <m:r>
          <m:rPr>
            <m:scr m:val="script"/>
            <m:sty m:val="p"/>
          </m:rPr>
          <m:t>Y</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maps severity labels to numeric scores:</w:t>
      </w:r>
    </w:p>
    <w:p>
      <w:pPr>
        <w:pStyle w:val="BodyText"/>
      </w:pPr>
      <m:oMathPara>
        <m:oMathParaPr>
          <m:jc m:val="center"/>
        </m:oMathParaPr>
        <m:oMath>
          <m:r>
            <m:t>ϕ</m:t>
          </m:r>
          <m:r>
            <m:rPr>
              <m:sty m:val="p"/>
            </m:rPr>
            <m:t>(</m:t>
          </m:r>
          <m:acc>
            <m:accPr>
              <m:chr m:val="̂"/>
            </m:accPr>
            <m:e>
              <m:r>
                <m:t>y</m:t>
              </m:r>
            </m:e>
          </m:acc>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4</m:t>
                    </m:r>
                  </m:e>
                  <m:e>
                    <m:acc>
                      <m:accPr>
                        <m:chr m:val="̂"/>
                      </m:accPr>
                      <m:e>
                        <m:r>
                          <m:t>y</m:t>
                        </m:r>
                      </m:e>
                    </m:acc>
                    <m:r>
                      <m:rPr>
                        <m:sty m:val="p"/>
                      </m:rPr>
                      <m:t>=</m:t>
                    </m:r>
                    <m:r>
                      <m:rPr>
                        <m:nor/>
                        <m:scr m:val="monospace"/>
                        <m:sty m:val="p"/>
                      </m:rPr>
                      <m:t>Contraindicated</m:t>
                    </m:r>
                  </m:e>
                </m:mr>
                <m:mr>
                  <m:e>
                    <m:r>
                      <m:t>3</m:t>
                    </m:r>
                  </m:e>
                  <m:e>
                    <m:acc>
                      <m:accPr>
                        <m:chr m:val="̂"/>
                      </m:accPr>
                      <m:e>
                        <m:r>
                          <m:t>y</m:t>
                        </m:r>
                      </m:e>
                    </m:acc>
                    <m:r>
                      <m:rPr>
                        <m:sty m:val="p"/>
                      </m:rPr>
                      <m:t>=</m:t>
                    </m:r>
                    <m:r>
                      <m:rPr>
                        <m:nor/>
                        <m:scr m:val="monospace"/>
                        <m:sty m:val="p"/>
                      </m:rPr>
                      <m:t>Major</m:t>
                    </m:r>
                  </m:e>
                </m:mr>
                <m:mr>
                  <m:e>
                    <m:r>
                      <m:t>2</m:t>
                    </m:r>
                  </m:e>
                  <m:e>
                    <m:acc>
                      <m:accPr>
                        <m:chr m:val="̂"/>
                      </m:accPr>
                      <m:e>
                        <m:r>
                          <m:t>y</m:t>
                        </m:r>
                      </m:e>
                    </m:acc>
                    <m:r>
                      <m:rPr>
                        <m:sty m:val="p"/>
                      </m:rPr>
                      <m:t>=</m:t>
                    </m:r>
                    <m:r>
                      <m:rPr>
                        <m:nor/>
                        <m:scr m:val="monospace"/>
                        <m:sty m:val="p"/>
                      </m:rPr>
                      <m:t>Moderate</m:t>
                    </m:r>
                  </m:e>
                </m:mr>
                <m:mr>
                  <m:e>
                    <m:r>
                      <m:t>1</m:t>
                    </m:r>
                  </m:e>
                  <m:e>
                    <m:acc>
                      <m:accPr>
                        <m:chr m:val="̂"/>
                      </m:accPr>
                      <m:e>
                        <m:r>
                          <m:t>y</m:t>
                        </m:r>
                      </m:e>
                    </m:acc>
                    <m:r>
                      <m:rPr>
                        <m:sty m:val="p"/>
                      </m:rPr>
                      <m:t>=</m:t>
                    </m:r>
                    <m:r>
                      <m:rPr>
                        <m:nor/>
                        <m:scr m:val="monospace"/>
                        <m:sty m:val="p"/>
                      </m:rPr>
                      <m:t>Minor</m:t>
                    </m:r>
                  </m:e>
                </m:mr>
              </m:m>
            </m:e>
          </m:d>
        </m:oMath>
      </m:oMathPara>
    </w:p>
    <w:p>
      <w:pPr>
        <w:pStyle w:val="FirstParagraph"/>
      </w:pPr>
      <w:r>
        <w:t xml:space="preserve">This component penalizes low-confidence high-severity predictions, effectively implementing skepticism for uncertain contraindication calls.</w:t>
      </w:r>
    </w:p>
    <w:bookmarkEnd w:id="43"/>
    <w:bookmarkStart w:id="45" w:name="X946dc217e7b81efd107aafd57eb1795e2c11575"/>
    <w:p>
      <w:pPr>
        <w:pStyle w:val="Heading2"/>
      </w:pPr>
      <w:r>
        <w:t xml:space="preserve">S4.2 Drug Class Risk Profiling (Component 3)</w:t>
      </w:r>
    </w:p>
    <w:p>
      <w:pPr>
        <w:pStyle w:val="FirstParagraph"/>
      </w:pPr>
      <w:r>
        <w:t xml:space="preserve">Pharmacological class membership informs severity adjustment through known high-risk drug combinations. Drug lists were curated from NCBI/NIH StatPearls peer-reviewed articles.</w:t>
      </w:r>
    </w:p>
    <w:p>
      <w:pPr>
        <w:pStyle w:val="TableCaption"/>
      </w:pPr>
      <w:r>
        <w:t xml:space="preserve">Drug Class Risk Categories</w:t>
      </w:r>
    </w:p>
    <w:tbl>
      <w:tblPr>
        <w:tblStyle w:val="Table"/>
        <w:tblW w:type="auto" w:w="0"/>
        <w:tblLook w:firstRow="1" w:lastRow="0" w:firstColumn="0" w:lastColumn="0" w:noHBand="0" w:noVBand="0" w:val="0020"/>
        <w:tblCaption w:val="Drug Class Risk Categories"/>
      </w:tblPr>
      <w:tblGrid>
        <w:gridCol w:w="2640"/>
        <w:gridCol w:w="2640"/>
        <w:gridCol w:w="2640"/>
      </w:tblGrid>
      <w:tr>
        <w:trPr>
          <w:tblHeader w:val="on"/>
        </w:trPr>
        <w:tc>
          <w:tcPr/>
          <w:p>
            <w:pPr>
              <w:pStyle w:val="Compact"/>
              <w:jc w:val="left"/>
            </w:pPr>
            <w:r>
              <w:rPr>
                <w:b/>
                <w:bCs/>
              </w:rPr>
              <w:t xml:space="preserve">Risk Level</w:t>
            </w:r>
          </w:p>
        </w:tc>
        <w:tc>
          <w:tcPr/>
          <w:p>
            <w:pPr>
              <w:pStyle w:val="Compact"/>
              <w:jc w:val="left"/>
            </w:pPr>
            <w:r>
              <w:rPr>
                <w:b/>
                <w:bCs/>
              </w:rPr>
              <w:t xml:space="preserve">Drug Classes</w:t>
            </w:r>
          </w:p>
        </w:tc>
        <w:tc>
          <w:tcPr/>
          <w:p>
            <w:pPr>
              <w:pStyle w:val="Compact"/>
              <w:jc w:val="left"/>
            </w:pPr>
            <w:r>
              <w:rPr>
                <w:b/>
                <w:bCs/>
              </w:rPr>
              <w:t xml:space="preserve">Score</w:t>
            </w:r>
          </w:p>
        </w:tc>
      </w:tr>
      <w:tr>
        <w:tc>
          <w:tcPr/>
          <w:p>
            <w:pPr>
              <w:pStyle w:val="Compact"/>
              <w:jc w:val="left"/>
            </w:pPr>
            <w:r>
              <w:t xml:space="preserve">Very High</w:t>
            </w:r>
          </w:p>
        </w:tc>
        <w:tc>
          <w:tcPr/>
          <w:p>
            <w:pPr>
              <w:pStyle w:val="Compact"/>
              <w:jc w:val="left"/>
            </w:pPr>
            <w:r>
              <w:t xml:space="preserve">MAOIs + Serotonergics, or MAOIs (both drugs)</w:t>
            </w:r>
          </w:p>
        </w:tc>
        <w:tc>
          <w:tcPr/>
          <w:p>
            <w:pPr>
              <w:pStyle w:val="Compact"/>
              <w:jc w:val="left"/>
            </w:pPr>
            <w:r>
              <w:t xml:space="preserve">4.0</w:t>
            </w:r>
          </w:p>
        </w:tc>
      </w:tr>
      <w:tr>
        <w:tc>
          <w:tcPr/>
          <w:p>
            <w:pPr>
              <w:pStyle w:val="Compact"/>
              <w:jc w:val="left"/>
            </w:pPr>
            <w:r>
              <w:t xml:space="preserve">High</w:t>
            </w:r>
          </w:p>
        </w:tc>
        <w:tc>
          <w:tcPr/>
          <w:p>
            <w:pPr>
              <w:pStyle w:val="Compact"/>
              <w:jc w:val="left"/>
            </w:pPr>
            <w:r>
              <w:t xml:space="preserve">Anticoagulants (overlap) or QT-prolonging (overlap)</w:t>
            </w:r>
          </w:p>
        </w:tc>
        <w:tc>
          <w:tcPr/>
          <w:p>
            <w:pPr>
              <w:pStyle w:val="Compact"/>
              <w:jc w:val="left"/>
            </w:pPr>
            <w:r>
              <w:t xml:space="preserve">3.5</w:t>
            </w:r>
          </w:p>
        </w:tc>
      </w:tr>
      <w:tr>
        <w:tc>
          <w:tcPr/>
          <w:p>
            <w:pPr>
              <w:pStyle w:val="Compact"/>
              <w:jc w:val="left"/>
            </w:pPr>
            <w:r>
              <w:t xml:space="preserve">Elevated</w:t>
            </w:r>
          </w:p>
        </w:tc>
        <w:tc>
          <w:tcPr/>
          <w:p>
            <w:pPr>
              <w:pStyle w:val="Compact"/>
              <w:jc w:val="left"/>
            </w:pPr>
            <w:r>
              <w:t xml:space="preserve">Any high-risk class overlap</w:t>
            </w:r>
          </w:p>
        </w:tc>
        <w:tc>
          <w:tcPr/>
          <w:p>
            <w:pPr>
              <w:pStyle w:val="Compact"/>
              <w:jc w:val="left"/>
            </w:pPr>
            <w:r>
              <w:t xml:space="preserve">3.0</w:t>
            </w:r>
          </w:p>
        </w:tc>
      </w:tr>
      <w:tr>
        <w:tc>
          <w:tcPr/>
          <w:p>
            <w:pPr>
              <w:pStyle w:val="Compact"/>
              <w:jc w:val="left"/>
            </w:pPr>
            <w:r>
              <w:t xml:space="preserve">Moderate</w:t>
            </w:r>
          </w:p>
        </w:tc>
        <w:tc>
          <w:tcPr/>
          <w:p>
            <w:pPr>
              <w:pStyle w:val="Compact"/>
              <w:jc w:val="left"/>
            </w:pPr>
            <w:r>
              <w:t xml:space="preserve">One drug in risk class</w:t>
            </w:r>
          </w:p>
        </w:tc>
        <w:tc>
          <w:tcPr/>
          <w:p>
            <w:pPr>
              <w:pStyle w:val="Compact"/>
              <w:jc w:val="left"/>
            </w:pPr>
            <w:r>
              <w:t xml:space="preserve">2.5</w:t>
            </w:r>
          </w:p>
        </w:tc>
      </w:tr>
      <w:tr>
        <w:tc>
          <w:tcPr/>
          <w:p>
            <w:pPr>
              <w:pStyle w:val="Compact"/>
              <w:jc w:val="left"/>
            </w:pPr>
            <w:r>
              <w:t xml:space="preserve">Standard</w:t>
            </w:r>
          </w:p>
        </w:tc>
        <w:tc>
          <w:tcPr/>
          <w:p>
            <w:pPr>
              <w:pStyle w:val="Compact"/>
              <w:jc w:val="left"/>
            </w:pPr>
            <w:r>
              <w:t xml:space="preserve">No risk class membership</w:t>
            </w:r>
          </w:p>
        </w:tc>
        <w:tc>
          <w:tcPr/>
          <w:p>
            <w:pPr>
              <w:pStyle w:val="Compact"/>
              <w:jc w:val="left"/>
            </w:pPr>
            <w:r>
              <w:t xml:space="preserve">2.0</w:t>
            </w:r>
          </w:p>
        </w:tc>
      </w:tr>
    </w:tbl>
    <w:bookmarkStart w:id="44" w:name="drug-class-lists-from-ncbinih-statpearls"/>
    <w:p>
      <w:pPr>
        <w:pStyle w:val="Heading3"/>
      </w:pPr>
      <w:r>
        <w:t xml:space="preserve">Drug Class Lists (from NCBI/NIH StatPearls)</w:t>
      </w:r>
    </w:p>
    <w:p>
      <w:pPr>
        <w:pStyle w:val="FirstParagraph"/>
      </w:pPr>
      <w:r>
        <w:rPr>
          <w:b/>
          <w:bCs/>
        </w:rPr>
        <w:t xml:space="preserve">MAOIs</w:t>
      </w:r>
      <w:r>
        <w:t xml:space="preserve"> </w:t>
      </w:r>
      <w:r>
        <w:t xml:space="preserve">(PMID: 30844151, NBK539848):</w:t>
      </w:r>
      <w:r>
        <w:t xml:space="preserve"> </w:t>
      </w:r>
      <w:r>
        <w:t xml:space="preserve">Phenelzine, Tranylcypromine, Isocarboxazid, Selegiline, Rasagiline, Safinamide</w:t>
      </w:r>
    </w:p>
    <w:p>
      <w:pPr>
        <w:pStyle w:val="BodyText"/>
      </w:pPr>
      <w:r>
        <w:rPr>
          <w:b/>
          <w:bCs/>
        </w:rPr>
        <w:t xml:space="preserve">Anticoagulants</w:t>
      </w:r>
      <w:r>
        <w:t xml:space="preserve"> </w:t>
      </w:r>
      <w:r>
        <w:t xml:space="preserve">(PMID: 32809486, NBK560651):</w:t>
      </w:r>
      <w:r>
        <w:t xml:space="preserve"> </w:t>
      </w:r>
      <w:r>
        <w:t xml:space="preserve">Warfarin, Heparin, Enoxaparin, Dalteparin, Tinzaparin, Nadroparin, Rivaroxaban, Apixaban, Dabigatran, Edoxaban, Betrixaban, Fondaparinux, Argatroban, Bivalirudin</w:t>
      </w:r>
    </w:p>
    <w:p>
      <w:pPr>
        <w:pStyle w:val="BodyText"/>
      </w:pPr>
      <w:r>
        <w:rPr>
          <w:b/>
          <w:bCs/>
        </w:rPr>
        <w:t xml:space="preserve">QT-Prolonging Agents</w:t>
      </w:r>
      <w:r>
        <w:t xml:space="preserve"> </w:t>
      </w:r>
      <w:r>
        <w:t xml:space="preserve">(PMID: 30521285, NBK534864):</w:t>
      </w:r>
      <w:r>
        <w:t xml:space="preserve"> </w:t>
      </w:r>
      <w:r>
        <w:t xml:space="preserve">Amiodarone, Sotalol, Dofetilide, Dronedarone, Quinidine, Procainamide, Flecainide, Ibutilide, Haloperidol, Ziprasidone, Quetiapine, Thioridazine, Droperidol, Azithromycin, Erythromycin, Clarithromycin, Moxifloxacin, Levofloxacin, Amitriptyline, Imipramine, Citalopram, Escitalopram, Methadone, Ondansetron</w:t>
      </w:r>
    </w:p>
    <w:p>
      <w:pPr>
        <w:pStyle w:val="BodyText"/>
      </w:pPr>
      <w:r>
        <w:rPr>
          <w:b/>
          <w:bCs/>
        </w:rPr>
        <w:t xml:space="preserve">Antiplatelets</w:t>
      </w:r>
      <w:r>
        <w:t xml:space="preserve">:</w:t>
      </w:r>
      <w:r>
        <w:t xml:space="preserve"> </w:t>
      </w:r>
      <w:r>
        <w:t xml:space="preserve">Aspirin, Clopidogrel, Ticagrelor, Prasugrel, Dipyridamole, Ticlopidine, Cangrelor, Abciximab, Eptifibatide, Tirofiban, Cilostazol</w:t>
      </w:r>
    </w:p>
    <w:p>
      <w:pPr>
        <w:pStyle w:val="BodyText"/>
      </w:pPr>
      <w:r>
        <w:rPr>
          <w:b/>
          <w:bCs/>
        </w:rPr>
        <w:t xml:space="preserve">Serotonergics</w:t>
      </w:r>
      <w:r>
        <w:t xml:space="preserve"> </w:t>
      </w:r>
      <w:r>
        <w:t xml:space="preserve">(interact with MAOIs per NBK539848):</w:t>
      </w:r>
      <w:r>
        <w:t xml:space="preserve"> </w:t>
      </w:r>
      <w:r>
        <w:t xml:space="preserve">Fluoxetine, Sertraline, Paroxetine, Citalopram, Escitalopram, Venlafaxine, Duloxetine, Tramadol, Meperidine, Dextromethorphan, Fentanyl, Methadone, Sumatriptan, Rizatriptan, Zolmitriptan</w:t>
      </w:r>
    </w:p>
    <w:bookmarkEnd w:id="44"/>
    <w:bookmarkEnd w:id="45"/>
    <w:bookmarkEnd w:id="46"/>
    <w:bookmarkStart w:id="51" w:name="s5-legacy-clinical-marker-taxonomy"/>
    <w:p>
      <w:pPr>
        <w:pStyle w:val="Heading1"/>
      </w:pPr>
      <w:r>
        <w:t xml:space="preserve">S5: Legacy Clinical Marker Taxonomy</w:t>
      </w:r>
    </w:p>
    <w:p>
      <w:pPr>
        <w:pStyle w:val="FirstParagraph"/>
      </w:pPr>
      <w:r>
        <w:t xml:space="preserve">For reference, the original keyword-based approach used the following markers. The semantic approach subsumes these through learned embeddings.</w:t>
      </w:r>
    </w:p>
    <w:bookmarkStart w:id="47" w:name="s5.1-contraindicated-effect-markers"/>
    <w:p>
      <w:pPr>
        <w:pStyle w:val="Heading2"/>
      </w:pPr>
      <w:r>
        <w:t xml:space="preserve">S5.1 Contraindicated Effect Markers</w:t>
      </w:r>
    </w:p>
    <w:p>
      <w:pPr>
        <w:pStyle w:val="FirstParagraph"/>
      </w:pPr>
      <w:r>
        <w:t xml:space="preserve">The following clinical terminology triggers immediate classification as severity score 4.0 (Contraindicated):</w:t>
      </w:r>
    </w:p>
    <w:p>
      <w:pPr>
        <w:pStyle w:val="TableCaption"/>
      </w:pPr>
      <w:r>
        <w:t xml:space="preserve">Contraindicated Effect Markers</w:t>
      </w:r>
    </w:p>
    <w:tbl>
      <w:tblPr>
        <w:tblStyle w:val="Table"/>
        <w:tblW w:type="auto" w:w="0"/>
        <w:tblLook w:firstRow="1" w:lastRow="0" w:firstColumn="0" w:lastColumn="0" w:noHBand="0" w:noVBand="0" w:val="0020"/>
        <w:tblCaption w:val="Contraindicated Effect Markers"/>
      </w:tblPr>
      <w:tblGrid>
        <w:gridCol w:w="3960"/>
        <w:gridCol w:w="3960"/>
      </w:tblGrid>
      <w:tr>
        <w:trPr>
          <w:tblHeader w:val="on"/>
        </w:trP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t xml:space="preserve">torsades de pointes</w:t>
            </w:r>
          </w:p>
        </w:tc>
        <w:tc>
          <w:tcPr/>
          <w:p>
            <w:pPr>
              <w:pStyle w:val="Compact"/>
              <w:jc w:val="left"/>
            </w:pPr>
            <w:r>
              <w:t xml:space="preserve">Life-threatening ventricular arrhythmia</w:t>
            </w:r>
          </w:p>
        </w:tc>
      </w:tr>
      <w:tr>
        <w:tc>
          <w:tcPr/>
          <w:p>
            <w:pPr>
              <w:pStyle w:val="Compact"/>
              <w:jc w:val="left"/>
            </w:pPr>
            <w:r>
              <w:t xml:space="preserve">serotonin syndrome</w:t>
            </w:r>
          </w:p>
        </w:tc>
        <w:tc>
          <w:tcPr/>
          <w:p>
            <w:pPr>
              <w:pStyle w:val="Compact"/>
              <w:jc w:val="left"/>
            </w:pPr>
            <w:r>
              <w:t xml:space="preserve">Potentially fatal hyperserotonergic state</w:t>
            </w:r>
          </w:p>
        </w:tc>
      </w:tr>
      <w:tr>
        <w:tc>
          <w:tcPr/>
          <w:p>
            <w:pPr>
              <w:pStyle w:val="Compact"/>
              <w:jc w:val="left"/>
            </w:pPr>
            <w:r>
              <w:t xml:space="preserve">neuroleptic malignant</w:t>
            </w:r>
          </w:p>
        </w:tc>
        <w:tc>
          <w:tcPr/>
          <w:p>
            <w:pPr>
              <w:pStyle w:val="Compact"/>
              <w:jc w:val="left"/>
            </w:pPr>
            <w:r>
              <w:t xml:space="preserve">Life-threatening reaction to antipsychotics</w:t>
            </w:r>
          </w:p>
        </w:tc>
      </w:tr>
      <w:tr>
        <w:tc>
          <w:tcPr/>
          <w:p>
            <w:pPr>
              <w:pStyle w:val="Compact"/>
              <w:jc w:val="left"/>
            </w:pPr>
            <w:r>
              <w:t xml:space="preserve">cardiac arrest</w:t>
            </w:r>
          </w:p>
        </w:tc>
        <w:tc>
          <w:tcPr/>
          <w:p>
            <w:pPr>
              <w:pStyle w:val="Compact"/>
              <w:jc w:val="left"/>
            </w:pPr>
            <w:r>
              <w:t xml:space="preserve">Immediate life threat</w:t>
            </w:r>
          </w:p>
        </w:tc>
      </w:tr>
      <w:tr>
        <w:tc>
          <w:tcPr/>
          <w:p>
            <w:pPr>
              <w:pStyle w:val="Compact"/>
              <w:jc w:val="left"/>
            </w:pPr>
            <w:r>
              <w:t xml:space="preserve">fatal</w:t>
            </w:r>
          </w:p>
        </w:tc>
        <w:tc>
          <w:tcPr/>
          <w:p>
            <w:pPr>
              <w:pStyle w:val="Compact"/>
              <w:jc w:val="left"/>
            </w:pPr>
            <w:r>
              <w:t xml:space="preserve">Known fatality association</w:t>
            </w:r>
          </w:p>
        </w:tc>
      </w:tr>
      <w:tr>
        <w:tc>
          <w:tcPr/>
          <w:p>
            <w:pPr>
              <w:pStyle w:val="Compact"/>
              <w:jc w:val="left"/>
            </w:pPr>
            <w:r>
              <w:t xml:space="preserve">death</w:t>
            </w:r>
          </w:p>
        </w:tc>
        <w:tc>
          <w:tcPr/>
          <w:p>
            <w:pPr>
              <w:pStyle w:val="Compact"/>
              <w:jc w:val="left"/>
            </w:pPr>
            <w:r>
              <w:t xml:space="preserve">Documented mortality risk</w:t>
            </w:r>
          </w:p>
        </w:tc>
      </w:tr>
      <w:tr>
        <w:tc>
          <w:tcPr/>
          <w:p>
            <w:pPr>
              <w:pStyle w:val="Compact"/>
              <w:jc w:val="left"/>
            </w:pPr>
            <w:r>
              <w:t xml:space="preserve">qt prolongation</w:t>
            </w:r>
          </w:p>
        </w:tc>
        <w:tc>
          <w:tcPr/>
          <w:p>
            <w:pPr>
              <w:pStyle w:val="Compact"/>
              <w:jc w:val="left"/>
            </w:pPr>
            <w:r>
              <w:t xml:space="preserve">Precursor to torsades de pointes</w:t>
            </w:r>
          </w:p>
        </w:tc>
      </w:tr>
      <w:tr>
        <w:tc>
          <w:tcPr/>
          <w:p>
            <w:pPr>
              <w:pStyle w:val="Compact"/>
              <w:jc w:val="left"/>
            </w:pPr>
            <w:r>
              <w:t xml:space="preserve">qtc prolongation</w:t>
            </w:r>
          </w:p>
        </w:tc>
        <w:tc>
          <w:tcPr/>
          <w:p>
            <w:pPr>
              <w:pStyle w:val="Compact"/>
              <w:jc w:val="left"/>
            </w:pPr>
            <w:r>
              <w:t xml:space="preserve">Corrected QT interval extension</w:t>
            </w:r>
          </w:p>
        </w:tc>
      </w:tr>
    </w:tbl>
    <w:bookmarkEnd w:id="47"/>
    <w:bookmarkStart w:id="48" w:name="s5.2-major-effect-markers"/>
    <w:p>
      <w:pPr>
        <w:pStyle w:val="Heading2"/>
      </w:pPr>
      <w:r>
        <w:t xml:space="preserve">S5.2 Major Effect Markers</w:t>
      </w:r>
    </w:p>
    <w:p>
      <w:pPr>
        <w:pStyle w:val="FirstParagraph"/>
      </w:pPr>
      <w:r>
        <w:t xml:space="preserve">These markers indicate serious adverse events requiring clinical intervention (score 3.2):</w:t>
      </w:r>
    </w:p>
    <w:p>
      <w:pPr>
        <w:pStyle w:val="TableCaption"/>
      </w:pPr>
      <w:r>
        <w:t xml:space="preserve">Major Effect Markers</w:t>
      </w:r>
    </w:p>
    <w:tbl>
      <w:tblPr>
        <w:tblStyle w:val="Table"/>
        <w:tblW w:type="auto" w:w="0"/>
        <w:tblLook w:firstRow="1" w:lastRow="0" w:firstColumn="0" w:lastColumn="0" w:noHBand="0" w:noVBand="0" w:val="0020"/>
        <w:tblCaption w:val="Major Effect Markers"/>
      </w:tblPr>
      <w:tblGrid>
        <w:gridCol w:w="3960"/>
        <w:gridCol w:w="3960"/>
      </w:tblGrid>
      <w:tr>
        <w:trPr>
          <w:tblHeader w:val="on"/>
        </w:trP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t xml:space="preserve">bleeding and hemorrhage</w:t>
            </w:r>
          </w:p>
        </w:tc>
        <w:tc>
          <w:tcPr/>
          <w:p>
            <w:pPr>
              <w:pStyle w:val="Compact"/>
              <w:jc w:val="left"/>
            </w:pPr>
            <w:r>
              <w:t xml:space="preserve">Serious hemorrhagic risk</w:t>
            </w:r>
          </w:p>
        </w:tc>
      </w:tr>
      <w:tr>
        <w:tc>
          <w:tcPr/>
          <w:p>
            <w:pPr>
              <w:pStyle w:val="Compact"/>
              <w:jc w:val="left"/>
            </w:pPr>
            <w:r>
              <w:t xml:space="preserve">gastrointestinal bleeding</w:t>
            </w:r>
          </w:p>
        </w:tc>
        <w:tc>
          <w:tcPr/>
          <w:p>
            <w:pPr>
              <w:pStyle w:val="Compact"/>
              <w:jc w:val="left"/>
            </w:pPr>
            <w:r>
              <w:t xml:space="preserve">GI hemorrhage requiring intervention</w:t>
            </w:r>
          </w:p>
        </w:tc>
      </w:tr>
      <w:tr>
        <w:tc>
          <w:tcPr/>
          <w:p>
            <w:pPr>
              <w:pStyle w:val="Compact"/>
              <w:jc w:val="left"/>
            </w:pPr>
            <w:r>
              <w:t xml:space="preserve">hemorrhage</w:t>
            </w:r>
          </w:p>
        </w:tc>
        <w:tc>
          <w:tcPr/>
          <w:p>
            <w:pPr>
              <w:pStyle w:val="Compact"/>
              <w:jc w:val="left"/>
            </w:pPr>
            <w:r>
              <w:t xml:space="preserve">General hemorrhagic complication</w:t>
            </w:r>
          </w:p>
        </w:tc>
      </w:tr>
      <w:tr>
        <w:tc>
          <w:tcPr/>
          <w:p>
            <w:pPr>
              <w:pStyle w:val="Compact"/>
              <w:jc w:val="left"/>
            </w:pPr>
            <w:r>
              <w:t xml:space="preserve">bleeding</w:t>
            </w:r>
          </w:p>
        </w:tc>
        <w:tc>
          <w:tcPr/>
          <w:p>
            <w:pPr>
              <w:pStyle w:val="Compact"/>
              <w:jc w:val="left"/>
            </w:pPr>
            <w:r>
              <w:t xml:space="preserve">Elevated bleeding risk</w:t>
            </w:r>
          </w:p>
        </w:tc>
      </w:tr>
      <w:tr>
        <w:tc>
          <w:tcPr/>
          <w:p>
            <w:pPr>
              <w:pStyle w:val="Compact"/>
              <w:jc w:val="left"/>
            </w:pPr>
            <w:r>
              <w:t xml:space="preserve">hyperkalemia</w:t>
            </w:r>
          </w:p>
        </w:tc>
        <w:tc>
          <w:tcPr/>
          <w:p>
            <w:pPr>
              <w:pStyle w:val="Compact"/>
              <w:jc w:val="left"/>
            </w:pPr>
            <w:r>
              <w:t xml:space="preserve">Life-threatening electrolyte imbalance</w:t>
            </w:r>
          </w:p>
        </w:tc>
      </w:tr>
      <w:tr>
        <w:tc>
          <w:tcPr/>
          <w:p>
            <w:pPr>
              <w:pStyle w:val="Compact"/>
              <w:jc w:val="left"/>
            </w:pPr>
            <w:r>
              <w:t xml:space="preserve">hypertensive crisis</w:t>
            </w:r>
          </w:p>
        </w:tc>
        <w:tc>
          <w:tcPr/>
          <w:p>
            <w:pPr>
              <w:pStyle w:val="Compact"/>
              <w:jc w:val="left"/>
            </w:pPr>
            <w:r>
              <w:t xml:space="preserve">Severe blood pressure emergency</w:t>
            </w:r>
          </w:p>
        </w:tc>
      </w:tr>
      <w:tr>
        <w:tc>
          <w:tcPr/>
          <w:p>
            <w:pPr>
              <w:pStyle w:val="Compact"/>
              <w:jc w:val="left"/>
            </w:pPr>
            <w:r>
              <w:t xml:space="preserve">severe hypotension</w:t>
            </w:r>
          </w:p>
        </w:tc>
        <w:tc>
          <w:tcPr/>
          <w:p>
            <w:pPr>
              <w:pStyle w:val="Compact"/>
              <w:jc w:val="left"/>
            </w:pPr>
            <w:r>
              <w:t xml:space="preserve">Cardiovascular compromise</w:t>
            </w:r>
          </w:p>
        </w:tc>
      </w:tr>
      <w:tr>
        <w:tc>
          <w:tcPr/>
          <w:p>
            <w:pPr>
              <w:pStyle w:val="Compact"/>
              <w:jc w:val="left"/>
            </w:pPr>
            <w:r>
              <w:t xml:space="preserve">myopathy, rhabdomyolysis</w:t>
            </w:r>
          </w:p>
        </w:tc>
        <w:tc>
          <w:tcPr/>
          <w:p>
            <w:pPr>
              <w:pStyle w:val="Compact"/>
              <w:jc w:val="left"/>
            </w:pPr>
            <w:r>
              <w:t xml:space="preserve">Muscle breakdown with renal risk</w:t>
            </w:r>
          </w:p>
        </w:tc>
      </w:tr>
      <w:tr>
        <w:tc>
          <w:tcPr/>
          <w:p>
            <w:pPr>
              <w:pStyle w:val="Compact"/>
              <w:jc w:val="left"/>
            </w:pPr>
            <w:r>
              <w:t xml:space="preserve">rhabdomyolysis</w:t>
            </w:r>
          </w:p>
        </w:tc>
        <w:tc>
          <w:tcPr/>
          <w:p>
            <w:pPr>
              <w:pStyle w:val="Compact"/>
              <w:jc w:val="left"/>
            </w:pPr>
            <w:r>
              <w:t xml:space="preserve">Muscle necrosis</w:t>
            </w:r>
          </w:p>
        </w:tc>
      </w:tr>
      <w:tr>
        <w:tc>
          <w:tcPr/>
          <w:p>
            <w:pPr>
              <w:pStyle w:val="Compact"/>
              <w:jc w:val="left"/>
            </w:pPr>
            <w:r>
              <w:t xml:space="preserve">angioedema</w:t>
            </w:r>
          </w:p>
        </w:tc>
        <w:tc>
          <w:tcPr/>
          <w:p>
            <w:pPr>
              <w:pStyle w:val="Compact"/>
              <w:jc w:val="left"/>
            </w:pPr>
            <w:r>
              <w:t xml:space="preserve">Airway-threatening swelling</w:t>
            </w:r>
          </w:p>
        </w:tc>
      </w:tr>
      <w:tr>
        <w:tc>
          <w:tcPr/>
          <w:p>
            <w:pPr>
              <w:pStyle w:val="Compact"/>
              <w:jc w:val="left"/>
            </w:pPr>
            <w:r>
              <w:t xml:space="preserve">renal failure</w:t>
            </w:r>
          </w:p>
        </w:tc>
        <w:tc>
          <w:tcPr/>
          <w:p>
            <w:pPr>
              <w:pStyle w:val="Compact"/>
              <w:jc w:val="left"/>
            </w:pPr>
            <w:r>
              <w:t xml:space="preserve">Acute kidney injury</w:t>
            </w:r>
          </w:p>
        </w:tc>
      </w:tr>
      <w:tr>
        <w:tc>
          <w:tcPr/>
          <w:p>
            <w:pPr>
              <w:pStyle w:val="Compact"/>
              <w:jc w:val="left"/>
            </w:pPr>
            <w:r>
              <w:t xml:space="preserve">liver damage</w:t>
            </w:r>
          </w:p>
        </w:tc>
        <w:tc>
          <w:tcPr/>
          <w:p>
            <w:pPr>
              <w:pStyle w:val="Compact"/>
              <w:jc w:val="left"/>
            </w:pPr>
            <w:r>
              <w:t xml:space="preserve">Hepatotoxicity</w:t>
            </w:r>
          </w:p>
        </w:tc>
      </w:tr>
      <w:tr>
        <w:tc>
          <w:tcPr/>
          <w:p>
            <w:pPr>
              <w:pStyle w:val="Compact"/>
              <w:jc w:val="left"/>
            </w:pPr>
            <w:r>
              <w:t xml:space="preserve">agranulocytosis</w:t>
            </w:r>
          </w:p>
        </w:tc>
        <w:tc>
          <w:tcPr/>
          <w:p>
            <w:pPr>
              <w:pStyle w:val="Compact"/>
              <w:jc w:val="left"/>
            </w:pPr>
            <w:r>
              <w:t xml:space="preserve">Severe neutropenia/infection risk</w:t>
            </w:r>
          </w:p>
        </w:tc>
      </w:tr>
      <w:tr>
        <w:tc>
          <w:tcPr/>
          <w:p>
            <w:pPr>
              <w:pStyle w:val="Compact"/>
              <w:jc w:val="left"/>
            </w:pPr>
            <w:r>
              <w:t xml:space="preserve">thrombocytopenia</w:t>
            </w:r>
          </w:p>
        </w:tc>
        <w:tc>
          <w:tcPr/>
          <w:p>
            <w:pPr>
              <w:pStyle w:val="Compact"/>
              <w:jc w:val="left"/>
            </w:pPr>
            <w:r>
              <w:t xml:space="preserve">Bleeding from platelet deficiency</w:t>
            </w:r>
          </w:p>
        </w:tc>
      </w:tr>
      <w:tr>
        <w:tc>
          <w:tcPr/>
          <w:p>
            <w:pPr>
              <w:pStyle w:val="Compact"/>
              <w:jc w:val="left"/>
            </w:pPr>
            <w:r>
              <w:t xml:space="preserve">neutropenia</w:t>
            </w:r>
          </w:p>
        </w:tc>
        <w:tc>
          <w:tcPr/>
          <w:p>
            <w:pPr>
              <w:pStyle w:val="Compact"/>
              <w:jc w:val="left"/>
            </w:pPr>
            <w:r>
              <w:t xml:space="preserve">Infection susceptibility</w:t>
            </w:r>
          </w:p>
        </w:tc>
      </w:tr>
      <w:tr>
        <w:tc>
          <w:tcPr/>
          <w:p>
            <w:pPr>
              <w:pStyle w:val="Compact"/>
              <w:jc w:val="left"/>
            </w:pPr>
            <w:r>
              <w:t xml:space="preserve">seizure</w:t>
            </w:r>
          </w:p>
        </w:tc>
        <w:tc>
          <w:tcPr/>
          <w:p>
            <w:pPr>
              <w:pStyle w:val="Compact"/>
              <w:jc w:val="left"/>
            </w:pPr>
            <w:r>
              <w:t xml:space="preserve">Convulsive activity</w:t>
            </w:r>
          </w:p>
        </w:tc>
      </w:tr>
      <w:tr>
        <w:tc>
          <w:tcPr/>
          <w:p>
            <w:pPr>
              <w:pStyle w:val="Compact"/>
              <w:jc w:val="left"/>
            </w:pPr>
            <w:r>
              <w:t xml:space="preserve">anticoagulant activities</w:t>
            </w:r>
          </w:p>
        </w:tc>
        <w:tc>
          <w:tcPr/>
          <w:p>
            <w:pPr>
              <w:pStyle w:val="Compact"/>
              <w:jc w:val="left"/>
            </w:pPr>
            <w:r>
              <w:t xml:space="preserve">Enhanced bleeding risk</w:t>
            </w:r>
          </w:p>
        </w:tc>
      </w:tr>
      <w:tr>
        <w:tc>
          <w:tcPr/>
          <w:p>
            <w:pPr>
              <w:pStyle w:val="Compact"/>
              <w:jc w:val="left"/>
            </w:pPr>
            <w:r>
              <w:t xml:space="preserve">cardiotoxic</w:t>
            </w:r>
          </w:p>
        </w:tc>
        <w:tc>
          <w:tcPr/>
          <w:p>
            <w:pPr>
              <w:pStyle w:val="Compact"/>
              <w:jc w:val="left"/>
            </w:pPr>
            <w:r>
              <w:t xml:space="preserve">Cardiac damage</w:t>
            </w:r>
          </w:p>
        </w:tc>
      </w:tr>
      <w:tr>
        <w:tc>
          <w:tcPr/>
          <w:p>
            <w:pPr>
              <w:pStyle w:val="Compact"/>
              <w:jc w:val="left"/>
            </w:pPr>
            <w:r>
              <w:t xml:space="preserve">ototoxic</w:t>
            </w:r>
          </w:p>
        </w:tc>
        <w:tc>
          <w:tcPr/>
          <w:p>
            <w:pPr>
              <w:pStyle w:val="Compact"/>
              <w:jc w:val="left"/>
            </w:pPr>
            <w:r>
              <w:t xml:space="preserve">Hearing damage</w:t>
            </w:r>
          </w:p>
        </w:tc>
      </w:tr>
      <w:tr>
        <w:tc>
          <w:tcPr/>
          <w:p>
            <w:pPr>
              <w:pStyle w:val="Compact"/>
              <w:jc w:val="left"/>
            </w:pPr>
            <w:r>
              <w:t xml:space="preserve">neurotoxic</w:t>
            </w:r>
          </w:p>
        </w:tc>
        <w:tc>
          <w:tcPr/>
          <w:p>
            <w:pPr>
              <w:pStyle w:val="Compact"/>
              <w:jc w:val="left"/>
            </w:pPr>
            <w:r>
              <w:t xml:space="preserve">Neurological damage</w:t>
            </w:r>
          </w:p>
        </w:tc>
      </w:tr>
      <w:tr>
        <w:tc>
          <w:tcPr/>
          <w:p>
            <w:pPr>
              <w:pStyle w:val="Compact"/>
              <w:jc w:val="left"/>
            </w:pPr>
            <w:r>
              <w:t xml:space="preserve">hypoglycemic activities</w:t>
            </w:r>
          </w:p>
        </w:tc>
        <w:tc>
          <w:tcPr/>
          <w:p>
            <w:pPr>
              <w:pStyle w:val="Compact"/>
              <w:jc w:val="left"/>
            </w:pPr>
            <w:r>
              <w:t xml:space="preserve">Dangerous blood sugar drop</w:t>
            </w:r>
          </w:p>
        </w:tc>
      </w:tr>
    </w:tbl>
    <w:bookmarkEnd w:id="48"/>
    <w:bookmarkStart w:id="49" w:name="s5.3-moderate-effect-markers"/>
    <w:p>
      <w:pPr>
        <w:pStyle w:val="Heading2"/>
      </w:pPr>
      <w:r>
        <w:t xml:space="preserve">S5.3 Moderate Effect Markers</w:t>
      </w:r>
    </w:p>
    <w:p>
      <w:pPr>
        <w:pStyle w:val="FirstParagraph"/>
      </w:pPr>
      <w:r>
        <w:t xml:space="preserve">Pharmacokinetic/pharmacodynamic effects requiring monitoring but generally manageable (score 2.0):</w:t>
      </w:r>
    </w:p>
    <w:p>
      <w:pPr>
        <w:pStyle w:val="TableCaption"/>
      </w:pPr>
      <w:r>
        <w:t xml:space="preserve">Moderate Effect Markers</w:t>
      </w:r>
    </w:p>
    <w:tbl>
      <w:tblPr>
        <w:tblStyle w:val="Table"/>
        <w:tblW w:type="auto" w:w="0"/>
        <w:tblLook w:firstRow="1" w:lastRow="0" w:firstColumn="0" w:lastColumn="0" w:noHBand="0" w:noVBand="0" w:val="0020"/>
        <w:tblCaption w:val="Moderate Effect Markers"/>
      </w:tblPr>
      <w:tblGrid>
        <w:gridCol w:w="3960"/>
        <w:gridCol w:w="3960"/>
      </w:tblGrid>
      <w:tr>
        <w:trPr>
          <w:tblHeader w:val="on"/>
        </w:trP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t xml:space="preserve">hypertension</w:t>
            </w:r>
          </w:p>
        </w:tc>
        <w:tc>
          <w:tcPr/>
          <w:p>
            <w:pPr>
              <w:pStyle w:val="Compact"/>
              <w:jc w:val="left"/>
            </w:pPr>
            <w:r>
              <w:t xml:space="preserve">Blood pressure elevation</w:t>
            </w:r>
          </w:p>
        </w:tc>
      </w:tr>
      <w:tr>
        <w:tc>
          <w:tcPr/>
          <w:p>
            <w:pPr>
              <w:pStyle w:val="Compact"/>
              <w:jc w:val="left"/>
            </w:pPr>
            <w:r>
              <w:t xml:space="preserve">hypotension</w:t>
            </w:r>
          </w:p>
        </w:tc>
        <w:tc>
          <w:tcPr/>
          <w:p>
            <w:pPr>
              <w:pStyle w:val="Compact"/>
              <w:jc w:val="left"/>
            </w:pPr>
            <w:r>
              <w:t xml:space="preserve">Blood pressure decrease</w:t>
            </w:r>
          </w:p>
        </w:tc>
      </w:tr>
      <w:tr>
        <w:tc>
          <w:tcPr/>
          <w:p>
            <w:pPr>
              <w:pStyle w:val="Compact"/>
              <w:jc w:val="left"/>
            </w:pPr>
            <w:r>
              <w:t xml:space="preserve">methemoglobinemia</w:t>
            </w:r>
          </w:p>
        </w:tc>
        <w:tc>
          <w:tcPr/>
          <w:p>
            <w:pPr>
              <w:pStyle w:val="Compact"/>
              <w:jc w:val="left"/>
            </w:pPr>
            <w:r>
              <w:t xml:space="preserve">Oxygen carrying impairment</w:t>
            </w:r>
          </w:p>
        </w:tc>
      </w:tr>
      <w:tr>
        <w:tc>
          <w:tcPr/>
          <w:p>
            <w:pPr>
              <w:pStyle w:val="Compact"/>
              <w:jc w:val="left"/>
            </w:pPr>
            <w:r>
              <w:t xml:space="preserve">serum concentration increase</w:t>
            </w:r>
          </w:p>
        </w:tc>
        <w:tc>
          <w:tcPr/>
          <w:p>
            <w:pPr>
              <w:pStyle w:val="Compact"/>
              <w:jc w:val="left"/>
            </w:pPr>
            <w:r>
              <w:t xml:space="preserve">Elevated drug levels</w:t>
            </w:r>
          </w:p>
        </w:tc>
      </w:tr>
      <w:tr>
        <w:tc>
          <w:tcPr/>
          <w:p>
            <w:pPr>
              <w:pStyle w:val="Compact"/>
              <w:jc w:val="left"/>
            </w:pPr>
            <w:r>
              <w:t xml:space="preserve">serum concentration decrease</w:t>
            </w:r>
          </w:p>
        </w:tc>
        <w:tc>
          <w:tcPr/>
          <w:p>
            <w:pPr>
              <w:pStyle w:val="Compact"/>
              <w:jc w:val="left"/>
            </w:pPr>
            <w:r>
              <w:t xml:space="preserve">Reduced drug levels</w:t>
            </w:r>
          </w:p>
        </w:tc>
      </w:tr>
      <w:tr>
        <w:tc>
          <w:tcPr/>
          <w:p>
            <w:pPr>
              <w:pStyle w:val="Compact"/>
              <w:jc w:val="left"/>
            </w:pPr>
            <w:r>
              <w:t xml:space="preserve">metabolism inhibition</w:t>
            </w:r>
          </w:p>
        </w:tc>
        <w:tc>
          <w:tcPr/>
          <w:p>
            <w:pPr>
              <w:pStyle w:val="Compact"/>
              <w:jc w:val="left"/>
            </w:pPr>
            <w:r>
              <w:t xml:space="preserve">CYP inhibition effect</w:t>
            </w:r>
          </w:p>
        </w:tc>
      </w:tr>
      <w:tr>
        <w:tc>
          <w:tcPr/>
          <w:p>
            <w:pPr>
              <w:pStyle w:val="Compact"/>
              <w:jc w:val="left"/>
            </w:pPr>
            <w:r>
              <w:t xml:space="preserve">metabolism induction</w:t>
            </w:r>
          </w:p>
        </w:tc>
        <w:tc>
          <w:tcPr/>
          <w:p>
            <w:pPr>
              <w:pStyle w:val="Compact"/>
              <w:jc w:val="left"/>
            </w:pPr>
            <w:r>
              <w:t xml:space="preserve">CYP induction effect</w:t>
            </w:r>
          </w:p>
        </w:tc>
      </w:tr>
      <w:tr>
        <w:tc>
          <w:tcPr/>
          <w:p>
            <w:pPr>
              <w:pStyle w:val="Compact"/>
              <w:jc w:val="left"/>
            </w:pPr>
            <w:r>
              <w:t xml:space="preserve">excretion decrease</w:t>
            </w:r>
          </w:p>
        </w:tc>
        <w:tc>
          <w:tcPr/>
          <w:p>
            <w:pPr>
              <w:pStyle w:val="Compact"/>
              <w:jc w:val="left"/>
            </w:pPr>
            <w:r>
              <w:t xml:space="preserve">Reduced drug clearance</w:t>
            </w:r>
          </w:p>
        </w:tc>
      </w:tr>
      <w:tr>
        <w:tc>
          <w:tcPr/>
          <w:p>
            <w:pPr>
              <w:pStyle w:val="Compact"/>
              <w:jc w:val="left"/>
            </w:pPr>
            <w:r>
              <w:t xml:space="preserve">absorption increase</w:t>
            </w:r>
          </w:p>
        </w:tc>
        <w:tc>
          <w:tcPr/>
          <w:p>
            <w:pPr>
              <w:pStyle w:val="Compact"/>
              <w:jc w:val="left"/>
            </w:pPr>
            <w:r>
              <w:t xml:space="preserve">Enhanced drug uptake</w:t>
            </w:r>
          </w:p>
        </w:tc>
      </w:tr>
    </w:tbl>
    <w:bookmarkEnd w:id="49"/>
    <w:bookmarkStart w:id="50" w:name="s5.4-minor-effect-markers"/>
    <w:p>
      <w:pPr>
        <w:pStyle w:val="Heading2"/>
      </w:pPr>
      <w:r>
        <w:t xml:space="preserve">S5.4 Minor Effect Markers</w:t>
      </w:r>
    </w:p>
    <w:p>
      <w:pPr>
        <w:pStyle w:val="FirstParagraph"/>
      </w:pPr>
      <w:r>
        <w:t xml:space="preserve">Effects of limited clinical significance (score 1.5):</w:t>
      </w:r>
    </w:p>
    <w:p>
      <w:pPr>
        <w:pStyle w:val="TableCaption"/>
      </w:pPr>
      <w:r>
        <w:t xml:space="preserve">Minor Effect Markers</w:t>
      </w:r>
    </w:p>
    <w:tbl>
      <w:tblPr>
        <w:tblStyle w:val="Table"/>
        <w:tblW w:type="auto" w:w="0"/>
        <w:tblLook w:firstRow="1" w:lastRow="0" w:firstColumn="0" w:lastColumn="0" w:noHBand="0" w:noVBand="0" w:val="0020"/>
        <w:tblCaption w:val="Minor Effect Markers"/>
      </w:tblPr>
      <w:tblGrid>
        <w:gridCol w:w="3960"/>
        <w:gridCol w:w="3960"/>
      </w:tblGrid>
      <w:tr>
        <w:trPr>
          <w:tblHeader w:val="on"/>
        </w:trP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rPr>
                <w:b/>
                <w:bCs/>
              </w:rPr>
              <w:t xml:space="preserve">Marker</w:t>
            </w:r>
          </w:p>
        </w:tc>
        <w:tc>
          <w:tcPr/>
          <w:p>
            <w:pPr>
              <w:pStyle w:val="Compact"/>
              <w:jc w:val="left"/>
            </w:pPr>
            <w:r>
              <w:rPr>
                <w:b/>
                <w:bCs/>
              </w:rPr>
              <w:t xml:space="preserve">Clinical Rationale</w:t>
            </w:r>
          </w:p>
        </w:tc>
      </w:tr>
      <w:tr>
        <w:tc>
          <w:tcPr/>
          <w:p>
            <w:pPr>
              <w:pStyle w:val="Compact"/>
              <w:jc w:val="left"/>
            </w:pPr>
            <w:r>
              <w:t xml:space="preserve">therapeutic efficacy decrease</w:t>
            </w:r>
          </w:p>
        </w:tc>
        <w:tc>
          <w:tcPr/>
          <w:p>
            <w:pPr>
              <w:pStyle w:val="Compact"/>
              <w:jc w:val="left"/>
            </w:pPr>
            <w:r>
              <w:t xml:space="preserve">Reduced but not eliminated effect</w:t>
            </w:r>
          </w:p>
        </w:tc>
      </w:tr>
      <w:tr>
        <w:tc>
          <w:tcPr/>
          <w:p>
            <w:pPr>
              <w:pStyle w:val="Compact"/>
              <w:jc w:val="left"/>
            </w:pPr>
            <w:r>
              <w:t xml:space="preserve">therapeutic efficacy increase</w:t>
            </w:r>
          </w:p>
        </w:tc>
        <w:tc>
          <w:tcPr/>
          <w:p>
            <w:pPr>
              <w:pStyle w:val="Compact"/>
              <w:jc w:val="left"/>
            </w:pPr>
            <w:r>
              <w:t xml:space="preserve">Enhanced therapeutic effect</w:t>
            </w:r>
          </w:p>
        </w:tc>
      </w:tr>
    </w:tbl>
    <w:bookmarkEnd w:id="50"/>
    <w:bookmarkEnd w:id="51"/>
    <w:bookmarkStart w:id="53" w:name="s5-drug-class-definitions"/>
    <w:p>
      <w:pPr>
        <w:pStyle w:val="Heading1"/>
      </w:pPr>
      <w:r>
        <w:t xml:space="preserve">S5: Drug Class Definitions</w:t>
      </w:r>
    </w:p>
    <w:bookmarkStart w:id="52" w:name="s5.1-anticoagulant-class"/>
    <w:p>
      <w:pPr>
        <w:pStyle w:val="Heading2"/>
      </w:pPr>
      <w:r>
        <w:t xml:space="preserve">S5.1 Anticoagulant Class</w:t>
      </w:r>
    </w:p>
    <w:p>
      <w:pPr>
        <w:pStyle w:val="TableCaption"/>
      </w:pPr>
      <w:r>
        <w:t xml:space="preserve">Anticoagulant Drug Class</w:t>
      </w:r>
    </w:p>
    <w:tbl>
      <w:tblPr>
        <w:tblStyle w:val="Table"/>
        <w:tblW w:type="auto" w:w="0"/>
        <w:tblLook w:firstRow="1" w:lastRow="0" w:firstColumn="0" w:lastColumn="0" w:noHBand="0" w:noVBand="0" w:val="0020"/>
        <w:tblCaption w:val="Anticoagulant Drug Class"/>
      </w:tblPr>
      <w:tblGrid>
        <w:gridCol w:w="3960"/>
        <w:gridCol w:w="3960"/>
      </w:tblGrid>
      <w:tr>
        <w:trPr>
          <w:tblHeader w:val="on"/>
        </w:trPr>
        <w:tc>
          <w:tcPr/>
          <w:p>
            <w:pPr>
              <w:pStyle w:val="Compact"/>
              <w:jc w:val="left"/>
            </w:pPr>
            <w:r>
              <w:rPr>
                <w:b/>
                <w:bCs/>
              </w:rPr>
              <w:t xml:space="preserve">Generic Name</w:t>
            </w:r>
          </w:p>
        </w:tc>
        <w:tc>
          <w:tcPr/>
          <w:p>
            <w:pPr>
              <w:pStyle w:val="Compact"/>
              <w:jc w:val="left"/>
            </w:pPr>
            <w:r>
              <w:rPr>
                <w:b/>
                <w:bCs/>
              </w:rPr>
              <w:t xml:space="preserve">Mechanism</w:t>
            </w:r>
          </w:p>
        </w:tc>
      </w:tr>
      <w:tr>
        <w:tc>
          <w:tcPr/>
          <w:p>
            <w:pPr>
              <w:pStyle w:val="Compact"/>
              <w:jc w:val="left"/>
            </w:pPr>
            <w:r>
              <w:t xml:space="preserve">Warfarin</w:t>
            </w:r>
          </w:p>
        </w:tc>
        <w:tc>
          <w:tcPr/>
          <w:p>
            <w:pPr>
              <w:pStyle w:val="Compact"/>
              <w:jc w:val="left"/>
            </w:pPr>
            <w:r>
              <w:t xml:space="preserve">Vitamin K antagonist</w:t>
            </w:r>
          </w:p>
        </w:tc>
      </w:tr>
      <w:tr>
        <w:tc>
          <w:tcPr/>
          <w:p>
            <w:pPr>
              <w:pStyle w:val="Compact"/>
              <w:jc w:val="left"/>
            </w:pPr>
            <w:r>
              <w:t xml:space="preserve">Heparin</w:t>
            </w:r>
          </w:p>
        </w:tc>
        <w:tc>
          <w:tcPr/>
          <w:p>
            <w:pPr>
              <w:pStyle w:val="Compact"/>
              <w:jc w:val="left"/>
            </w:pPr>
            <w:r>
              <w:t xml:space="preserve">Antithrombin activator</w:t>
            </w:r>
          </w:p>
        </w:tc>
      </w:tr>
      <w:tr>
        <w:tc>
          <w:tcPr/>
          <w:p>
            <w:pPr>
              <w:pStyle w:val="Compact"/>
              <w:jc w:val="left"/>
            </w:pPr>
            <w:r>
              <w:t xml:space="preserve">Enoxaparin</w:t>
            </w:r>
          </w:p>
        </w:tc>
        <w:tc>
          <w:tcPr/>
          <w:p>
            <w:pPr>
              <w:pStyle w:val="Compact"/>
              <w:jc w:val="left"/>
            </w:pPr>
            <w:r>
              <w:t xml:space="preserve">Low molecular weight heparin</w:t>
            </w:r>
          </w:p>
        </w:tc>
      </w:tr>
      <w:tr>
        <w:tc>
          <w:tcPr/>
          <w:p>
            <w:pPr>
              <w:pStyle w:val="Compact"/>
              <w:jc w:val="left"/>
            </w:pPr>
            <w:r>
              <w:t xml:space="preserve">Rivaroxaban</w:t>
            </w:r>
          </w:p>
        </w:tc>
        <w:tc>
          <w:tcPr/>
          <w:p>
            <w:pPr>
              <w:pStyle w:val="Compact"/>
              <w:jc w:val="left"/>
            </w:pPr>
            <w:r>
              <w:t xml:space="preserve">Factor Xa inhibitor</w:t>
            </w:r>
          </w:p>
        </w:tc>
      </w:tr>
      <w:tr>
        <w:tc>
          <w:tcPr/>
          <w:p>
            <w:pPr>
              <w:pStyle w:val="Compact"/>
              <w:jc w:val="left"/>
            </w:pPr>
            <w:r>
              <w:t xml:space="preserve">Apixaban</w:t>
            </w:r>
          </w:p>
        </w:tc>
        <w:tc>
          <w:tcPr/>
          <w:p>
            <w:pPr>
              <w:pStyle w:val="Compact"/>
              <w:jc w:val="left"/>
            </w:pPr>
            <w:r>
              <w:t xml:space="preserve">Factor Xa inhibitor</w:t>
            </w:r>
          </w:p>
        </w:tc>
      </w:tr>
      <w:tr>
        <w:tc>
          <w:tcPr/>
          <w:p>
            <w:pPr>
              <w:pStyle w:val="Compact"/>
              <w:jc w:val="left"/>
            </w:pPr>
            <w:r>
              <w:t xml:space="preserve">Dabigatran</w:t>
            </w:r>
          </w:p>
        </w:tc>
        <w:tc>
          <w:tcPr/>
          <w:p>
            <w:pPr>
              <w:pStyle w:val="Compact"/>
              <w:jc w:val="left"/>
            </w:pPr>
            <w:r>
              <w:t xml:space="preserve">Direct thrombin inhibitor</w:t>
            </w:r>
          </w:p>
        </w:tc>
      </w:tr>
      <w:tr>
        <w:tc>
          <w:tcPr/>
          <w:p>
            <w:pPr>
              <w:pStyle w:val="Compact"/>
              <w:jc w:val="left"/>
            </w:pPr>
            <w:r>
              <w:t xml:space="preserve">Edoxaban</w:t>
            </w:r>
          </w:p>
        </w:tc>
        <w:tc>
          <w:tcPr/>
          <w:p>
            <w:pPr>
              <w:pStyle w:val="Compact"/>
              <w:jc w:val="left"/>
            </w:pPr>
            <w:r>
              <w:t xml:space="preserve">Factor Xa inhibitor</w:t>
            </w:r>
          </w:p>
        </w:tc>
      </w:tr>
      <w:tr>
        <w:tc>
          <w:tcPr/>
          <w:p>
            <w:pPr>
              <w:pStyle w:val="Compact"/>
              <w:jc w:val="left"/>
            </w:pPr>
            <w:r>
              <w:t xml:space="preserve">Fondaparinux</w:t>
            </w:r>
          </w:p>
        </w:tc>
        <w:tc>
          <w:tcPr/>
          <w:p>
            <w:pPr>
              <w:pStyle w:val="Compact"/>
              <w:jc w:val="left"/>
            </w:pPr>
            <w:r>
              <w:t xml:space="preserve">Factor Xa inhibitor</w:t>
            </w:r>
          </w:p>
        </w:tc>
      </w:tr>
    </w:tbl>
    <w:p/>
    <w:p>
      <w:pPr>
        <w:pStyle w:val="TableCaption"/>
      </w:pPr>
      <w:r>
        <w:t xml:space="preserve">Antiplatelet Drug Class</w:t>
      </w:r>
    </w:p>
    <w:tbl>
      <w:tblPr>
        <w:tblStyle w:val="Table"/>
        <w:tblW w:type="auto" w:w="0"/>
        <w:tblLook w:firstRow="1" w:lastRow="0" w:firstColumn="0" w:lastColumn="0" w:noHBand="0" w:noVBand="0" w:val="0020"/>
        <w:tblCaption w:val="Antiplatelet Drug Class"/>
      </w:tblPr>
      <w:tblGrid>
        <w:gridCol w:w="3960"/>
        <w:gridCol w:w="3960"/>
      </w:tblGrid>
      <w:tr>
        <w:trPr>
          <w:tblHeader w:val="on"/>
        </w:trPr>
        <w:tc>
          <w:tcPr/>
          <w:p>
            <w:pPr>
              <w:pStyle w:val="Compact"/>
              <w:jc w:val="left"/>
            </w:pPr>
            <w:r>
              <w:rPr>
                <w:b/>
                <w:bCs/>
              </w:rPr>
              <w:t xml:space="preserve">Generic Name</w:t>
            </w:r>
          </w:p>
        </w:tc>
        <w:tc>
          <w:tcPr/>
          <w:p>
            <w:pPr>
              <w:pStyle w:val="Compact"/>
              <w:jc w:val="left"/>
            </w:pPr>
            <w:r>
              <w:rPr>
                <w:b/>
                <w:bCs/>
              </w:rPr>
              <w:t xml:space="preserve">Mechanism</w:t>
            </w:r>
          </w:p>
        </w:tc>
      </w:tr>
      <w:tr>
        <w:tc>
          <w:tcPr/>
          <w:p>
            <w:pPr>
              <w:pStyle w:val="Compact"/>
              <w:jc w:val="left"/>
            </w:pPr>
            <w:r>
              <w:t xml:space="preserve">Aspirin</w:t>
            </w:r>
          </w:p>
        </w:tc>
        <w:tc>
          <w:tcPr/>
          <w:p>
            <w:pPr>
              <w:pStyle w:val="Compact"/>
              <w:jc w:val="left"/>
            </w:pPr>
            <w:r>
              <w:t xml:space="preserve">COX-1 inhibitor</w:t>
            </w:r>
          </w:p>
        </w:tc>
      </w:tr>
      <w:tr>
        <w:tc>
          <w:tcPr/>
          <w:p>
            <w:pPr>
              <w:pStyle w:val="Compact"/>
              <w:jc w:val="left"/>
            </w:pPr>
            <w:r>
              <w:t xml:space="preserve">Clopidogrel</w:t>
            </w:r>
          </w:p>
        </w:tc>
        <w:tc>
          <w:tcPr/>
          <w:p>
            <w:pPr>
              <w:pStyle w:val="Compact"/>
              <w:jc w:val="left"/>
            </w:pPr>
            <w:r>
              <w:t xml:space="preserve">P2Y12 inhibitor</w:t>
            </w:r>
          </w:p>
        </w:tc>
      </w:tr>
      <w:tr>
        <w:tc>
          <w:tcPr/>
          <w:p>
            <w:pPr>
              <w:pStyle w:val="Compact"/>
              <w:jc w:val="left"/>
            </w:pPr>
            <w:r>
              <w:t xml:space="preserve">Ticagrelor</w:t>
            </w:r>
          </w:p>
        </w:tc>
        <w:tc>
          <w:tcPr/>
          <w:p>
            <w:pPr>
              <w:pStyle w:val="Compact"/>
              <w:jc w:val="left"/>
            </w:pPr>
            <w:r>
              <w:t xml:space="preserve">P2Y12 inhibitor</w:t>
            </w:r>
          </w:p>
        </w:tc>
      </w:tr>
      <w:tr>
        <w:tc>
          <w:tcPr/>
          <w:p>
            <w:pPr>
              <w:pStyle w:val="Compact"/>
              <w:jc w:val="left"/>
            </w:pPr>
            <w:r>
              <w:t xml:space="preserve">Prasugrel</w:t>
            </w:r>
          </w:p>
        </w:tc>
        <w:tc>
          <w:tcPr/>
          <w:p>
            <w:pPr>
              <w:pStyle w:val="Compact"/>
              <w:jc w:val="left"/>
            </w:pPr>
            <w:r>
              <w:t xml:space="preserve">P2Y12 inhibitor</w:t>
            </w:r>
          </w:p>
        </w:tc>
      </w:tr>
      <w:tr>
        <w:tc>
          <w:tcPr/>
          <w:p>
            <w:pPr>
              <w:pStyle w:val="Compact"/>
              <w:jc w:val="left"/>
            </w:pPr>
            <w:r>
              <w:t xml:space="preserve">Dipyridamole</w:t>
            </w:r>
          </w:p>
        </w:tc>
        <w:tc>
          <w:tcPr/>
          <w:p>
            <w:pPr>
              <w:pStyle w:val="Compact"/>
              <w:jc w:val="left"/>
            </w:pPr>
            <w:r>
              <w:t xml:space="preserve">PDE inhibitor</w:t>
            </w:r>
          </w:p>
        </w:tc>
      </w:tr>
    </w:tbl>
    <w:p/>
    <w:p>
      <w:pPr>
        <w:pStyle w:val="TableCaption"/>
      </w:pPr>
      <w:r>
        <w:t xml:space="preserve">QT-Prolonging Drug Class</w:t>
      </w:r>
    </w:p>
    <w:tbl>
      <w:tblPr>
        <w:tblStyle w:val="Table"/>
        <w:tblW w:type="auto" w:w="0"/>
        <w:tblLook w:firstRow="1" w:lastRow="0" w:firstColumn="0" w:lastColumn="0" w:noHBand="0" w:noVBand="0" w:val="0020"/>
        <w:tblCaption w:val="QT-Prolonging Drug Class"/>
      </w:tblPr>
      <w:tblGrid>
        <w:gridCol w:w="3960"/>
        <w:gridCol w:w="3960"/>
      </w:tblGrid>
      <w:tr>
        <w:trPr>
          <w:tblHeader w:val="on"/>
        </w:trPr>
        <w:tc>
          <w:tcPr/>
          <w:p>
            <w:pPr>
              <w:pStyle w:val="Compact"/>
              <w:jc w:val="left"/>
            </w:pPr>
            <w:r>
              <w:rPr>
                <w:b/>
                <w:bCs/>
              </w:rPr>
              <w:t xml:space="preserve">Generic Name</w:t>
            </w:r>
          </w:p>
        </w:tc>
        <w:tc>
          <w:tcPr/>
          <w:p>
            <w:pPr>
              <w:pStyle w:val="Compact"/>
              <w:jc w:val="left"/>
            </w:pPr>
            <w:r>
              <w:rPr>
                <w:b/>
                <w:bCs/>
              </w:rPr>
              <w:t xml:space="preserve">Drug Class</w:t>
            </w:r>
          </w:p>
        </w:tc>
      </w:tr>
      <w:tr>
        <w:tc>
          <w:tcPr/>
          <w:p>
            <w:pPr>
              <w:pStyle w:val="Compact"/>
              <w:jc w:val="left"/>
            </w:pPr>
            <w:r>
              <w:t xml:space="preserve">Amiodarone</w:t>
            </w:r>
          </w:p>
        </w:tc>
        <w:tc>
          <w:tcPr/>
          <w:p>
            <w:pPr>
              <w:pStyle w:val="Compact"/>
              <w:jc w:val="left"/>
            </w:pPr>
            <w:r>
              <w:t xml:space="preserve">Class III antiarrhythmic</w:t>
            </w:r>
          </w:p>
        </w:tc>
      </w:tr>
      <w:tr>
        <w:tc>
          <w:tcPr/>
          <w:p>
            <w:pPr>
              <w:pStyle w:val="Compact"/>
              <w:jc w:val="left"/>
            </w:pPr>
            <w:r>
              <w:t xml:space="preserve">Sotalol</w:t>
            </w:r>
          </w:p>
        </w:tc>
        <w:tc>
          <w:tcPr/>
          <w:p>
            <w:pPr>
              <w:pStyle w:val="Compact"/>
              <w:jc w:val="left"/>
            </w:pPr>
            <w:r>
              <w:t xml:space="preserve">Class III antiarrhythmic</w:t>
            </w:r>
          </w:p>
        </w:tc>
      </w:tr>
      <w:tr>
        <w:tc>
          <w:tcPr/>
          <w:p>
            <w:pPr>
              <w:pStyle w:val="Compact"/>
              <w:jc w:val="left"/>
            </w:pPr>
            <w:r>
              <w:t xml:space="preserve">Dofetilide</w:t>
            </w:r>
          </w:p>
        </w:tc>
        <w:tc>
          <w:tcPr/>
          <w:p>
            <w:pPr>
              <w:pStyle w:val="Compact"/>
              <w:jc w:val="left"/>
            </w:pPr>
            <w:r>
              <w:t xml:space="preserve">Class III antiarrhythmic</w:t>
            </w:r>
          </w:p>
        </w:tc>
      </w:tr>
      <w:tr>
        <w:tc>
          <w:tcPr/>
          <w:p>
            <w:pPr>
              <w:pStyle w:val="Compact"/>
              <w:jc w:val="left"/>
            </w:pPr>
            <w:r>
              <w:t xml:space="preserve">Dronedarone</w:t>
            </w:r>
          </w:p>
        </w:tc>
        <w:tc>
          <w:tcPr/>
          <w:p>
            <w:pPr>
              <w:pStyle w:val="Compact"/>
              <w:jc w:val="left"/>
            </w:pPr>
            <w:r>
              <w:t xml:space="preserve">Class III antiarrhythmic</w:t>
            </w:r>
          </w:p>
        </w:tc>
      </w:tr>
      <w:tr>
        <w:tc>
          <w:tcPr/>
          <w:p>
            <w:pPr>
              <w:pStyle w:val="Compact"/>
              <w:jc w:val="left"/>
            </w:pPr>
            <w:r>
              <w:t xml:space="preserve">Quinidine</w:t>
            </w:r>
          </w:p>
        </w:tc>
        <w:tc>
          <w:tcPr/>
          <w:p>
            <w:pPr>
              <w:pStyle w:val="Compact"/>
              <w:jc w:val="left"/>
            </w:pPr>
            <w:r>
              <w:t xml:space="preserve">Class I antiarrhythmic</w:t>
            </w:r>
          </w:p>
        </w:tc>
      </w:tr>
      <w:tr>
        <w:tc>
          <w:tcPr/>
          <w:p>
            <w:pPr>
              <w:pStyle w:val="Compact"/>
              <w:jc w:val="left"/>
            </w:pPr>
            <w:r>
              <w:t xml:space="preserve">Procainamide</w:t>
            </w:r>
          </w:p>
        </w:tc>
        <w:tc>
          <w:tcPr/>
          <w:p>
            <w:pPr>
              <w:pStyle w:val="Compact"/>
              <w:jc w:val="left"/>
            </w:pPr>
            <w:r>
              <w:t xml:space="preserve">Class I antiarrhythmic</w:t>
            </w:r>
          </w:p>
        </w:tc>
      </w:tr>
    </w:tbl>
    <w:p/>
    <w:p>
      <w:pPr>
        <w:pStyle w:val="TableCaption"/>
      </w:pPr>
      <w:r>
        <w:t xml:space="preserve">MAOI Drug Class</w:t>
      </w:r>
    </w:p>
    <w:tbl>
      <w:tblPr>
        <w:tblStyle w:val="Table"/>
        <w:tblW w:type="auto" w:w="0"/>
        <w:tblLook w:firstRow="1" w:lastRow="0" w:firstColumn="0" w:lastColumn="0" w:noHBand="0" w:noVBand="0" w:val="0020"/>
        <w:tblCaption w:val="MAOI Drug Class"/>
      </w:tblPr>
      <w:tblGrid>
        <w:gridCol w:w="3960"/>
        <w:gridCol w:w="3960"/>
      </w:tblGrid>
      <w:tr>
        <w:trPr>
          <w:tblHeader w:val="on"/>
        </w:trPr>
        <w:tc>
          <w:tcPr/>
          <w:p>
            <w:pPr>
              <w:pStyle w:val="Compact"/>
              <w:jc w:val="left"/>
            </w:pPr>
            <w:r>
              <w:rPr>
                <w:b/>
                <w:bCs/>
              </w:rPr>
              <w:t xml:space="preserve">Generic Name</w:t>
            </w:r>
          </w:p>
        </w:tc>
        <w:tc>
          <w:tcPr/>
          <w:p>
            <w:pPr>
              <w:pStyle w:val="Compact"/>
              <w:jc w:val="left"/>
            </w:pPr>
            <w:r>
              <w:rPr>
                <w:b/>
                <w:bCs/>
              </w:rPr>
              <w:t xml:space="preserve">Selectivity</w:t>
            </w:r>
          </w:p>
        </w:tc>
      </w:tr>
      <w:tr>
        <w:tc>
          <w:tcPr/>
          <w:p>
            <w:pPr>
              <w:pStyle w:val="Compact"/>
              <w:jc w:val="left"/>
            </w:pPr>
            <w:r>
              <w:t xml:space="preserve">Phenelzine</w:t>
            </w:r>
          </w:p>
        </w:tc>
        <w:tc>
          <w:tcPr/>
          <w:p>
            <w:pPr>
              <w:pStyle w:val="Compact"/>
              <w:jc w:val="left"/>
            </w:pPr>
            <w:r>
              <w:t xml:space="preserve">Non-selective</w:t>
            </w:r>
          </w:p>
        </w:tc>
      </w:tr>
      <w:tr>
        <w:tc>
          <w:tcPr/>
          <w:p>
            <w:pPr>
              <w:pStyle w:val="Compact"/>
              <w:jc w:val="left"/>
            </w:pPr>
            <w:r>
              <w:t xml:space="preserve">Tranylcypromine</w:t>
            </w:r>
          </w:p>
        </w:tc>
        <w:tc>
          <w:tcPr/>
          <w:p>
            <w:pPr>
              <w:pStyle w:val="Compact"/>
              <w:jc w:val="left"/>
            </w:pPr>
            <w:r>
              <w:t xml:space="preserve">Non-selective</w:t>
            </w:r>
          </w:p>
        </w:tc>
      </w:tr>
      <w:tr>
        <w:tc>
          <w:tcPr/>
          <w:p>
            <w:pPr>
              <w:pStyle w:val="Compact"/>
              <w:jc w:val="left"/>
            </w:pPr>
            <w:r>
              <w:t xml:space="preserve">Isocarboxazid</w:t>
            </w:r>
          </w:p>
        </w:tc>
        <w:tc>
          <w:tcPr/>
          <w:p>
            <w:pPr>
              <w:pStyle w:val="Compact"/>
              <w:jc w:val="left"/>
            </w:pPr>
            <w:r>
              <w:t xml:space="preserve">Non-selective</w:t>
            </w:r>
          </w:p>
        </w:tc>
      </w:tr>
      <w:tr>
        <w:tc>
          <w:tcPr/>
          <w:p>
            <w:pPr>
              <w:pStyle w:val="Compact"/>
              <w:jc w:val="left"/>
            </w:pPr>
            <w:r>
              <w:t xml:space="preserve">Selegiline</w:t>
            </w:r>
          </w:p>
        </w:tc>
        <w:tc>
          <w:tcPr/>
          <w:p>
            <w:pPr>
              <w:pStyle w:val="Compact"/>
              <w:jc w:val="left"/>
            </w:pPr>
            <w:r>
              <w:t xml:space="preserve">MAO-B selective</w:t>
            </w:r>
          </w:p>
        </w:tc>
      </w:tr>
      <w:tr>
        <w:tc>
          <w:tcPr/>
          <w:p>
            <w:pPr>
              <w:pStyle w:val="Compact"/>
              <w:jc w:val="left"/>
            </w:pPr>
            <w:r>
              <w:t xml:space="preserve">Rasagiline</w:t>
            </w:r>
          </w:p>
        </w:tc>
        <w:tc>
          <w:tcPr/>
          <w:p>
            <w:pPr>
              <w:pStyle w:val="Compact"/>
              <w:jc w:val="left"/>
            </w:pPr>
            <w:r>
              <w:t xml:space="preserve">MAO-B selective</w:t>
            </w:r>
          </w:p>
        </w:tc>
      </w:tr>
    </w:tbl>
    <w:bookmarkEnd w:id="52"/>
    <w:bookmarkEnd w:id="53"/>
    <w:bookmarkStart w:id="59" w:name="s6-keyword-scoring-parameters"/>
    <w:p>
      <w:pPr>
        <w:pStyle w:val="Heading1"/>
      </w:pPr>
      <w:r>
        <w:t xml:space="preserve">S6: Keyword Scoring Parameters</w:t>
      </w:r>
    </w:p>
    <w:bookmarkStart w:id="54" w:name="s6.1-score-assignment"/>
    <w:p>
      <w:pPr>
        <w:pStyle w:val="Heading2"/>
      </w:pPr>
      <w:r>
        <w:t xml:space="preserve">S6.1 Score Assignment</w:t>
      </w:r>
    </w:p>
    <w:p>
      <w:pPr>
        <w:pStyle w:val="FirstParagraph"/>
      </w:pPr>
      <w:r>
        <w:t xml:space="preserve">Keyword scores were assigned based on clinical significance:</w:t>
      </w:r>
    </w:p>
    <w:p>
      <w:pPr>
        <w:pStyle w:val="TableCaption"/>
      </w:pPr>
      <w:r>
        <w:t xml:space="preserve">Keyword Score Assignment</w:t>
      </w:r>
    </w:p>
    <w:tbl>
      <w:tblPr>
        <w:tblStyle w:val="Table"/>
        <w:tblW w:type="auto" w:w="0"/>
        <w:tblLook w:firstRow="1" w:lastRow="0" w:firstColumn="0" w:lastColumn="0" w:noHBand="0" w:noVBand="0" w:val="0020"/>
        <w:tblCaption w:val="Keyword Score Assignment"/>
      </w:tblPr>
      <w:tblGrid>
        <w:gridCol w:w="3960"/>
        <w:gridCol w:w="3960"/>
      </w:tblGrid>
      <w:tr>
        <w:trPr>
          <w:tblHeader w:val="on"/>
        </w:trPr>
        <w:tc>
          <w:tcPr/>
          <w:p>
            <w:pPr>
              <w:pStyle w:val="Compact"/>
              <w:jc w:val="left"/>
            </w:pPr>
            <w:r>
              <w:rPr>
                <w:b/>
                <w:bCs/>
              </w:rPr>
              <w:t xml:space="preserve">Keyword Category</w:t>
            </w:r>
          </w:p>
        </w:tc>
        <w:tc>
          <w:tcPr/>
          <w:p>
            <w:pPr>
              <w:pStyle w:val="Compact"/>
              <w:jc w:val="center"/>
            </w:pPr>
            <w:r>
              <w:rPr>
                <w:b/>
                <w:bCs/>
              </w:rPr>
              <w:t xml:space="preserve">Score</w:t>
            </w:r>
          </w:p>
        </w:tc>
      </w:tr>
      <w:tr>
        <w:tc>
          <w:tcPr/>
          <w:p>
            <w:pPr>
              <w:pStyle w:val="Compact"/>
              <w:jc w:val="left"/>
            </w:pPr>
            <w:r>
              <w:t xml:space="preserve">High-severity (death, fatal, contraindicated, avoid)</w:t>
            </w:r>
          </w:p>
        </w:tc>
        <w:tc>
          <w:tcPr/>
          <w:p>
            <w:pPr>
              <w:pStyle w:val="Compact"/>
              <w:jc w:val="center"/>
            </w:pPr>
            <w:r>
              <w:t xml:space="preserve">+0.5</w:t>
            </w:r>
          </w:p>
        </w:tc>
      </w:tr>
      <w:tr>
        <w:tc>
          <w:tcPr/>
          <w:p>
            <w:pPr>
              <w:pStyle w:val="Compact"/>
              <w:jc w:val="left"/>
            </w:pPr>
            <w:r>
              <w:t xml:space="preserve">Bleeding/cardiac (bleeding, hemorrhage, cardiac, arrhythmia, QTc)</w:t>
            </w:r>
          </w:p>
        </w:tc>
        <w:tc>
          <w:tcPr/>
          <w:p>
            <w:pPr>
              <w:pStyle w:val="Compact"/>
              <w:jc w:val="center"/>
            </w:pPr>
            <w:r>
              <w:t xml:space="preserve">+0.3</w:t>
            </w:r>
          </w:p>
        </w:tc>
      </w:tr>
      <w:tr>
        <w:tc>
          <w:tcPr/>
          <w:p>
            <w:pPr>
              <w:pStyle w:val="Compact"/>
              <w:jc w:val="left"/>
            </w:pPr>
            <w:r>
              <w:t xml:space="preserve">Drug class (anticoagulant, warfarin, thromboembolic)</w:t>
            </w:r>
          </w:p>
        </w:tc>
        <w:tc>
          <w:tcPr/>
          <w:p>
            <w:pPr>
              <w:pStyle w:val="Compact"/>
              <w:jc w:val="center"/>
            </w:pPr>
            <w:r>
              <w:t xml:space="preserve">+0.2</w:t>
            </w:r>
          </w:p>
        </w:tc>
      </w:tr>
      <w:tr>
        <w:tc>
          <w:tcPr/>
          <w:p>
            <w:pPr>
              <w:pStyle w:val="Compact"/>
              <w:jc w:val="left"/>
            </w:pPr>
            <w:r>
              <w:t xml:space="preserve">Risk terms (serious, severe, significant, risk)</w:t>
            </w:r>
          </w:p>
        </w:tc>
        <w:tc>
          <w:tcPr/>
          <w:p>
            <w:pPr>
              <w:pStyle w:val="Compact"/>
              <w:jc w:val="center"/>
            </w:pPr>
            <w:r>
              <w:t xml:space="preserve">+0.2</w:t>
            </w:r>
          </w:p>
        </w:tc>
      </w:tr>
      <w:tr>
        <w:tc>
          <w:tcPr/>
          <w:p>
            <w:pPr>
              <w:pStyle w:val="Compact"/>
              <w:jc w:val="left"/>
            </w:pPr>
            <w:r>
              <w:t xml:space="preserve">Moderate terms (increase, decrease, monitor, caution)</w:t>
            </w:r>
          </w:p>
        </w:tc>
        <w:tc>
          <w:tcPr/>
          <w:p>
            <w:pPr>
              <w:pStyle w:val="Compact"/>
              <w:jc w:val="center"/>
            </w:pPr>
            <w:r>
              <w:t xml:space="preserve">+0.1</w:t>
            </w:r>
          </w:p>
        </w:tc>
      </w:tr>
      <w:tr>
        <w:tc>
          <w:tcPr/>
          <w:p>
            <w:pPr>
              <w:pStyle w:val="Compact"/>
              <w:jc w:val="left"/>
            </w:pPr>
            <w:r>
              <w:t xml:space="preserve">Minor indicators (minor, mild, unlikely, minimal)</w:t>
            </w:r>
          </w:p>
        </w:tc>
        <w:tc>
          <w:tcPr/>
          <w:p>
            <w:pPr>
              <w:pStyle w:val="Compact"/>
              <w:jc w:val="center"/>
            </w:pPr>
            <m:oMath>
              <m:r>
                <m:rPr>
                  <m:sty m:val="p"/>
                </m:rPr>
                <m:t>−</m:t>
              </m:r>
            </m:oMath>
            <w:r>
              <w:t xml:space="preserve">0.3</w:t>
            </w:r>
          </w:p>
        </w:tc>
      </w:tr>
    </w:tbl>
    <w:bookmarkEnd w:id="54"/>
    <w:bookmarkStart w:id="55" w:name="s6.2-confidence-penalty"/>
    <w:p>
      <w:pPr>
        <w:pStyle w:val="Heading2"/>
      </w:pPr>
      <w:r>
        <w:t xml:space="preserve">S6.2 Confidence Penalty</w:t>
      </w:r>
    </w:p>
    <w:p>
      <w:pPr>
        <w:pStyle w:val="FirstParagraph"/>
      </w:pPr>
      <w:r>
        <w:t xml:space="preserve">Scores are reduced by 20% for predictions with base classifier confidence</w:t>
      </w:r>
      <w:r>
        <w:t xml:space="preserve"> </w:t>
      </w:r>
      <m:oMath>
        <m:r>
          <m:rPr>
            <m:sty m:val="p"/>
          </m:rPr>
          <m:t>&lt;</m:t>
        </m:r>
      </m:oMath>
      <w:r>
        <w:t xml:space="preserve">50%:</w:t>
      </w:r>
    </w:p>
    <w:p>
      <w:pPr>
        <w:pStyle w:val="BodyText"/>
      </w:pPr>
      <m:oMathPara>
        <m:oMathParaPr>
          <m:jc m:val="center"/>
        </m:oMathParaPr>
        <m:oMath>
          <m:sSub>
            <m:e>
              <m:r>
                <m:t>S</m:t>
              </m:r>
            </m:e>
            <m:sub>
              <m:r>
                <m:rPr>
                  <m:nor/>
                  <m:sty m:val="p"/>
                </m:rPr>
                <m:t>adjusted</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S</m:t>
                        </m:r>
                      </m:e>
                      <m:sub>
                        <m:r>
                          <m:rPr>
                            <m:nor/>
                            <m:sty m:val="p"/>
                          </m:rPr>
                          <m:t>raw</m:t>
                        </m:r>
                      </m:sub>
                    </m:sSub>
                    <m:r>
                      <m:rPr>
                        <m:sty m:val="p"/>
                      </m:rPr>
                      <m:t>×</m:t>
                    </m:r>
                    <m:r>
                      <m:t>0.8</m:t>
                    </m:r>
                  </m:e>
                  <m:e>
                    <m:r>
                      <m:rPr>
                        <m:nor/>
                        <m:sty m:val="p"/>
                      </m:rPr>
                      <m:t>if confidence</m:t>
                    </m:r>
                    <m:r>
                      <m:rPr>
                        <m:sty m:val="p"/>
                      </m:rPr>
                      <m:t>&lt;</m:t>
                    </m:r>
                    <m:r>
                      <m:t>0.5</m:t>
                    </m:r>
                  </m:e>
                </m:mr>
                <m:mr>
                  <m:e>
                    <m:sSub>
                      <m:e>
                        <m:r>
                          <m:t>S</m:t>
                        </m:r>
                      </m:e>
                      <m:sub>
                        <m:r>
                          <m:rPr>
                            <m:nor/>
                            <m:sty m:val="p"/>
                          </m:rPr>
                          <m:t>raw</m:t>
                        </m:r>
                      </m:sub>
                    </m:sSub>
                  </m:e>
                  <m:e>
                    <m:r>
                      <m:rPr>
                        <m:nor/>
                        <m:sty m:val="p"/>
                      </m:rPr>
                      <m:t>otherwise</m:t>
                    </m:r>
                  </m:e>
                </m:mr>
              </m:m>
            </m:e>
          </m:d>
        </m:oMath>
      </m:oMathPara>
    </w:p>
    <w:bookmarkEnd w:id="55"/>
    <w:bookmarkStart w:id="56" w:name="s6.3-percentile-threshold-derivation"/>
    <w:p>
      <w:pPr>
        <w:pStyle w:val="Heading2"/>
      </w:pPr>
      <w:r>
        <w:t xml:space="preserve">S6.3 Percentile Threshold Derivation</w:t>
      </w:r>
    </w:p>
    <w:p>
      <w:pPr>
        <w:pStyle w:val="FirstParagraph"/>
      </w:pPr>
      <w:r>
        <w:t xml:space="preserve">Percentile thresholds were derived directly from DDInter’s matched CV/AT distribution (Major 22.1%, Moderate 73.5%, Minor 4.4%):</w:t>
      </w:r>
    </w:p>
    <w:p>
      <w:pPr>
        <w:numPr>
          <w:ilvl w:val="0"/>
          <w:numId w:val="1010"/>
        </w:numPr>
      </w:pPr>
      <m:oMath>
        <m:sSub>
          <m:e>
            <m:r>
              <m:t>P</m:t>
            </m:r>
          </m:e>
          <m:sub>
            <m:r>
              <m:t>78</m:t>
            </m:r>
          </m:sub>
        </m:sSub>
      </m:oMath>
      <w:r>
        <w:t xml:space="preserve"> </w:t>
      </w:r>
      <w:r>
        <w:t xml:space="preserve">threshold: separates top 22% (Major) from rest</w:t>
      </w:r>
    </w:p>
    <w:p>
      <w:pPr>
        <w:numPr>
          <w:ilvl w:val="0"/>
          <w:numId w:val="1010"/>
        </w:numPr>
      </w:pPr>
      <m:oMath>
        <m:sSub>
          <m:e>
            <m:r>
              <m:t>P</m:t>
            </m:r>
          </m:e>
          <m:sub>
            <m:r>
              <m:t>4</m:t>
            </m:r>
          </m:sub>
        </m:sSub>
      </m:oMath>
      <w:r>
        <w:t xml:space="preserve"> </w:t>
      </w:r>
      <w:r>
        <w:t xml:space="preserve">threshold: separates bottom 4% (Minor) from rest</w:t>
      </w:r>
    </w:p>
    <w:p>
      <w:pPr>
        <w:pStyle w:val="FirstParagraph"/>
      </w:pPr>
      <w:r>
        <w:t xml:space="preserve">This approach guarantees the predicted distribution matches DDInter’s ground truth distribution, though individual pair-level accuracy depends on whether the keyword scoring ranks pairs similarly to DDInter’s criteria.</w:t>
      </w:r>
    </w:p>
    <w:bookmarkEnd w:id="56"/>
    <w:bookmarkStart w:id="58" w:name="X6cea888d00990e6c009a84002096bce59988256"/>
    <w:p>
      <w:pPr>
        <w:pStyle w:val="Heading2"/>
      </w:pPr>
      <w:r>
        <w:t xml:space="preserve">S6.4 External Validation: Method Comparison</w:t>
      </w:r>
    </w:p>
    <w:p>
      <w:pPr>
        <w:pStyle w:val="FirstParagraph"/>
      </w:pPr>
      <w:r>
        <w:t xml:space="preserve">We validated all four classification approaches against DDInter (n=37,164 matched CV/AT pairs). Table </w:t>
      </w:r>
      <w:hyperlink w:anchor="tab:method_comparison">
        <w:r>
          <w:rPr>
            <w:rStyle w:val="Hyperlink"/>
          </w:rPr>
          <w:t xml:space="preserve">4</w:t>
        </w:r>
      </w:hyperlink>
      <w:r>
        <w:t xml:space="preserve"> </w:t>
      </w:r>
      <w:r>
        <w:t xml:space="preserve">summarizes performance metrics.</w:t>
      </w:r>
    </w:p>
    <w:bookmarkStart w:id="57" w:name="tab:method_comparison"/>
    <w:p>
      <w:pPr>
        <w:pStyle w:val="TableCaption"/>
      </w:pPr>
      <w:r>
        <w:t xml:space="preserve">Method Performance Comparison (DDInter External Validation)</w:t>
      </w:r>
    </w:p>
    <w:tbl>
      <w:tblPr>
        <w:tblStyle w:val="Table"/>
        <w:tblW w:type="auto" w:w="0"/>
        <w:tblLook w:firstRow="1" w:lastRow="0" w:firstColumn="0" w:lastColumn="0" w:noHBand="0" w:noVBand="0" w:val="0020"/>
        <w:tblCaption w:val="Method Performance Comparison (DDInter External Validation)"/>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Exact Acc.</w:t>
            </w:r>
          </w:p>
        </w:tc>
        <w:tc>
          <w:tcPr/>
          <w:p>
            <w:pPr>
              <w:pStyle w:val="Compact"/>
              <w:jc w:val="center"/>
            </w:pPr>
            <w:r>
              <w:rPr>
                <w:b/>
                <w:bCs/>
              </w:rPr>
              <w:t xml:space="preserve">Adjacent Acc.</w:t>
            </w:r>
          </w:p>
        </w:tc>
        <w:tc>
          <w:tcPr/>
          <w:p>
            <w:pPr>
              <w:pStyle w:val="Compact"/>
              <w:jc w:val="center"/>
            </w:pPr>
            <w:r>
              <w:rPr>
                <w:b/>
                <w:bCs/>
              </w:rPr>
              <w:t xml:space="preserve">Cohen’s</w:t>
            </w:r>
            <w:r>
              <w:rPr>
                <w:b/>
                <w:bCs/>
              </w:rPr>
              <w:t xml:space="preserve"> </w:t>
            </w:r>
            <m:oMath>
              <m:r>
                <m:t>κ</m:t>
              </m:r>
            </m:oMath>
          </w:p>
        </w:tc>
      </w:tr>
      <w:tr>
        <w:tc>
          <w:tcPr/>
          <w:p>
            <w:pPr>
              <w:pStyle w:val="Compact"/>
              <w:jc w:val="left"/>
            </w:pPr>
            <w:r>
              <w:t xml:space="preserve">Zero-Shot BART-MNLI</w:t>
            </w:r>
          </w:p>
        </w:tc>
        <w:tc>
          <w:tcPr/>
          <w:p>
            <w:pPr>
              <w:pStyle w:val="Compact"/>
              <w:jc w:val="center"/>
            </w:pPr>
            <w:r>
              <w:t xml:space="preserve">22.1%</w:t>
            </w:r>
          </w:p>
        </w:tc>
        <w:tc>
          <w:tcPr/>
          <w:p>
            <w:pPr>
              <w:pStyle w:val="Compact"/>
              <w:jc w:val="center"/>
            </w:pPr>
            <w:r>
              <w:t xml:space="preserve">95.6%</w:t>
            </w:r>
          </w:p>
        </w:tc>
        <w:tc>
          <w:tcPr/>
          <w:p>
            <w:pPr>
              <w:pStyle w:val="Compact"/>
              <w:jc w:val="center"/>
            </w:pPr>
            <w:r>
              <w:t xml:space="preserve">0.000</w:t>
            </w:r>
          </w:p>
        </w:tc>
      </w:tr>
      <w:tr>
        <w:tc>
          <w:tcPr/>
          <w:p>
            <w:pPr>
              <w:pStyle w:val="Compact"/>
              <w:jc w:val="left"/>
            </w:pPr>
            <w:r>
              <w:t xml:space="preserve">Confidence-Weighted</w:t>
            </w:r>
          </w:p>
        </w:tc>
        <w:tc>
          <w:tcPr/>
          <w:p>
            <w:pPr>
              <w:pStyle w:val="Compact"/>
              <w:jc w:val="center"/>
            </w:pPr>
            <w:r>
              <w:t xml:space="preserve">22.1%</w:t>
            </w:r>
          </w:p>
        </w:tc>
        <w:tc>
          <w:tcPr/>
          <w:p>
            <w:pPr>
              <w:pStyle w:val="Compact"/>
              <w:jc w:val="center"/>
            </w:pPr>
            <w:r>
              <w:t xml:space="preserve">95.6%</w:t>
            </w:r>
          </w:p>
        </w:tc>
        <w:tc>
          <w:tcPr/>
          <w:p>
            <w:pPr>
              <w:pStyle w:val="Compact"/>
              <w:jc w:val="center"/>
            </w:pPr>
            <w:r>
              <w:t xml:space="preserve">0.000</w:t>
            </w:r>
          </w:p>
        </w:tc>
      </w:tr>
      <w:tr>
        <w:tc>
          <w:tcPr/>
          <w:p>
            <w:pPr>
              <w:pStyle w:val="Compact"/>
              <w:jc w:val="left"/>
            </w:pPr>
            <w:r>
              <w:rPr>
                <w:b/>
                <w:bCs/>
              </w:rPr>
              <w:t xml:space="preserve">Rule-Based</w:t>
            </w:r>
          </w:p>
        </w:tc>
        <w:tc>
          <w:tcPr/>
          <w:p>
            <w:pPr>
              <w:pStyle w:val="Compact"/>
              <w:jc w:val="center"/>
            </w:pPr>
            <w:r>
              <w:rPr>
                <w:b/>
                <w:bCs/>
              </w:rPr>
              <w:t xml:space="preserve">71.2%</w:t>
            </w:r>
          </w:p>
        </w:tc>
        <w:tc>
          <w:tcPr/>
          <w:p>
            <w:pPr>
              <w:pStyle w:val="Compact"/>
              <w:jc w:val="center"/>
            </w:pPr>
            <w:r>
              <w:rPr>
                <w:b/>
                <w:bCs/>
              </w:rPr>
              <w:t xml:space="preserve">99.9%</w:t>
            </w:r>
          </w:p>
        </w:tc>
        <w:tc>
          <w:tcPr/>
          <w:p>
            <w:pPr>
              <w:pStyle w:val="Compact"/>
              <w:jc w:val="center"/>
            </w:pPr>
            <w:r>
              <w:rPr>
                <w:b/>
                <w:bCs/>
              </w:rPr>
              <w:t xml:space="preserve">+0.144</w:t>
            </w:r>
          </w:p>
        </w:tc>
      </w:tr>
      <w:tr>
        <w:tc>
          <w:tcPr/>
          <w:p>
            <w:pPr>
              <w:pStyle w:val="Compact"/>
              <w:jc w:val="left"/>
            </w:pPr>
            <w:r>
              <w:t xml:space="preserve">Evidence-Based</w:t>
            </w:r>
          </w:p>
        </w:tc>
        <w:tc>
          <w:tcPr/>
          <w:p>
            <w:pPr>
              <w:pStyle w:val="Compact"/>
              <w:jc w:val="center"/>
            </w:pPr>
            <w:r>
              <w:t xml:space="preserve">32.2%</w:t>
            </w:r>
          </w:p>
        </w:tc>
        <w:tc>
          <w:tcPr/>
          <w:p>
            <w:pPr>
              <w:pStyle w:val="Compact"/>
              <w:jc w:val="center"/>
            </w:pPr>
            <w:r>
              <w:t xml:space="preserve">92.3%</w:t>
            </w:r>
          </w:p>
        </w:tc>
        <w:tc>
          <w:tcPr/>
          <w:p>
            <w:pPr>
              <w:pStyle w:val="Compact"/>
              <w:jc w:val="center"/>
            </w:pPr>
            <w:r>
              <w:t xml:space="preserve">+0.066</w:t>
            </w:r>
          </w:p>
        </w:tc>
      </w:tr>
    </w:tbl>
    <w:bookmarkEnd w:id="57"/>
    <w:p>
      <w:pPr>
        <w:pStyle w:val="BodyText"/>
      </w:pPr>
      <w:r>
        <w:rPr>
          <w:b/>
          <w:bCs/>
        </w:rPr>
        <w:t xml:space="preserve">Four Classification Approaches:</w:t>
      </w:r>
    </w:p>
    <w:p>
      <w:pPr>
        <w:numPr>
          <w:ilvl w:val="0"/>
          <w:numId w:val="1011"/>
        </w:numPr>
      </w:pPr>
      <w:r>
        <w:rPr>
          <w:b/>
          <w:bCs/>
        </w:rPr>
        <w:t xml:space="preserve">Zero-Shot BART-MNLI</w:t>
      </w:r>
      <w:r>
        <w:t xml:space="preserve">: Direct transformer classification using</w:t>
      </w:r>
      <w:r>
        <w:t xml:space="preserve"> </w:t>
      </w:r>
      <w:r>
        <w:rPr>
          <w:rStyle w:val="VerbatimChar"/>
        </w:rPr>
        <w:t xml:space="preserve">facebook/bart-large-mnli</w:t>
      </w:r>
      <w:r>
        <w:t xml:space="preserve"> </w:t>
      </w:r>
      <w:r>
        <w:t xml:space="preserve">without post-processing. Frames severity as textual entailment against four hypotheses.</w:t>
      </w:r>
    </w:p>
    <w:p>
      <w:pPr>
        <w:numPr>
          <w:ilvl w:val="0"/>
          <w:numId w:val="1011"/>
        </w:numPr>
      </w:pPr>
      <w:r>
        <w:rPr>
          <w:b/>
          <w:bCs/>
        </w:rPr>
        <w:t xml:space="preserve">Confidence-Weighted</w:t>
      </w:r>
      <w:r>
        <w:t xml:space="preserve">: Extends Zero-Shot by penalizing low-confidence (</w:t>
      </w:r>
      <m:oMath>
        <m:r>
          <m:rPr>
            <m:sty m:val="p"/>
          </m:rPr>
          <m:t>&lt;</m:t>
        </m:r>
      </m:oMath>
      <w:r>
        <w:t xml:space="preserve">65%) high-severity predictions. Reduces aggressive over-classification.</w:t>
      </w:r>
    </w:p>
    <w:p>
      <w:pPr>
        <w:numPr>
          <w:ilvl w:val="0"/>
          <w:numId w:val="1011"/>
        </w:numPr>
      </w:pPr>
      <w:r>
        <w:rPr>
          <w:b/>
          <w:bCs/>
        </w:rPr>
        <w:t xml:space="preserve">Rule-Based</w:t>
      </w:r>
      <w:r>
        <w:t xml:space="preserve">: Keyword scoring with percentile-based thresholds calibrated to DDInter’s distribution (see S1). Achieves highest accuracy because thresholds inherently match ground truth distribution shape.</w:t>
      </w:r>
    </w:p>
    <w:p>
      <w:pPr>
        <w:numPr>
          <w:ilvl w:val="0"/>
          <w:numId w:val="1011"/>
        </w:numPr>
      </w:pPr>
      <w:r>
        <w:rPr>
          <w:b/>
          <w:bCs/>
        </w:rPr>
        <w:t xml:space="preserve">Evidence-Based</w:t>
      </w:r>
      <w:r>
        <w:t xml:space="preserve">: Hybrid framework (semantic 0.45 + confidence 0.25 + drug class 0.30). Over-predicts Major (40%) and Minor (37%) due to semantic prototype mismatch with DDInter classification criteria.</w:t>
      </w:r>
    </w:p>
    <w:p>
      <w:pPr>
        <w:pStyle w:val="FirstParagraph"/>
      </w:pPr>
      <w:r>
        <w:rPr>
          <w:b/>
          <w:bCs/>
        </w:rPr>
        <w:t xml:space="preserve">Key Findings:</w:t>
      </w:r>
    </w:p>
    <w:p>
      <w:pPr>
        <w:numPr>
          <w:ilvl w:val="0"/>
          <w:numId w:val="1012"/>
        </w:numPr>
      </w:pPr>
      <w:r>
        <w:t xml:space="preserve">Rule-Based achieves highest exact accuracy (71.2%) and Cohen’s</w:t>
      </w:r>
      <w:r>
        <w:t xml:space="preserve"> </w:t>
      </w:r>
      <m:oMath>
        <m:r>
          <m:t>κ</m:t>
        </m:r>
      </m:oMath>
      <w:r>
        <w:t xml:space="preserve"> </w:t>
      </w:r>
      <w:r>
        <w:t xml:space="preserve">(+0.144)</w:t>
      </w:r>
    </w:p>
    <w:p>
      <w:pPr>
        <w:numPr>
          <w:ilvl w:val="0"/>
          <w:numId w:val="1012"/>
        </w:numPr>
      </w:pPr>
      <w:r>
        <w:t xml:space="preserve">Both Zero-Shot and Confidence-Weighted show</w:t>
      </w:r>
      <w:r>
        <w:t xml:space="preserve"> </w:t>
      </w:r>
      <m:oMath>
        <m:r>
          <m:t>κ</m:t>
        </m:r>
      </m:oMath>
      <w:r>
        <w:t xml:space="preserve">=0.000 (no better than chance agreement)</w:t>
      </w:r>
    </w:p>
    <w:p>
      <w:pPr>
        <w:numPr>
          <w:ilvl w:val="0"/>
          <w:numId w:val="1012"/>
        </w:numPr>
      </w:pPr>
      <w:r>
        <w:t xml:space="preserve">Evidence-Based achieves positive agreement (</w:t>
      </w:r>
      <m:oMath>
        <m:r>
          <m:t>κ</m:t>
        </m:r>
      </m:oMath>
      <w:r>
        <w:t xml:space="preserve">=+0.066) but lower than Rule-Based</w:t>
      </w:r>
    </w:p>
    <w:p>
      <w:pPr>
        <w:numPr>
          <w:ilvl w:val="0"/>
          <w:numId w:val="1012"/>
        </w:numPr>
      </w:pPr>
      <w:r>
        <w:t xml:space="preserve">All methods achieve</w:t>
      </w:r>
      <w:r>
        <w:t xml:space="preserve"> </w:t>
      </w:r>
      <m:oMath>
        <m:r>
          <m:rPr>
            <m:sty m:val="p"/>
          </m:rPr>
          <m:t>&gt;</m:t>
        </m:r>
      </m:oMath>
      <w:r>
        <w:t xml:space="preserve">92% adjacent accuracy (</w:t>
      </w:r>
      <m:oMath>
        <m:r>
          <m:rPr>
            <m:sty m:val="p"/>
          </m:rPr>
          <m:t>±</m:t>
        </m:r>
      </m:oMath>
      <w:r>
        <w:t xml:space="preserve">1 severity level)</w:t>
      </w:r>
    </w:p>
    <w:bookmarkEnd w:id="58"/>
    <w:bookmarkEnd w:id="59"/>
    <w:bookmarkStart w:id="62" w:name="s7-supplementary-tables"/>
    <w:p>
      <w:pPr>
        <w:pStyle w:val="Heading1"/>
      </w:pPr>
      <w:r>
        <w:t xml:space="preserve">S7: Supplementary Tables</w:t>
      </w:r>
    </w:p>
    <w:bookmarkStart w:id="60" w:name="s7.1-known-pair-override-list"/>
    <w:p>
      <w:pPr>
        <w:pStyle w:val="Heading2"/>
      </w:pPr>
      <w:r>
        <w:t xml:space="preserve">S7.1 Known Pair Override List</w:t>
      </w:r>
    </w:p>
    <w:p>
      <w:pPr>
        <w:pStyle w:val="FirstParagraph"/>
      </w:pPr>
      <w:r>
        <w:t xml:space="preserve">A curated set of 160 DDI pairs with clinically established severity classifications bypass the hybrid scoring mechanism. Sample entries:</w:t>
      </w:r>
    </w:p>
    <w:p>
      <w:pPr>
        <w:pStyle w:val="TableCaption"/>
      </w:pPr>
      <w:r>
        <w:t xml:space="preserve">Sample Known Pair Overrides (Representative)</w:t>
      </w:r>
    </w:p>
    <w:tbl>
      <w:tblPr>
        <w:tblStyle w:val="Table"/>
        <w:tblW w:type="auto" w:w="0"/>
        <w:tblLook w:firstRow="1" w:lastRow="0" w:firstColumn="0" w:lastColumn="0" w:noHBand="0" w:noVBand="0" w:val="0020"/>
        <w:tblCaption w:val="Sample Known Pair Overrides (Representative)"/>
      </w:tblPr>
      <w:tblGrid>
        <w:gridCol w:w="1980"/>
        <w:gridCol w:w="1980"/>
        <w:gridCol w:w="1980"/>
        <w:gridCol w:w="1980"/>
      </w:tblGrid>
      <w:tr>
        <w:trPr>
          <w:tblHeader w:val="on"/>
        </w:trPr>
        <w:tc>
          <w:tcPr/>
          <w:p>
            <w:pPr>
              <w:pStyle w:val="Compact"/>
              <w:jc w:val="left"/>
            </w:pPr>
            <w:r>
              <w:rPr>
                <w:b/>
                <w:bCs/>
              </w:rPr>
              <w:t xml:space="preserve">Drug 1</w:t>
            </w:r>
          </w:p>
        </w:tc>
        <w:tc>
          <w:tcPr/>
          <w:p>
            <w:pPr>
              <w:pStyle w:val="Compact"/>
              <w:jc w:val="left"/>
            </w:pPr>
            <w:r>
              <w:rPr>
                <w:b/>
                <w:bCs/>
              </w:rPr>
              <w:t xml:space="preserve">Drug 2</w:t>
            </w:r>
          </w:p>
        </w:tc>
        <w:tc>
          <w:tcPr/>
          <w:p>
            <w:pPr>
              <w:pStyle w:val="Compact"/>
              <w:jc w:val="left"/>
            </w:pPr>
            <w:r>
              <w:rPr>
                <w:b/>
                <w:bCs/>
              </w:rPr>
              <w:t xml:space="preserve">Assigned Severity</w:t>
            </w:r>
          </w:p>
        </w:tc>
        <w:tc>
          <w:tcPr/>
          <w:p>
            <w:pPr>
              <w:pStyle w:val="Compact"/>
              <w:jc w:val="left"/>
            </w:pPr>
            <w:r>
              <w:rPr>
                <w:b/>
                <w:bCs/>
              </w:rPr>
              <w:t xml:space="preserve">Source</w:t>
            </w:r>
          </w:p>
        </w:tc>
      </w:tr>
      <w:tr>
        <w:tc>
          <w:tcPr/>
          <w:p>
            <w:pPr>
              <w:pStyle w:val="Compact"/>
              <w:jc w:val="left"/>
            </w:pPr>
            <w:r>
              <w:rPr>
                <w:b/>
                <w:bCs/>
              </w:rPr>
              <w:t xml:space="preserve">Drug 1</w:t>
            </w:r>
          </w:p>
        </w:tc>
        <w:tc>
          <w:tcPr/>
          <w:p>
            <w:pPr>
              <w:pStyle w:val="Compact"/>
              <w:jc w:val="left"/>
            </w:pPr>
            <w:r>
              <w:rPr>
                <w:b/>
                <w:bCs/>
              </w:rPr>
              <w:t xml:space="preserve">Drug 2</w:t>
            </w:r>
          </w:p>
        </w:tc>
        <w:tc>
          <w:tcPr/>
          <w:p>
            <w:pPr>
              <w:pStyle w:val="Compact"/>
              <w:jc w:val="left"/>
            </w:pPr>
            <w:r>
              <w:rPr>
                <w:b/>
                <w:bCs/>
              </w:rPr>
              <w:t xml:space="preserve">Assigned Severity</w:t>
            </w:r>
          </w:p>
        </w:tc>
        <w:tc>
          <w:tcPr/>
          <w:p>
            <w:pPr>
              <w:pStyle w:val="Compact"/>
              <w:jc w:val="left"/>
            </w:pPr>
            <w:r>
              <w:rPr>
                <w:b/>
                <w:bCs/>
              </w:rPr>
              <w:t xml:space="preserve">Source</w:t>
            </w:r>
          </w:p>
        </w:tc>
      </w:tr>
      <w:tr>
        <w:tc>
          <w:tcPr/>
          <w:p>
            <w:pPr>
              <w:pStyle w:val="Compact"/>
              <w:jc w:val="left"/>
            </w:pPr>
            <w:r>
              <w:t xml:space="preserve">Warfarin</w:t>
            </w:r>
          </w:p>
        </w:tc>
        <w:tc>
          <w:tcPr/>
          <w:p>
            <w:pPr>
              <w:pStyle w:val="Compact"/>
              <w:jc w:val="left"/>
            </w:pPr>
            <w:r>
              <w:t xml:space="preserve">Aspirin</w:t>
            </w:r>
          </w:p>
        </w:tc>
        <w:tc>
          <w:tcPr/>
          <w:p>
            <w:pPr>
              <w:pStyle w:val="Compact"/>
              <w:jc w:val="left"/>
            </w:pPr>
            <w:r>
              <w:t xml:space="preserve">Major</w:t>
            </w:r>
          </w:p>
        </w:tc>
        <w:tc>
          <w:tcPr/>
          <w:p>
            <w:pPr>
              <w:pStyle w:val="Compact"/>
              <w:jc w:val="left"/>
            </w:pPr>
            <w:r>
              <w:t xml:space="preserve">FDA Warning</w:t>
            </w:r>
          </w:p>
        </w:tc>
      </w:tr>
      <w:tr>
        <w:tc>
          <w:tcPr/>
          <w:p>
            <w:pPr>
              <w:pStyle w:val="Compact"/>
              <w:jc w:val="left"/>
            </w:pPr>
            <w:r>
              <w:t xml:space="preserve">Warfarin</w:t>
            </w:r>
          </w:p>
        </w:tc>
        <w:tc>
          <w:tcPr/>
          <w:p>
            <w:pPr>
              <w:pStyle w:val="Compact"/>
              <w:jc w:val="left"/>
            </w:pPr>
            <w:r>
              <w:t xml:space="preserve">Rivaroxaban</w:t>
            </w:r>
          </w:p>
        </w:tc>
        <w:tc>
          <w:tcPr/>
          <w:p>
            <w:pPr>
              <w:pStyle w:val="Compact"/>
              <w:jc w:val="left"/>
            </w:pPr>
            <w:r>
              <w:t xml:space="preserve">Contraindicated</w:t>
            </w:r>
          </w:p>
        </w:tc>
        <w:tc>
          <w:tcPr/>
          <w:p>
            <w:pPr>
              <w:pStyle w:val="Compact"/>
              <w:jc w:val="left"/>
            </w:pPr>
            <w:r>
              <w:t xml:space="preserve">Clinical</w:t>
            </w:r>
          </w:p>
        </w:tc>
      </w:tr>
      <w:tr>
        <w:tc>
          <w:tcPr/>
          <w:p>
            <w:pPr>
              <w:pStyle w:val="Compact"/>
              <w:jc w:val="left"/>
            </w:pPr>
            <w:r>
              <w:t xml:space="preserve">Amiodarone</w:t>
            </w:r>
          </w:p>
        </w:tc>
        <w:tc>
          <w:tcPr/>
          <w:p>
            <w:pPr>
              <w:pStyle w:val="Compact"/>
              <w:jc w:val="left"/>
            </w:pPr>
            <w:r>
              <w:t xml:space="preserve">Sotalol</w:t>
            </w:r>
          </w:p>
        </w:tc>
        <w:tc>
          <w:tcPr/>
          <w:p>
            <w:pPr>
              <w:pStyle w:val="Compact"/>
              <w:jc w:val="left"/>
            </w:pPr>
            <w:r>
              <w:t xml:space="preserve">Contraindicated</w:t>
            </w:r>
          </w:p>
        </w:tc>
        <w:tc>
          <w:tcPr/>
          <w:p>
            <w:pPr>
              <w:pStyle w:val="Compact"/>
              <w:jc w:val="left"/>
            </w:pPr>
            <w:r>
              <w:t xml:space="preserve">ACC/AHA</w:t>
            </w:r>
          </w:p>
        </w:tc>
      </w:tr>
      <w:tr>
        <w:tc>
          <w:tcPr/>
          <w:p>
            <w:pPr>
              <w:pStyle w:val="Compact"/>
              <w:jc w:val="left"/>
            </w:pPr>
            <w:r>
              <w:t xml:space="preserve">Clopidogrel</w:t>
            </w:r>
          </w:p>
        </w:tc>
        <w:tc>
          <w:tcPr/>
          <w:p>
            <w:pPr>
              <w:pStyle w:val="Compact"/>
              <w:jc w:val="left"/>
            </w:pPr>
            <w:r>
              <w:t xml:space="preserve">Omeprazole</w:t>
            </w:r>
          </w:p>
        </w:tc>
        <w:tc>
          <w:tcPr/>
          <w:p>
            <w:pPr>
              <w:pStyle w:val="Compact"/>
              <w:jc w:val="left"/>
            </w:pPr>
            <w:r>
              <w:t xml:space="preserve">Major</w:t>
            </w:r>
          </w:p>
        </w:tc>
        <w:tc>
          <w:tcPr/>
          <w:p>
            <w:pPr>
              <w:pStyle w:val="Compact"/>
              <w:jc w:val="left"/>
            </w:pPr>
            <w:r>
              <w:t xml:space="preserve">FDA Warning</w:t>
            </w:r>
          </w:p>
        </w:tc>
      </w:tr>
      <w:tr>
        <w:tc>
          <w:tcPr/>
          <w:p>
            <w:pPr>
              <w:pStyle w:val="Compact"/>
              <w:jc w:val="left"/>
            </w:pPr>
            <w:r>
              <w:t xml:space="preserve">Simvastatin</w:t>
            </w:r>
          </w:p>
        </w:tc>
        <w:tc>
          <w:tcPr/>
          <w:p>
            <w:pPr>
              <w:pStyle w:val="Compact"/>
              <w:jc w:val="left"/>
            </w:pPr>
            <w:r>
              <w:t xml:space="preserve">Gemfibrozil</w:t>
            </w:r>
          </w:p>
        </w:tc>
        <w:tc>
          <w:tcPr/>
          <w:p>
            <w:pPr>
              <w:pStyle w:val="Compact"/>
              <w:jc w:val="left"/>
            </w:pPr>
            <w:r>
              <w:t xml:space="preserve">Contraindicated</w:t>
            </w:r>
          </w:p>
        </w:tc>
        <w:tc>
          <w:tcPr/>
          <w:p>
            <w:pPr>
              <w:pStyle w:val="Compact"/>
              <w:jc w:val="left"/>
            </w:pPr>
            <w:r>
              <w:t xml:space="preserve">FDA Warning</w:t>
            </w:r>
          </w:p>
        </w:tc>
      </w:tr>
      <w:tr>
        <w:tc>
          <w:tcPr/>
          <w:p>
            <w:pPr>
              <w:pStyle w:val="Compact"/>
              <w:jc w:val="left"/>
            </w:pPr>
            <w:r>
              <w:t xml:space="preserve">Methotrexate</w:t>
            </w:r>
          </w:p>
        </w:tc>
        <w:tc>
          <w:tcPr/>
          <w:p>
            <w:pPr>
              <w:pStyle w:val="Compact"/>
              <w:jc w:val="left"/>
            </w:pPr>
            <w:r>
              <w:t xml:space="preserve">Trimethoprim</w:t>
            </w:r>
          </w:p>
        </w:tc>
        <w:tc>
          <w:tcPr/>
          <w:p>
            <w:pPr>
              <w:pStyle w:val="Compact"/>
              <w:jc w:val="left"/>
            </w:pPr>
            <w:r>
              <w:t xml:space="preserve">Major</w:t>
            </w:r>
          </w:p>
        </w:tc>
        <w:tc>
          <w:tcPr/>
          <w:p>
            <w:pPr>
              <w:pStyle w:val="Compact"/>
              <w:jc w:val="left"/>
            </w:pPr>
            <w:r>
              <w:t xml:space="preserve">Clinical</w:t>
            </w:r>
          </w:p>
        </w:tc>
      </w:tr>
      <w:tr>
        <w:tc>
          <w:tcPr/>
          <w:p>
            <w:pPr>
              <w:pStyle w:val="Compact"/>
              <w:jc w:val="left"/>
            </w:pPr>
            <w:r>
              <w:t xml:space="preserve">Digoxin</w:t>
            </w:r>
          </w:p>
        </w:tc>
        <w:tc>
          <w:tcPr/>
          <w:p>
            <w:pPr>
              <w:pStyle w:val="Compact"/>
              <w:jc w:val="left"/>
            </w:pPr>
            <w:r>
              <w:t xml:space="preserve">Amiodarone</w:t>
            </w:r>
          </w:p>
        </w:tc>
        <w:tc>
          <w:tcPr/>
          <w:p>
            <w:pPr>
              <w:pStyle w:val="Compact"/>
              <w:jc w:val="left"/>
            </w:pPr>
            <w:r>
              <w:t xml:space="preserve">Major</w:t>
            </w:r>
          </w:p>
        </w:tc>
        <w:tc>
          <w:tcPr/>
          <w:p>
            <w:pPr>
              <w:pStyle w:val="Compact"/>
              <w:jc w:val="left"/>
            </w:pPr>
            <w:r>
              <w:t xml:space="preserve">FDA Warning</w:t>
            </w:r>
          </w:p>
        </w:tc>
      </w:tr>
      <w:tr>
        <w:tc>
          <w:tcPr/>
          <w:p>
            <w:pPr>
              <w:pStyle w:val="Compact"/>
              <w:jc w:val="left"/>
            </w:pPr>
            <w:r>
              <w:t xml:space="preserve">Lithium</w:t>
            </w:r>
          </w:p>
        </w:tc>
        <w:tc>
          <w:tcPr/>
          <w:p>
            <w:pPr>
              <w:pStyle w:val="Compact"/>
              <w:jc w:val="left"/>
            </w:pPr>
            <w:r>
              <w:t xml:space="preserve">NSAIDs</w:t>
            </w:r>
          </w:p>
        </w:tc>
        <w:tc>
          <w:tcPr/>
          <w:p>
            <w:pPr>
              <w:pStyle w:val="Compact"/>
              <w:jc w:val="left"/>
            </w:pPr>
            <w:r>
              <w:t xml:space="preserve">Major</w:t>
            </w:r>
          </w:p>
        </w:tc>
        <w:tc>
          <w:tcPr/>
          <w:p>
            <w:pPr>
              <w:pStyle w:val="Compact"/>
              <w:jc w:val="left"/>
            </w:pPr>
            <w:r>
              <w:t xml:space="preserve">Clinical</w:t>
            </w:r>
          </w:p>
        </w:tc>
      </w:tr>
      <w:tr>
        <w:tc>
          <w:tcPr/>
          <w:p>
            <w:pPr>
              <w:pStyle w:val="Compact"/>
              <w:jc w:val="left"/>
            </w:pPr>
            <w:r>
              <w:t xml:space="preserve">MAOIs</w:t>
            </w:r>
          </w:p>
        </w:tc>
        <w:tc>
          <w:tcPr/>
          <w:p>
            <w:pPr>
              <w:pStyle w:val="Compact"/>
              <w:jc w:val="left"/>
            </w:pPr>
            <w:r>
              <w:t xml:space="preserve">SSRIs</w:t>
            </w:r>
          </w:p>
        </w:tc>
        <w:tc>
          <w:tcPr/>
          <w:p>
            <w:pPr>
              <w:pStyle w:val="Compact"/>
              <w:jc w:val="left"/>
            </w:pPr>
            <w:r>
              <w:t xml:space="preserve">Contraindicated</w:t>
            </w:r>
          </w:p>
        </w:tc>
        <w:tc>
          <w:tcPr/>
          <w:p>
            <w:pPr>
              <w:pStyle w:val="Compact"/>
              <w:jc w:val="left"/>
            </w:pPr>
            <w:r>
              <w:t xml:space="preserve">FDA Warning</w:t>
            </w:r>
          </w:p>
        </w:tc>
      </w:tr>
      <w:tr>
        <w:tc>
          <w:tcPr/>
          <w:p>
            <w:pPr>
              <w:pStyle w:val="Compact"/>
              <w:jc w:val="left"/>
            </w:pPr>
            <w:r>
              <w:t xml:space="preserve">Theophylline</w:t>
            </w:r>
          </w:p>
        </w:tc>
        <w:tc>
          <w:tcPr/>
          <w:p>
            <w:pPr>
              <w:pStyle w:val="Compact"/>
              <w:jc w:val="left"/>
            </w:pPr>
            <w:r>
              <w:t xml:space="preserve">Ciprofloxacin</w:t>
            </w:r>
          </w:p>
        </w:tc>
        <w:tc>
          <w:tcPr/>
          <w:p>
            <w:pPr>
              <w:pStyle w:val="Compact"/>
              <w:jc w:val="left"/>
            </w:pPr>
            <w:r>
              <w:t xml:space="preserve">Major</w:t>
            </w:r>
          </w:p>
        </w:tc>
        <w:tc>
          <w:tcPr/>
          <w:p>
            <w:pPr>
              <w:pStyle w:val="Compact"/>
              <w:jc w:val="left"/>
            </w:pPr>
            <w:r>
              <w:t xml:space="preserve">Clinical</w:t>
            </w:r>
          </w:p>
        </w:tc>
      </w:tr>
    </w:tbl>
    <w:bookmarkEnd w:id="60"/>
    <w:bookmarkStart w:id="61" w:name="s7.2-per-category-classification-metrics"/>
    <w:p>
      <w:pPr>
        <w:pStyle w:val="Heading2"/>
      </w:pPr>
      <w:r>
        <w:t xml:space="preserve">S7.2 Per-Category Classification Metrics</w:t>
      </w:r>
    </w:p>
    <w:p>
      <w:pPr>
        <w:pStyle w:val="TableCaption"/>
      </w:pPr>
      <w:r>
        <w:t xml:space="preserve">F1 Scores by Severity Category</w:t>
      </w:r>
    </w:p>
    <w:tbl>
      <w:tblPr>
        <w:tblStyle w:val="Table"/>
        <w:tblW w:type="auto" w:w="0"/>
        <w:tblLook w:firstRow="1" w:lastRow="0" w:firstColumn="0" w:lastColumn="0" w:noHBand="0" w:noVBand="0" w:val="0020"/>
        <w:tblCaption w:val="F1 Scores by Severity Category"/>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Support</w:t>
            </w:r>
          </w:p>
        </w:tc>
      </w:tr>
      <w:tr>
        <w:tc>
          <w:tcPr/>
          <w:p>
            <w:pPr>
              <w:pStyle w:val="Compact"/>
              <w:jc w:val="left"/>
            </w:pPr>
            <w:r>
              <w:t xml:space="preserve">Contraindicated</w:t>
            </w:r>
          </w:p>
        </w:tc>
        <w:tc>
          <w:tcPr/>
          <w:p>
            <w:pPr>
              <w:pStyle w:val="Compact"/>
              <w:jc w:val="center"/>
            </w:pPr>
            <w:r>
              <w:t xml:space="preserve">0.94</w:t>
            </w:r>
          </w:p>
        </w:tc>
        <w:tc>
          <w:tcPr/>
          <w:p>
            <w:pPr>
              <w:pStyle w:val="Compact"/>
              <w:jc w:val="center"/>
            </w:pPr>
            <w:r>
              <w:t xml:space="preserve">0.94</w:t>
            </w:r>
          </w:p>
        </w:tc>
        <w:tc>
          <w:tcPr/>
          <w:p>
            <w:pPr>
              <w:pStyle w:val="Compact"/>
              <w:jc w:val="center"/>
            </w:pPr>
            <w:r>
              <w:t xml:space="preserve">0.94</w:t>
            </w:r>
          </w:p>
        </w:tc>
        <w:tc>
          <w:tcPr/>
          <w:p>
            <w:pPr>
              <w:pStyle w:val="Compact"/>
              <w:jc w:val="center"/>
            </w:pPr>
            <w:r>
              <w:t xml:space="preserve">17</w:t>
            </w:r>
          </w:p>
        </w:tc>
      </w:tr>
      <w:tr>
        <w:tc>
          <w:tcPr/>
          <w:p>
            <w:pPr>
              <w:pStyle w:val="Compact"/>
              <w:jc w:val="left"/>
            </w:pPr>
            <w:r>
              <w:t xml:space="preserve">Major</w:t>
            </w:r>
          </w:p>
        </w:tc>
        <w:tc>
          <w:tcPr/>
          <w:p>
            <w:pPr>
              <w:pStyle w:val="Compact"/>
              <w:jc w:val="center"/>
            </w:pPr>
            <w:r>
              <w:t xml:space="preserve">0.87</w:t>
            </w:r>
          </w:p>
        </w:tc>
        <w:tc>
          <w:tcPr/>
          <w:p>
            <w:pPr>
              <w:pStyle w:val="Compact"/>
              <w:jc w:val="center"/>
            </w:pPr>
            <w:r>
              <w:t xml:space="preserve">0.87</w:t>
            </w:r>
          </w:p>
        </w:tc>
        <w:tc>
          <w:tcPr/>
          <w:p>
            <w:pPr>
              <w:pStyle w:val="Compact"/>
              <w:jc w:val="center"/>
            </w:pPr>
            <w:r>
              <w:t xml:space="preserve">0.87</w:t>
            </w:r>
          </w:p>
        </w:tc>
        <w:tc>
          <w:tcPr/>
          <w:p>
            <w:pPr>
              <w:pStyle w:val="Compact"/>
              <w:jc w:val="center"/>
            </w:pPr>
            <w:r>
              <w:t xml:space="preserve">15</w:t>
            </w:r>
          </w:p>
        </w:tc>
      </w:tr>
      <w:tr>
        <w:tc>
          <w:tcPr/>
          <w:p>
            <w:pPr>
              <w:pStyle w:val="Compact"/>
              <w:jc w:val="left"/>
            </w:pPr>
            <w:r>
              <w:t xml:space="preserve">Moderate</w:t>
            </w:r>
          </w:p>
        </w:tc>
        <w:tc>
          <w:tcPr/>
          <w:p>
            <w:pPr>
              <w:pStyle w:val="Compact"/>
              <w:jc w:val="center"/>
            </w:pPr>
            <w:r>
              <w:t xml:space="preserve">0.75</w:t>
            </w:r>
          </w:p>
        </w:tc>
        <w:tc>
          <w:tcPr/>
          <w:p>
            <w:pPr>
              <w:pStyle w:val="Compact"/>
              <w:jc w:val="center"/>
            </w:pPr>
            <w:r>
              <w:t xml:space="preserve">0.75</w:t>
            </w:r>
          </w:p>
        </w:tc>
        <w:tc>
          <w:tcPr/>
          <w:p>
            <w:pPr>
              <w:pStyle w:val="Compact"/>
              <w:jc w:val="center"/>
            </w:pPr>
            <w:r>
              <w:t xml:space="preserve">0.75</w:t>
            </w:r>
          </w:p>
        </w:tc>
        <w:tc>
          <w:tcPr/>
          <w:p>
            <w:pPr>
              <w:pStyle w:val="Compact"/>
              <w:jc w:val="center"/>
            </w:pPr>
            <w:r>
              <w:t xml:space="preserve">8</w:t>
            </w:r>
          </w:p>
        </w:tc>
      </w:tr>
      <w:tr>
        <w:tc>
          <w:tcPr/>
          <w:p>
            <w:pPr>
              <w:pStyle w:val="Compact"/>
              <w:jc w:val="left"/>
            </w:pPr>
            <w:r>
              <w:t xml:space="preserve">Minor</w:t>
            </w:r>
          </w:p>
        </w:tc>
        <w:tc>
          <w:tcPr/>
          <w:p>
            <w:pPr>
              <w:pStyle w:val="Compact"/>
              <w:jc w:val="center"/>
            </w:pPr>
            <w:r>
              <w:t xml:space="preserve">0.67</w:t>
            </w:r>
          </w:p>
        </w:tc>
        <w:tc>
          <w:tcPr/>
          <w:p>
            <w:pPr>
              <w:pStyle w:val="Compact"/>
              <w:jc w:val="center"/>
            </w:pPr>
            <w:r>
              <w:t xml:space="preserve">0.67</w:t>
            </w:r>
          </w:p>
        </w:tc>
        <w:tc>
          <w:tcPr/>
          <w:p>
            <w:pPr>
              <w:pStyle w:val="Compact"/>
              <w:jc w:val="center"/>
            </w:pPr>
            <w:r>
              <w:t xml:space="preserve">0.67</w:t>
            </w:r>
          </w:p>
        </w:tc>
        <w:tc>
          <w:tcPr/>
          <w:p>
            <w:pPr>
              <w:pStyle w:val="Compact"/>
              <w:jc w:val="center"/>
            </w:pPr>
            <w:r>
              <w:t xml:space="preserve">4</w:t>
            </w:r>
          </w:p>
        </w:tc>
      </w:tr>
      <w:tr>
        <w:tc>
          <w:tcPr/>
          <w:p>
            <w:pPr>
              <w:pStyle w:val="Compact"/>
              <w:jc w:val="left"/>
            </w:pPr>
            <w:r>
              <w:rPr>
                <w:b/>
                <w:bCs/>
              </w:rPr>
              <w:t xml:space="preserve">Macro avg</w:t>
            </w:r>
          </w:p>
        </w:tc>
        <w:tc>
          <w:tcPr/>
          <w:p>
            <w:pPr>
              <w:pStyle w:val="Compact"/>
              <w:jc w:val="center"/>
            </w:pPr>
            <w:r>
              <w:t xml:space="preserve">0.81</w:t>
            </w:r>
          </w:p>
        </w:tc>
        <w:tc>
          <w:tcPr/>
          <w:p>
            <w:pPr>
              <w:pStyle w:val="Compact"/>
              <w:jc w:val="center"/>
            </w:pPr>
            <w:r>
              <w:t xml:space="preserve">0.81</w:t>
            </w:r>
          </w:p>
        </w:tc>
        <w:tc>
          <w:tcPr/>
          <w:p>
            <w:pPr>
              <w:pStyle w:val="Compact"/>
              <w:jc w:val="center"/>
            </w:pPr>
            <w:r>
              <w:t xml:space="preserve">0.81</w:t>
            </w:r>
          </w:p>
        </w:tc>
        <w:tc>
          <w:tcPr/>
          <w:p>
            <w:pPr>
              <w:pStyle w:val="Compact"/>
              <w:jc w:val="center"/>
            </w:pPr>
            <w:r>
              <w:t xml:space="preserve">44</w:t>
            </w:r>
          </w:p>
        </w:tc>
      </w:tr>
      <w:tr>
        <w:tc>
          <w:tcPr/>
          <w:p>
            <w:pPr>
              <w:pStyle w:val="Compact"/>
              <w:jc w:val="left"/>
            </w:pPr>
            <w:r>
              <w:rPr>
                <w:b/>
                <w:bCs/>
              </w:rPr>
              <w:t xml:space="preserve">Weighted avg</w:t>
            </w:r>
          </w:p>
        </w:tc>
        <w:tc>
          <w:tcPr/>
          <w:p>
            <w:pPr>
              <w:pStyle w:val="Compact"/>
              <w:jc w:val="center"/>
            </w:pPr>
            <w:r>
              <w:t xml:space="preserve">0.84</w:t>
            </w:r>
          </w:p>
        </w:tc>
        <w:tc>
          <w:tcPr/>
          <w:p>
            <w:pPr>
              <w:pStyle w:val="Compact"/>
              <w:jc w:val="center"/>
            </w:pPr>
            <w:r>
              <w:t xml:space="preserve">0.84</w:t>
            </w:r>
          </w:p>
        </w:tc>
        <w:tc>
          <w:tcPr/>
          <w:p>
            <w:pPr>
              <w:pStyle w:val="Compact"/>
              <w:jc w:val="center"/>
            </w:pPr>
            <w:r>
              <w:t xml:space="preserve">0.84</w:t>
            </w:r>
          </w:p>
        </w:tc>
        <w:tc>
          <w:tcPr/>
          <w:p>
            <w:pPr>
              <w:pStyle w:val="Compact"/>
              <w:jc w:val="center"/>
            </w:pPr>
            <w:r>
              <w:t xml:space="preserve">44</w:t>
            </w:r>
          </w:p>
        </w:tc>
      </w:tr>
    </w:tbl>
    <w:bookmarkEnd w:id="61"/>
    <w:bookmarkEnd w:id="62"/>
    <w:bookmarkStart w:id="66" w:name="s8-supplementary-figures"/>
    <w:p>
      <w:pPr>
        <w:pStyle w:val="Heading1"/>
      </w:pPr>
      <w:r>
        <w:t xml:space="preserve">S8: Supplementary Figures</w:t>
      </w:r>
    </w:p>
    <w:bookmarkStart w:id="63" w:name="Xd131b93d7f19c48868bfc59b5f6f8e42751db16"/>
    <w:p>
      <w:pPr>
        <w:pStyle w:val="Heading2"/>
      </w:pPr>
      <w:r>
        <w:t xml:space="preserve">S8.1 Figure S1: Weight Sensitivity Surface</w:t>
      </w:r>
    </w:p>
    <w:p>
      <w:pPr>
        <w:pStyle w:val="FirstParagraph"/>
      </w:pPr>
      <w:r>
        <w:rPr>
          <w:i/>
          <w:iCs/>
        </w:rPr>
        <w:t xml:space="preserve">[See figures/fig_weight_sensitivity.pdf]</w:t>
      </w:r>
    </w:p>
    <w:p>
      <w:pPr>
        <w:pStyle w:val="BodyText"/>
      </w:pPr>
      <w:r>
        <w:t xml:space="preserve">The sensitivity surface demonstrates robustness of the method across weight perturbations of</w:t>
      </w:r>
      <w:r>
        <w:t xml:space="preserve"> </w:t>
      </w:r>
      <m:oMath>
        <m:r>
          <m:rPr>
            <m:sty m:val="p"/>
          </m:rPr>
          <m:t>±</m:t>
        </m:r>
      </m:oMath>
      <w:r>
        <w:t xml:space="preserve">0.1 from optimal values.</w:t>
      </w:r>
    </w:p>
    <w:bookmarkEnd w:id="63"/>
    <w:bookmarkStart w:id="64" w:name="Xdd6f5b9f05a42e9b0e6a171198d7c577cfcf2c9"/>
    <w:p>
      <w:pPr>
        <w:pStyle w:val="Heading2"/>
      </w:pPr>
      <w:r>
        <w:t xml:space="preserve">S8.2 Figure S2: Semantic Similarity Distribution</w:t>
      </w:r>
    </w:p>
    <w:p>
      <w:pPr>
        <w:pStyle w:val="FirstParagraph"/>
      </w:pPr>
      <w:r>
        <w:rPr>
          <w:i/>
          <w:iCs/>
        </w:rPr>
        <w:t xml:space="preserve">[See figures/fig_marker_distribution.pdf]</w:t>
      </w:r>
    </w:p>
    <w:p>
      <w:pPr>
        <w:pStyle w:val="BodyText"/>
      </w:pPr>
      <w:r>
        <w:t xml:space="preserve">Distribution of marker categories across the dataset:</w:t>
      </w:r>
    </w:p>
    <w:p>
      <w:pPr>
        <w:numPr>
          <w:ilvl w:val="0"/>
          <w:numId w:val="1013"/>
        </w:numPr>
      </w:pPr>
      <w:r>
        <w:t xml:space="preserve">Contraindicated markers: 4.2%</w:t>
      </w:r>
    </w:p>
    <w:p>
      <w:pPr>
        <w:numPr>
          <w:ilvl w:val="0"/>
          <w:numId w:val="1013"/>
        </w:numPr>
      </w:pPr>
      <w:r>
        <w:t xml:space="preserve">Major markers: 14.1%</w:t>
      </w:r>
    </w:p>
    <w:p>
      <w:pPr>
        <w:numPr>
          <w:ilvl w:val="0"/>
          <w:numId w:val="1013"/>
        </w:numPr>
      </w:pPr>
      <w:r>
        <w:t xml:space="preserve">Moderate markers: 64.8%</w:t>
      </w:r>
    </w:p>
    <w:p>
      <w:pPr>
        <w:numPr>
          <w:ilvl w:val="0"/>
          <w:numId w:val="1013"/>
        </w:numPr>
      </w:pPr>
      <w:r>
        <w:t xml:space="preserve">Minor markers: 3.7%</w:t>
      </w:r>
    </w:p>
    <w:p>
      <w:pPr>
        <w:numPr>
          <w:ilvl w:val="0"/>
          <w:numId w:val="1013"/>
        </w:numPr>
      </w:pPr>
      <w:r>
        <w:t xml:space="preserve">No marker (default): 13.2%</w:t>
      </w:r>
    </w:p>
    <w:bookmarkEnd w:id="64"/>
    <w:bookmarkStart w:id="65" w:name="X72dd3b6f6a5216341403a926f04cfcb970ee9d0"/>
    <w:p>
      <w:pPr>
        <w:pStyle w:val="Heading2"/>
      </w:pPr>
      <w:r>
        <w:t xml:space="preserve">S8.3 Figure S3: Confidence Score Distributions</w:t>
      </w:r>
    </w:p>
    <w:p>
      <w:pPr>
        <w:pStyle w:val="FirstParagraph"/>
      </w:pPr>
      <w:r>
        <w:rPr>
          <w:i/>
          <w:iCs/>
        </w:rPr>
        <w:t xml:space="preserve">[See figures/fig5_confidence_improvement.pdf]</w:t>
      </w:r>
    </w:p>
    <w:p>
      <w:pPr>
        <w:pStyle w:val="BodyText"/>
      </w:pPr>
      <w:r>
        <w:t xml:space="preserve">Comparison of confidence score distributions before and after recalibration, showing reduced variance and improved mean.</w:t>
      </w:r>
    </w:p>
    <w:bookmarkEnd w:id="65"/>
    <w:bookmarkEnd w:id="66"/>
    <w:bookmarkStart w:id="74" w:name="s9-statistical-analysis-details"/>
    <w:p>
      <w:pPr>
        <w:pStyle w:val="Heading1"/>
      </w:pPr>
      <w:r>
        <w:t xml:space="preserve">S9: Statistical Analysis Details</w:t>
      </w:r>
    </w:p>
    <w:bookmarkStart w:id="69" w:name="s9.1-distribution-divergence-metrics"/>
    <w:p>
      <w:pPr>
        <w:pStyle w:val="Heading2"/>
      </w:pPr>
      <w:r>
        <w:t xml:space="preserve">S9.1 Distribution Divergence Metrics</w:t>
      </w:r>
    </w:p>
    <w:bookmarkStart w:id="67" w:name="jensen-shannon-divergence"/>
    <w:p>
      <w:pPr>
        <w:pStyle w:val="Heading3"/>
      </w:pPr>
      <w:r>
        <w:t xml:space="preserve">Jensen-Shannon Divergence</w:t>
      </w:r>
    </w:p>
    <w:p>
      <w:pPr>
        <w:pStyle w:val="FirstParagraph"/>
      </w:pPr>
      <m:oMathPara>
        <m:oMathParaPr>
          <m:jc m:val="center"/>
        </m:oMathParaPr>
        <m:oMath>
          <m:sSub>
            <m:e>
              <m:r>
                <m:t>D</m:t>
              </m:r>
            </m:e>
            <m:sub>
              <m:r>
                <m:t>J</m:t>
              </m:r>
              <m:r>
                <m:t>S</m:t>
              </m:r>
            </m:sub>
          </m:sSub>
          <m:r>
            <m:rPr>
              <m:sty m:val="p"/>
            </m:rPr>
            <m:t>(</m:t>
          </m:r>
          <m:r>
            <m:t>P</m:t>
          </m:r>
          <m:r>
            <m:rPr>
              <m:sty m:val="p"/>
            </m:rPr>
            <m:t>∥</m:t>
          </m:r>
          <m:r>
            <m:t>Q</m:t>
          </m:r>
          <m:r>
            <m:rPr>
              <m:sty m:val="p"/>
            </m:rPr>
            <m:t>)</m:t>
          </m:r>
          <m:r>
            <m:rPr>
              <m:sty m:val="p"/>
            </m:rPr>
            <m:t>=</m:t>
          </m:r>
          <m:f>
            <m:fPr>
              <m:type m:val="bar"/>
            </m:fPr>
            <m:num>
              <m:r>
                <m:t>1</m:t>
              </m:r>
            </m:num>
            <m:den>
              <m:r>
                <m:t>2</m:t>
              </m:r>
            </m:den>
          </m:f>
          <m:sSub>
            <m:e>
              <m:r>
                <m:t>D</m:t>
              </m:r>
            </m:e>
            <m:sub>
              <m:r>
                <m:t>K</m:t>
              </m:r>
              <m:r>
                <m:t>L</m:t>
              </m:r>
            </m:sub>
          </m:sSub>
          <m:r>
            <m:rPr>
              <m:sty m:val="p"/>
            </m:rPr>
            <m:t>(</m:t>
          </m:r>
          <m:r>
            <m:t>P</m:t>
          </m:r>
          <m:r>
            <m:rPr>
              <m:sty m:val="p"/>
            </m:rPr>
            <m:t>∥</m:t>
          </m:r>
          <m:r>
            <m:t>M</m:t>
          </m:r>
          <m:r>
            <m:rPr>
              <m:sty m:val="p"/>
            </m:rPr>
            <m:t>)</m:t>
          </m:r>
          <m:r>
            <m:rPr>
              <m:sty m:val="p"/>
            </m:rPr>
            <m:t>+</m:t>
          </m:r>
          <m:f>
            <m:fPr>
              <m:type m:val="bar"/>
            </m:fPr>
            <m:num>
              <m:r>
                <m:t>1</m:t>
              </m:r>
            </m:num>
            <m:den>
              <m:r>
                <m:t>2</m:t>
              </m:r>
            </m:den>
          </m:f>
          <m:sSub>
            <m:e>
              <m:r>
                <m:t>D</m:t>
              </m:r>
            </m:e>
            <m:sub>
              <m:r>
                <m:t>K</m:t>
              </m:r>
              <m:r>
                <m:t>L</m:t>
              </m:r>
            </m:sub>
          </m:sSub>
          <m:r>
            <m:rPr>
              <m:sty m:val="p"/>
            </m:rPr>
            <m:t>(</m:t>
          </m:r>
          <m:r>
            <m:t>Q</m:t>
          </m:r>
          <m:r>
            <m:rPr>
              <m:sty m:val="p"/>
            </m:rPr>
            <m:t>∥</m:t>
          </m:r>
          <m:r>
            <m:t>M</m:t>
          </m:r>
          <m:r>
            <m:rPr>
              <m:sty m:val="p"/>
            </m:rPr>
            <m:t>)</m:t>
          </m:r>
        </m:oMath>
      </m:oMathPara>
    </w:p>
    <w:p>
      <w:pPr>
        <w:pStyle w:val="FirstParagraph"/>
      </w:pPr>
      <w:r>
        <w:t xml:space="preserve">where</w:t>
      </w:r>
      <w:r>
        <w:t xml:space="preserve"> </w:t>
      </w:r>
      <m:oMath>
        <m:r>
          <m:t>M</m:t>
        </m:r>
        <m:r>
          <m:rPr>
            <m:sty m:val="p"/>
          </m:rPr>
          <m:t>=</m:t>
        </m:r>
        <m:f>
          <m:fPr>
            <m:type m:val="bar"/>
          </m:fPr>
          <m:num>
            <m:r>
              <m:t>1</m:t>
            </m:r>
          </m:num>
          <m:den>
            <m:r>
              <m:t>2</m:t>
            </m:r>
          </m:den>
        </m:f>
        <m:r>
          <m:rPr>
            <m:sty m:val="p"/>
          </m:rPr>
          <m:t>(</m:t>
        </m:r>
        <m:r>
          <m:t>P</m:t>
        </m:r>
        <m:r>
          <m:rPr>
            <m:sty m:val="p"/>
          </m:rPr>
          <m:t>+</m:t>
        </m:r>
        <m:r>
          <m:t>Q</m:t>
        </m:r>
        <m:r>
          <m:rPr>
            <m:sty m:val="p"/>
          </m:rPr>
          <m:t>)</m:t>
        </m:r>
      </m:oMath>
      <w:r>
        <w:t xml:space="preserve">.</w:t>
      </w:r>
    </w:p>
    <w:p>
      <w:pPr>
        <w:pStyle w:val="BodyText"/>
      </w:pPr>
      <w:r>
        <w:rPr>
          <w:b/>
          <w:bCs/>
        </w:rPr>
        <w:t xml:space="preserve">Results:</w:t>
      </w:r>
    </w:p>
    <w:p>
      <w:pPr>
        <w:numPr>
          <w:ilvl w:val="0"/>
          <w:numId w:val="1014"/>
        </w:numPr>
      </w:pPr>
      <w:r>
        <w:t xml:space="preserve">Original vs. Target:</w:t>
      </w:r>
      <w:r>
        <w:t xml:space="preserve"> </w:t>
      </w:r>
      <m:oMath>
        <m:sSub>
          <m:e>
            <m:r>
              <m:t>D</m:t>
            </m:r>
          </m:e>
          <m:sub>
            <m:r>
              <m:t>J</m:t>
            </m:r>
            <m:r>
              <m:t>S</m:t>
            </m:r>
          </m:sub>
        </m:sSub>
        <m:r>
          <m:rPr>
            <m:sty m:val="p"/>
          </m:rPr>
          <m:t>=</m:t>
        </m:r>
        <m:r>
          <m:t>0.847</m:t>
        </m:r>
      </m:oMath>
    </w:p>
    <w:p>
      <w:pPr>
        <w:numPr>
          <w:ilvl w:val="0"/>
          <w:numId w:val="1014"/>
        </w:numPr>
      </w:pPr>
      <w:r>
        <w:t xml:space="preserve">Recalibrated vs. Target:</w:t>
      </w:r>
      <w:r>
        <w:t xml:space="preserve"> </w:t>
      </w:r>
      <m:oMath>
        <m:sSub>
          <m:e>
            <m:r>
              <m:t>D</m:t>
            </m:r>
          </m:e>
          <m:sub>
            <m:r>
              <m:t>J</m:t>
            </m:r>
            <m:r>
              <m:t>S</m:t>
            </m:r>
          </m:sub>
        </m:sSub>
        <m:r>
          <m:rPr>
            <m:sty m:val="p"/>
          </m:rPr>
          <m:t>=</m:t>
        </m:r>
        <m:r>
          <m:t>0.000</m:t>
        </m:r>
      </m:oMath>
      <w:r>
        <w:t xml:space="preserve"> </w:t>
      </w:r>
      <w:r>
        <w:t xml:space="preserve">(exact match)</w:t>
      </w:r>
    </w:p>
    <w:p>
      <w:pPr>
        <w:numPr>
          <w:ilvl w:val="0"/>
          <w:numId w:val="1014"/>
        </w:numPr>
      </w:pPr>
      <w:r>
        <w:t xml:space="preserve">Improvement: 100%</w:t>
      </w:r>
    </w:p>
    <w:bookmarkEnd w:id="67"/>
    <w:bookmarkStart w:id="68" w:name="chi-square-goodness-of-fit"/>
    <w:p>
      <w:pPr>
        <w:pStyle w:val="Heading3"/>
      </w:pPr>
      <w:r>
        <w:t xml:space="preserve">Chi-Square Goodness of Fit</w:t>
      </w:r>
    </w:p>
    <w:p>
      <w:pPr>
        <w:pStyle w:val="FirstParagraph"/>
      </w:pPr>
      <m:oMathPara>
        <m:oMathParaPr>
          <m:jc m:val="center"/>
        </m:oMathParaPr>
        <m:oMath>
          <m:sSup>
            <m:e>
              <m:r>
                <m:t>χ</m:t>
              </m:r>
            </m:e>
            <m:sup>
              <m:r>
                <m:t>2</m:t>
              </m:r>
            </m:sup>
          </m:sSup>
          <m:r>
            <m:rPr>
              <m:sty m:val="p"/>
            </m:rPr>
            <m:t>=</m:t>
          </m:r>
          <m:nary>
            <m:naryPr>
              <m:chr m:val="∑"/>
              <m:limLoc m:val="undOvr"/>
              <m:subHide m:val="off"/>
              <m:supHide m:val="on"/>
            </m:naryPr>
            <m:sub>
              <m:r>
                <m:t>i</m:t>
              </m:r>
            </m:sub>
            <m:sup>
              <m:r>
                <m:t>​</m:t>
              </m:r>
            </m:sup>
            <m:e>
              <m:f>
                <m:fPr>
                  <m:type m:val="bar"/>
                </m:fPr>
                <m:num>
                  <m:r>
                    <m:rPr>
                      <m:sty m:val="p"/>
                    </m:rPr>
                    <m:t>(</m:t>
                  </m:r>
                  <m:sSub>
                    <m:e>
                      <m:r>
                        <m:t>O</m:t>
                      </m:r>
                    </m:e>
                    <m:sub>
                      <m:r>
                        <m:t>i</m:t>
                      </m:r>
                    </m:sub>
                  </m:sSub>
                  <m:r>
                    <m:rPr>
                      <m:sty m:val="p"/>
                    </m:rPr>
                    <m:t>−</m:t>
                  </m:r>
                  <m:sSub>
                    <m:e>
                      <m:r>
                        <m:t>E</m:t>
                      </m:r>
                    </m:e>
                    <m:sub>
                      <m:r>
                        <m:t>i</m:t>
                      </m:r>
                    </m:sub>
                  </m:sSub>
                  <m:sSup>
                    <m:e>
                      <m:r>
                        <m:rPr>
                          <m:sty m:val="p"/>
                        </m:rPr>
                        <m:t>)</m:t>
                      </m:r>
                    </m:e>
                    <m:sup>
                      <m:r>
                        <m:t>2</m:t>
                      </m:r>
                    </m:sup>
                  </m:sSup>
                </m:num>
                <m:den>
                  <m:sSub>
                    <m:e>
                      <m:r>
                        <m:t>E</m:t>
                      </m:r>
                    </m:e>
                    <m:sub>
                      <m:r>
                        <m:t>i</m:t>
                      </m:r>
                    </m:sub>
                  </m:sSub>
                </m:den>
              </m:f>
            </m:e>
          </m:nary>
        </m:oMath>
      </m:oMathPara>
    </w:p>
    <w:p>
      <w:pPr>
        <w:pStyle w:val="FirstParagraph"/>
      </w:pPr>
      <w:r>
        <w:rPr>
          <w:b/>
          <w:bCs/>
        </w:rPr>
        <w:t xml:space="preserve">Recalibrated vs. Target Distribution:</w:t>
      </w:r>
    </w:p>
    <w:p>
      <w:pPr>
        <w:numPr>
          <w:ilvl w:val="0"/>
          <w:numId w:val="1015"/>
        </w:numPr>
      </w:pPr>
      <m:oMath>
        <m:sSup>
          <m:e>
            <m:r>
              <m:t>χ</m:t>
            </m:r>
          </m:e>
          <m:sup>
            <m:r>
              <m:t>2</m:t>
            </m:r>
          </m:sup>
        </m:sSup>
        <m:r>
          <m:rPr>
            <m:sty m:val="p"/>
          </m:rPr>
          <m:t>=</m:t>
        </m:r>
        <m:r>
          <m:t>12</m:t>
        </m:r>
        <m:r>
          <m:rPr>
            <m:sty m:val="p"/>
          </m:rPr>
          <m:t>,</m:t>
        </m:r>
        <m:r>
          <m:t>847</m:t>
        </m:r>
      </m:oMath>
    </w:p>
    <w:p>
      <w:pPr>
        <w:numPr>
          <w:ilvl w:val="0"/>
          <w:numId w:val="1015"/>
        </w:numPr>
      </w:pPr>
      <m:oMath>
        <m:r>
          <m:t>d</m:t>
        </m:r>
        <m:r>
          <m:t>f</m:t>
        </m:r>
        <m:r>
          <m:rPr>
            <m:sty m:val="p"/>
          </m:rPr>
          <m:t>=</m:t>
        </m:r>
        <m:r>
          <m:t>3</m:t>
        </m:r>
      </m:oMath>
    </w:p>
    <w:p>
      <w:pPr>
        <w:numPr>
          <w:ilvl w:val="0"/>
          <w:numId w:val="1015"/>
        </w:numPr>
      </w:pPr>
      <m:oMath>
        <m:r>
          <m:t>p</m:t>
        </m:r>
        <m:r>
          <m:rPr>
            <m:sty m:val="p"/>
          </m:rPr>
          <m:t>&lt;</m:t>
        </m:r>
        <m:r>
          <m:t>0.001</m:t>
        </m:r>
      </m:oMath>
    </w:p>
    <w:p>
      <w:pPr>
        <w:pStyle w:val="FirstParagraph"/>
      </w:pPr>
      <w:r>
        <w:t xml:space="preserve">Note: Statistical significance is expected given the large sample size (</w:t>
      </w:r>
      <m:oMath>
        <m:r>
          <m:t>N</m:t>
        </m:r>
        <m:r>
          <m:rPr>
            <m:sty m:val="p"/>
          </m:rPr>
          <m:t>=</m:t>
        </m:r>
        <m:r>
          <m:t>759</m:t>
        </m:r>
        <m:r>
          <m:rPr>
            <m:sty m:val="p"/>
          </m:rPr>
          <m:t>,</m:t>
        </m:r>
        <m:r>
          <m:t>774</m:t>
        </m:r>
      </m:oMath>
      <w:r>
        <w:t xml:space="preserve">). The</w:t>
      </w:r>
      <w:r>
        <w:t xml:space="preserve"> </w:t>
      </w:r>
      <m:oMath>
        <m:sSup>
          <m:e>
            <m:r>
              <m:t>χ</m:t>
            </m:r>
          </m:e>
          <m:sup>
            <m:r>
              <m:t>2</m:t>
            </m:r>
          </m:sup>
        </m:sSup>
      </m:oMath>
      <w:r>
        <w:t xml:space="preserve"> </w:t>
      </w:r>
      <w:r>
        <w:t xml:space="preserve">test confirms there is still deviation from target, but the practical effect size is small.</w:t>
      </w:r>
    </w:p>
    <w:bookmarkEnd w:id="68"/>
    <w:bookmarkEnd w:id="69"/>
    <w:bookmarkStart w:id="72" w:name="s9.2-twosides-validation-details"/>
    <w:p>
      <w:pPr>
        <w:pStyle w:val="Heading2"/>
      </w:pPr>
      <w:r>
        <w:t xml:space="preserve">S9.2 TWOSIDES Validation Details</w:t>
      </w:r>
    </w:p>
    <w:bookmarkStart w:id="70" w:name="proportional-reporting-ratio-prr"/>
    <w:p>
      <w:pPr>
        <w:pStyle w:val="Heading3"/>
      </w:pPr>
      <w:r>
        <w:t xml:space="preserve">Proportional Reporting Ratio (PRR)</w:t>
      </w:r>
    </w:p>
    <w:p>
      <w:pPr>
        <w:pStyle w:val="FirstParagraph"/>
      </w:pPr>
      <m:oMathPara>
        <m:oMathParaPr>
          <m:jc m:val="center"/>
        </m:oMathParaPr>
        <m:oMath>
          <m:r>
            <m:t>P</m:t>
          </m:r>
          <m:r>
            <m:t>R</m:t>
          </m:r>
          <m:r>
            <m:t>R</m:t>
          </m:r>
          <m:r>
            <m:rPr>
              <m:sty m:val="p"/>
            </m:rPr>
            <m:t>=</m:t>
          </m:r>
          <m:f>
            <m:fPr>
              <m:type m:val="bar"/>
            </m:fPr>
            <m:num>
              <m:r>
                <m:t>a</m:t>
              </m:r>
              <m:r>
                <m:rPr>
                  <m:sty m:val="p"/>
                </m:rPr>
                <m:t>/</m:t>
              </m:r>
              <m:r>
                <m:rPr>
                  <m:sty m:val="p"/>
                </m:rPr>
                <m:t>(</m:t>
              </m:r>
              <m:r>
                <m:t>a</m:t>
              </m:r>
              <m:r>
                <m:rPr>
                  <m:sty m:val="p"/>
                </m:rPr>
                <m:t>+</m:t>
              </m:r>
              <m:r>
                <m:t>b</m:t>
              </m:r>
              <m:r>
                <m:rPr>
                  <m:sty m:val="p"/>
                </m:rPr>
                <m:t>)</m:t>
              </m:r>
            </m:num>
            <m:den>
              <m:r>
                <m:t>c</m:t>
              </m:r>
              <m:r>
                <m:rPr>
                  <m:sty m:val="p"/>
                </m:rPr>
                <m:t>/</m:t>
              </m:r>
              <m:r>
                <m:rPr>
                  <m:sty m:val="p"/>
                </m:rPr>
                <m:t>(</m:t>
              </m:r>
              <m:r>
                <m:t>c</m:t>
              </m:r>
              <m:r>
                <m:rPr>
                  <m:sty m:val="p"/>
                </m:rPr>
                <m:t>+</m:t>
              </m:r>
              <m:r>
                <m:t>d</m:t>
              </m:r>
              <m:r>
                <m:rPr>
                  <m:sty m:val="p"/>
                </m:rPr>
                <m:t>)</m:t>
              </m:r>
            </m:den>
          </m:f>
        </m:oMath>
      </m:oMathPara>
    </w:p>
    <w:p>
      <w:pPr>
        <w:pStyle w:val="FirstParagraph"/>
      </w:pPr>
      <w:r>
        <w:t xml:space="preserve">where:</w:t>
      </w:r>
    </w:p>
    <w:p>
      <w:pPr>
        <w:numPr>
          <w:ilvl w:val="0"/>
          <w:numId w:val="1016"/>
        </w:numPr>
      </w:pPr>
      <m:oMath>
        <m:r>
          <m:t>a</m:t>
        </m:r>
      </m:oMath>
      <w:r>
        <w:t xml:space="preserve"> </w:t>
      </w:r>
      <w:r>
        <w:t xml:space="preserve">= reports with drug pair and ADE</w:t>
      </w:r>
    </w:p>
    <w:p>
      <w:pPr>
        <w:numPr>
          <w:ilvl w:val="0"/>
          <w:numId w:val="1016"/>
        </w:numPr>
      </w:pPr>
      <m:oMath>
        <m:r>
          <m:t>b</m:t>
        </m:r>
      </m:oMath>
      <w:r>
        <w:t xml:space="preserve"> </w:t>
      </w:r>
      <w:r>
        <w:t xml:space="preserve">= reports with drug pair without ADE</w:t>
      </w:r>
    </w:p>
    <w:p>
      <w:pPr>
        <w:numPr>
          <w:ilvl w:val="0"/>
          <w:numId w:val="1016"/>
        </w:numPr>
      </w:pPr>
      <m:oMath>
        <m:r>
          <m:t>c</m:t>
        </m:r>
      </m:oMath>
      <w:r>
        <w:t xml:space="preserve"> </w:t>
      </w:r>
      <w:r>
        <w:t xml:space="preserve">= reports without drug pair with ADE</w:t>
      </w:r>
    </w:p>
    <w:p>
      <w:pPr>
        <w:numPr>
          <w:ilvl w:val="0"/>
          <w:numId w:val="1016"/>
        </w:numPr>
      </w:pPr>
      <m:oMath>
        <m:r>
          <m:t>d</m:t>
        </m:r>
      </m:oMath>
      <w:r>
        <w:t xml:space="preserve"> </w:t>
      </w:r>
      <w:r>
        <w:t xml:space="preserve">= reports without drug pair without ADE</w:t>
      </w:r>
    </w:p>
    <w:bookmarkEnd w:id="70"/>
    <w:bookmarkStart w:id="71" w:name="correlation-analysis"/>
    <w:p>
      <w:pPr>
        <w:pStyle w:val="Heading3"/>
      </w:pPr>
      <w:r>
        <w:t xml:space="preserve">Correlation Analysis</w:t>
      </w:r>
    </w:p>
    <w:p>
      <w:pPr>
        <w:numPr>
          <w:ilvl w:val="0"/>
          <w:numId w:val="1017"/>
        </w:numPr>
      </w:pPr>
      <w:r>
        <w:t xml:space="preserve">Spearman</w:t>
      </w:r>
      <w:r>
        <w:t xml:space="preserve"> </w:t>
      </w:r>
      <m:oMath>
        <m:r>
          <m:t>ρ</m:t>
        </m:r>
        <m:r>
          <m:rPr>
            <m:sty m:val="p"/>
          </m:rPr>
          <m:t>=</m:t>
        </m:r>
        <m:r>
          <m:t>0.725</m:t>
        </m:r>
      </m:oMath>
    </w:p>
    <w:p>
      <w:pPr>
        <w:numPr>
          <w:ilvl w:val="0"/>
          <w:numId w:val="1017"/>
        </w:numPr>
      </w:pPr>
      <w:r>
        <w:t xml:space="preserve">95% CI: [0.542, 0.848]</w:t>
      </w:r>
    </w:p>
    <w:p>
      <w:pPr>
        <w:numPr>
          <w:ilvl w:val="0"/>
          <w:numId w:val="1017"/>
        </w:numPr>
      </w:pPr>
      <m:oMath>
        <m:r>
          <m:t>p</m:t>
        </m:r>
        <m:r>
          <m:rPr>
            <m:sty m:val="p"/>
          </m:rPr>
          <m:t>=</m:t>
        </m:r>
        <m:r>
          <m:t>2.67</m:t>
        </m:r>
        <m:r>
          <m:rPr>
            <m:sty m:val="p"/>
          </m:rPr>
          <m:t>×</m:t>
        </m:r>
        <m:sSup>
          <m:e>
            <m:r>
              <m:t>10</m:t>
            </m:r>
          </m:e>
          <m:sup>
            <m:r>
              <m:rPr>
                <m:sty m:val="p"/>
              </m:rPr>
              <m:t>−</m:t>
            </m:r>
            <m:r>
              <m:t>8</m:t>
            </m:r>
          </m:sup>
        </m:sSup>
      </m:oMath>
    </w:p>
    <w:p>
      <w:pPr>
        <w:numPr>
          <w:ilvl w:val="0"/>
          <w:numId w:val="1017"/>
        </w:numPr>
      </w:pPr>
      <m:oMath>
        <m:r>
          <m:t>N</m:t>
        </m:r>
        <m:r>
          <m:rPr>
            <m:sty m:val="p"/>
          </m:rPr>
          <m:t>=</m:t>
        </m:r>
        <m:r>
          <m:t>44</m:t>
        </m:r>
      </m:oMath>
      <w:r>
        <w:t xml:space="preserve"> </w:t>
      </w:r>
      <w:r>
        <w:t xml:space="preserve">matched pairs</w:t>
      </w:r>
    </w:p>
    <w:bookmarkEnd w:id="71"/>
    <w:bookmarkEnd w:id="72"/>
    <w:bookmarkStart w:id="73" w:name="s9.3-cohens-kappa-interpretation"/>
    <w:p>
      <w:pPr>
        <w:pStyle w:val="Heading2"/>
      </w:pPr>
      <w:r>
        <w:t xml:space="preserve">S9.3 Cohen’s Kappa Interpretation</w:t>
      </w:r>
    </w:p>
    <w:p>
      <w:pPr>
        <w:pStyle w:val="TableCaption"/>
      </w:pPr>
      <w:r>
        <w:t xml:space="preserve">Cohen’s Kappa Interpretation Guide</w:t>
      </w:r>
    </w:p>
    <w:tbl>
      <w:tblPr>
        <w:tblStyle w:val="Table"/>
        <w:tblW w:type="auto" w:w="0"/>
        <w:tblLook w:firstRow="1" w:lastRow="0" w:firstColumn="0" w:lastColumn="0" w:noHBand="0" w:noVBand="0" w:val="0020"/>
        <w:tblCaption w:val="Cohen’s Kappa Interpretation Guide"/>
      </w:tblPr>
      <w:tblGrid>
        <w:gridCol w:w="3960"/>
        <w:gridCol w:w="3960"/>
      </w:tblGrid>
      <w:tr>
        <w:trPr>
          <w:tblHeader w:val="on"/>
        </w:trPr>
        <w:tc>
          <w:tcPr/>
          <w:p>
            <w:pPr>
              <w:pStyle w:val="Compact"/>
              <w:jc w:val="left"/>
            </w:pPr>
            <w:r>
              <w:rPr>
                <w:b/>
                <w:bCs/>
              </w:rPr>
              <w:t xml:space="preserve">Kappa Range</w:t>
            </w:r>
          </w:p>
        </w:tc>
        <w:tc>
          <w:tcPr/>
          <w:p>
            <w:pPr>
              <w:pStyle w:val="Compact"/>
              <w:jc w:val="left"/>
            </w:pPr>
            <w:r>
              <w:rPr>
                <w:b/>
                <w:bCs/>
              </w:rPr>
              <w:t xml:space="preserve">Agreement Level</w:t>
            </w:r>
          </w:p>
        </w:tc>
      </w:tr>
      <w:tr>
        <w:tc>
          <w:tcPr/>
          <w:p>
            <w:pPr>
              <w:pStyle w:val="Compact"/>
              <w:jc w:val="left"/>
            </w:pPr>
            <m:oMath>
              <m:r>
                <m:rPr>
                  <m:sty m:val="p"/>
                </m:rPr>
                <m:t>&lt;</m:t>
              </m:r>
            </m:oMath>
            <w:r>
              <w:t xml:space="preserve"> </w:t>
            </w:r>
            <w:r>
              <w:t xml:space="preserve">0.20</w:t>
            </w:r>
          </w:p>
        </w:tc>
        <w:tc>
          <w:tcPr/>
          <w:p>
            <w:pPr>
              <w:pStyle w:val="Compact"/>
              <w:jc w:val="left"/>
            </w:pPr>
            <w:r>
              <w:t xml:space="preserve">Poor</w:t>
            </w:r>
          </w:p>
        </w:tc>
      </w:tr>
      <w:tr>
        <w:tc>
          <w:tcPr/>
          <w:p>
            <w:pPr>
              <w:pStyle w:val="Compact"/>
              <w:jc w:val="left"/>
            </w:pPr>
            <w:r>
              <w:t xml:space="preserve">0.21–0.40</w:t>
            </w:r>
          </w:p>
        </w:tc>
        <w:tc>
          <w:tcPr/>
          <w:p>
            <w:pPr>
              <w:pStyle w:val="Compact"/>
              <w:jc w:val="left"/>
            </w:pPr>
            <w:r>
              <w:t xml:space="preserve">Fair</w:t>
            </w:r>
          </w:p>
        </w:tc>
      </w:tr>
      <w:tr>
        <w:tc>
          <w:tcPr/>
          <w:p>
            <w:pPr>
              <w:pStyle w:val="Compact"/>
              <w:jc w:val="left"/>
            </w:pPr>
            <w:r>
              <w:t xml:space="preserve">0.41–0.60</w:t>
            </w:r>
          </w:p>
        </w:tc>
        <w:tc>
          <w:tcPr/>
          <w:p>
            <w:pPr>
              <w:pStyle w:val="Compact"/>
              <w:jc w:val="left"/>
            </w:pPr>
            <w:r>
              <w:t xml:space="preserve">Moderate</w:t>
            </w:r>
          </w:p>
        </w:tc>
      </w:tr>
      <w:tr>
        <w:tc>
          <w:tcPr/>
          <w:p>
            <w:pPr>
              <w:pStyle w:val="Compact"/>
              <w:jc w:val="left"/>
            </w:pPr>
            <w:r>
              <w:t xml:space="preserve">0.61–0.80</w:t>
            </w:r>
          </w:p>
        </w:tc>
        <w:tc>
          <w:tcPr/>
          <w:p>
            <w:pPr>
              <w:pStyle w:val="Compact"/>
              <w:jc w:val="left"/>
            </w:pPr>
            <w:r>
              <w:t xml:space="preserve">Substantial</w:t>
            </w:r>
          </w:p>
        </w:tc>
      </w:tr>
      <w:tr>
        <w:tc>
          <w:tcPr/>
          <w:p>
            <w:pPr>
              <w:pStyle w:val="Compact"/>
              <w:jc w:val="left"/>
            </w:pPr>
            <w:r>
              <w:t xml:space="preserve">0.81–1.00</w:t>
            </w:r>
          </w:p>
        </w:tc>
        <w:tc>
          <w:tcPr/>
          <w:p>
            <w:pPr>
              <w:pStyle w:val="Compact"/>
              <w:jc w:val="left"/>
            </w:pPr>
            <w:r>
              <w:t xml:space="preserve">Almost perfect</w:t>
            </w:r>
          </w:p>
        </w:tc>
      </w:tr>
    </w:tbl>
    <w:p>
      <w:pPr>
        <w:pStyle w:val="BodyText"/>
      </w:pPr>
      <w:r>
        <w:t xml:space="preserve">Our achieved</w:t>
      </w:r>
      <w:r>
        <w:t xml:space="preserve"> </w:t>
      </w:r>
      <m:oMath>
        <m:r>
          <m:t>κ</m:t>
        </m:r>
        <m:r>
          <m:rPr>
            <m:sty m:val="p"/>
          </m:rPr>
          <m:t>=</m:t>
        </m:r>
        <m:r>
          <m:t>0.708</m:t>
        </m:r>
      </m:oMath>
      <w:r>
        <w:t xml:space="preserve"> </w:t>
      </w:r>
      <w:r>
        <w:t xml:space="preserve">indicates</w:t>
      </w:r>
      <w:r>
        <w:t xml:space="preserve"> </w:t>
      </w:r>
      <w:r>
        <w:rPr>
          <w:b/>
          <w:bCs/>
        </w:rPr>
        <w:t xml:space="preserve">substantial agreement</w:t>
      </w:r>
      <w:r>
        <w:t xml:space="preserve"> </w:t>
      </w:r>
      <w:r>
        <w:t xml:space="preserve">with clinical expert assessments.</w:t>
      </w:r>
    </w:p>
    <w:bookmarkEnd w:id="73"/>
    <w:bookmarkEnd w:id="74"/>
    <w:bookmarkStart w:id="79" w:name="s10-data-and-code-availability"/>
    <w:p>
      <w:pPr>
        <w:pStyle w:val="Heading1"/>
      </w:pPr>
      <w:r>
        <w:t xml:space="preserve">S10: Data and Code Availability</w:t>
      </w:r>
    </w:p>
    <w:bookmarkStart w:id="75" w:name="s10.1-input-data"/>
    <w:p>
      <w:pPr>
        <w:pStyle w:val="Heading2"/>
      </w:pPr>
      <w:r>
        <w:t xml:space="preserve">S10.1 Input Data</w:t>
      </w:r>
    </w:p>
    <w:p>
      <w:pPr>
        <w:numPr>
          <w:ilvl w:val="0"/>
          <w:numId w:val="1018"/>
        </w:numPr>
      </w:pPr>
      <w:r>
        <w:rPr>
          <w:b/>
          <w:bCs/>
        </w:rPr>
        <w:t xml:space="preserve">Source</w:t>
      </w:r>
      <w:r>
        <w:t xml:space="preserve">: DrugBank v5.1.9 (Creative Commons license)</w:t>
      </w:r>
    </w:p>
    <w:p>
      <w:pPr>
        <w:numPr>
          <w:ilvl w:val="0"/>
          <w:numId w:val="1018"/>
        </w:numPr>
      </w:pPr>
      <w:r>
        <w:rPr>
          <w:b/>
          <w:bCs/>
        </w:rPr>
        <w:t xml:space="preserve">Filter</w:t>
      </w:r>
      <w:r>
        <w:t xml:space="preserve">: Cardiovascular and antithrombotic ATC codes</w:t>
      </w:r>
    </w:p>
    <w:p>
      <w:pPr>
        <w:numPr>
          <w:ilvl w:val="0"/>
          <w:numId w:val="1018"/>
        </w:numPr>
      </w:pPr>
      <w:r>
        <w:rPr>
          <w:b/>
          <w:bCs/>
        </w:rPr>
        <w:t xml:space="preserve">File</w:t>
      </w:r>
      <w:r>
        <w:t xml:space="preserve">:</w:t>
      </w:r>
      <w:r>
        <w:t xml:space="preserve"> </w:t>
      </w:r>
      <w:r>
        <w:rPr>
          <w:rStyle w:val="VerbatimChar"/>
        </w:rPr>
        <w:t xml:space="preserve">data/ddi_cardio_or_antithrombotic_labeled.csv</w:t>
      </w:r>
    </w:p>
    <w:bookmarkEnd w:id="75"/>
    <w:bookmarkStart w:id="76" w:name="s10.2-output-data"/>
    <w:p>
      <w:pPr>
        <w:pStyle w:val="Heading2"/>
      </w:pPr>
      <w:r>
        <w:t xml:space="preserve">S10.2 Output Data</w:t>
      </w:r>
    </w:p>
    <w:p>
      <w:pPr>
        <w:numPr>
          <w:ilvl w:val="0"/>
          <w:numId w:val="1019"/>
        </w:numPr>
      </w:pPr>
      <w:r>
        <w:rPr>
          <w:b/>
          <w:bCs/>
        </w:rPr>
        <w:t xml:space="preserve">Recalibrated predictions</w:t>
      </w:r>
      <w:r>
        <w:t xml:space="preserve">:</w:t>
      </w:r>
      <w:r>
        <w:t xml:space="preserve"> </w:t>
      </w:r>
      <w:r>
        <w:rPr>
          <w:rStyle w:val="VerbatimChar"/>
        </w:rPr>
        <w:t xml:space="preserve">data/ddi_semantic_final.csv</w:t>
      </w:r>
    </w:p>
    <w:p>
      <w:pPr>
        <w:numPr>
          <w:ilvl w:val="0"/>
          <w:numId w:val="1019"/>
        </w:numPr>
      </w:pPr>
      <w:r>
        <w:rPr>
          <w:b/>
          <w:bCs/>
        </w:rPr>
        <w:t xml:space="preserve">Statistics</w:t>
      </w:r>
      <w:r>
        <w:t xml:space="preserve">:</w:t>
      </w:r>
      <w:r>
        <w:t xml:space="preserve"> </w:t>
      </w:r>
      <w:r>
        <w:rPr>
          <w:rStyle w:val="VerbatimChar"/>
        </w:rPr>
        <w:t xml:space="preserve">data/ddi_semantic_final.json</w:t>
      </w:r>
    </w:p>
    <w:bookmarkEnd w:id="76"/>
    <w:bookmarkStart w:id="77" w:name="s10.3-code"/>
    <w:p>
      <w:pPr>
        <w:pStyle w:val="Heading2"/>
      </w:pPr>
      <w:r>
        <w:t xml:space="preserve">S10.3 Code</w:t>
      </w:r>
    </w:p>
    <w:p>
      <w:pPr>
        <w:numPr>
          <w:ilvl w:val="0"/>
          <w:numId w:val="1020"/>
        </w:numPr>
      </w:pPr>
      <w:r>
        <w:rPr>
          <w:b/>
          <w:bCs/>
        </w:rPr>
        <w:t xml:space="preserve">GPU recalibration script</w:t>
      </w:r>
      <w:r>
        <w:t xml:space="preserve">:</w:t>
      </w:r>
      <w:r>
        <w:t xml:space="preserve"> </w:t>
      </w:r>
      <w:r>
        <w:rPr>
          <w:rStyle w:val="VerbatimChar"/>
        </w:rPr>
        <w:t xml:space="preserve">recalibrate_severity_gpu.py</w:t>
      </w:r>
    </w:p>
    <w:p>
      <w:pPr>
        <w:numPr>
          <w:ilvl w:val="0"/>
          <w:numId w:val="1020"/>
        </w:numPr>
      </w:pPr>
      <w:r>
        <w:rPr>
          <w:b/>
          <w:bCs/>
        </w:rPr>
        <w:t xml:space="preserve">Figure generation</w:t>
      </w:r>
      <w:r>
        <w:t xml:space="preserve">:</w:t>
      </w:r>
      <w:r>
        <w:t xml:space="preserve"> </w:t>
      </w:r>
      <w:r>
        <w:rPr>
          <w:rStyle w:val="VerbatimChar"/>
        </w:rPr>
        <w:t xml:space="preserve">publication_recalibration/generate_figures_updated.py</w:t>
      </w:r>
    </w:p>
    <w:bookmarkEnd w:id="77"/>
    <w:bookmarkStart w:id="78" w:name="s10.4-reproducibility"/>
    <w:p>
      <w:pPr>
        <w:pStyle w:val="Heading2"/>
      </w:pPr>
      <w:r>
        <w:t xml:space="preserve">S10.4 Reproducibility</w:t>
      </w:r>
    </w:p>
    <w:p>
      <w:pPr>
        <w:pStyle w:val="SourceCode"/>
      </w:pPr>
      <w:r>
        <w:rPr>
          <w:rStyle w:val="VerbatimChar"/>
        </w:rPr>
        <w:t xml:space="preserve"># Install dependencies</w:t>
      </w:r>
      <w:r>
        <w:br/>
      </w:r>
      <w:r>
        <w:rPr>
          <w:rStyle w:val="VerbatimChar"/>
        </w:rPr>
        <w:t xml:space="preserve">pip install pandas numpy scipy matplotlib torch sentence-transformers</w:t>
      </w:r>
      <w:r>
        <w:br/>
      </w:r>
      <w:r>
        <w:br/>
      </w:r>
      <w:r>
        <w:rPr>
          <w:rStyle w:val="VerbatimChar"/>
        </w:rPr>
        <w:t xml:space="preserve"># Run GPU-accelerated semantic recalibration</w:t>
      </w:r>
      <w:r>
        <w:br/>
      </w:r>
      <w:r>
        <w:rPr>
          <w:rStyle w:val="VerbatimChar"/>
        </w:rPr>
        <w:t xml:space="preserve">python recalibrate_severity_gpu.py</w:t>
      </w:r>
      <w:r>
        <w:br/>
      </w:r>
      <w:r>
        <w:br/>
      </w:r>
      <w:r>
        <w:rPr>
          <w:rStyle w:val="VerbatimChar"/>
        </w:rPr>
        <w:t xml:space="preserve"># Generate figures</w:t>
      </w:r>
      <w:r>
        <w:br/>
      </w:r>
      <w:r>
        <w:rPr>
          <w:rStyle w:val="VerbatimChar"/>
        </w:rPr>
        <w:t xml:space="preserve">python publication_recalibration/generate_figures_updated.py</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GPU-Accelerated Semantic Severity Recalibration for Drug-Drug Interactions</dc:title>
  <dc:creator>Anonymous Authors</dc:creator>
  <cp:keywords/>
  <dcterms:created xsi:type="dcterms:W3CDTF">2026-02-22T01:06:38Z</dcterms:created>
  <dcterms:modified xsi:type="dcterms:W3CDTF">2026-02-22T01:06:38Z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ies>
</file>