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  <w:jc w:val="center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BHAUMIK GIRI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Cary, NC  •  bgiri@unc.edu  •  linkedin.com/in/bhaumik-giri  •  919-744-4265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Finance &amp; Operations  •  Founder-Operator  •  Data-Driven Systems Builder</w:t>
      </w:r>
    </w:p>
    <w:p>
      <w:pPr>
        <w:pBdr>
          <w:bottom w:val="single" w:color="000000" w:sz="4" w:space="1"/>
        </w:pBdr>
        <w:spacing w:after="44" w:before="76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Co-Founder &amp; Head of Finance / Operations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BPG Construction Solutions</w:t>
      </w:r>
      <w:r>
        <w:rPr>
          <w:rFonts w:ascii="Calibri" w:cs="Calibri" w:eastAsia="Calibri" w:hAnsi="Calibri"/>
          <w:sz w:val="19"/>
          <w:szCs w:val="19"/>
        </w:rPr>
        <w:t xml:space="preserve">  |  Cary, NC</w:t>
      </w:r>
      <w:r>
        <w:rPr>
          <w:rFonts w:ascii="Calibri" w:cs="Calibri" w:eastAsia="Calibri" w:hAnsi="Calibri"/>
          <w:sz w:val="19"/>
          <w:szCs w:val="19"/>
        </w:rPr>
        <w:t xml:space="preserve">	May 2024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Scaled company from $0 to $1.5M+ in revenue within 2 years; expanded gross profit margins from 10% to 20–30% through disciplined cost structuring, job-level pricing optimization, and overhead control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Architected and built a proprietary React/JavaScript financial dashboard managing real-time P&amp;L, contract valuation, gross margin analysis (40% target), and Q1–Q4 revenue forecasting — eliminating all SaaS dependencies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Designed 9 integrated financial KPI modules: job costing (labor, materials, subs, equipment, permits), change order management, AR aging, retainage tracking, cash flow projection, crew utilization, overhead break-even, revenue concentration, and proposal pipeline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Implemented per-project AR/AP workflows with itemized estimated vs. actual expenditure tracking, enabling project-level margin variance reporting and built auto-save via File System Access API + IndexedDB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Led financial planning, capital allocation, and long-range forecasting; drove 2–3x year-over-year margin improvement by identifying and eliminating cost overruns at the phase and trade level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Executed competitive market research to define pricing strategy and bid structuring; managed key client relationships end-to-end, driving consistent retention and repeat business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Customer Experience Associate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Nautical Bowls</w:t>
      </w:r>
      <w:r>
        <w:rPr>
          <w:rFonts w:ascii="Calibri" w:cs="Calibri" w:eastAsia="Calibri" w:hAnsi="Calibri"/>
          <w:sz w:val="19"/>
          <w:szCs w:val="19"/>
        </w:rPr>
        <w:t xml:space="preserve">  |  Cary, NC</w:t>
      </w:r>
      <w:r>
        <w:rPr>
          <w:rFonts w:ascii="Calibri" w:cs="Calibri" w:eastAsia="Calibri" w:hAnsi="Calibri"/>
          <w:sz w:val="19"/>
          <w:szCs w:val="19"/>
        </w:rPr>
        <w:t xml:space="preserve">	May 2024 – Sep 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Delivered high-volume customer service across 50+ daily transactions; increased per-customer revenue through targeted upselling and managed daily cash handling and opening/closing procedures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Customer Service Cashier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Cavamezze Grill</w:t>
      </w:r>
      <w:r>
        <w:rPr>
          <w:rFonts w:ascii="Calibri" w:cs="Calibri" w:eastAsia="Calibri" w:hAnsi="Calibri"/>
          <w:sz w:val="19"/>
          <w:szCs w:val="19"/>
        </w:rPr>
        <w:t xml:space="preserve">  |  Cary, NC</w:t>
      </w:r>
      <w:r>
        <w:rPr>
          <w:rFonts w:ascii="Calibri" w:cs="Calibri" w:eastAsia="Calibri" w:hAnsi="Calibri"/>
          <w:sz w:val="19"/>
          <w:szCs w:val="19"/>
        </w:rPr>
        <w:t xml:space="preserve">	May 2023 – Aug 2023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Processed 100+ daily transactions with accuracy; resolved customer complaints, maintained balanced register, and built repeat customer base through attentive service and product knowledge</w:t>
      </w:r>
    </w:p>
    <w:p>
      <w:pPr>
        <w:pBdr>
          <w:bottom w:val="single" w:color="000000" w:sz="4" w:space="1"/>
        </w:pBdr>
        <w:spacing w:after="44" w:before="76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Unstructured Alpha — Alternative Data Investment Research Platform</w:t>
      </w:r>
      <w:r>
        <w:rPr>
          <w:rFonts w:ascii="Calibri" w:cs="Calibri" w:eastAsia="Calibri" w:hAnsi="Calibri"/>
          <w:sz w:val="18"/>
          <w:szCs w:val="18"/>
        </w:rPr>
        <w:t xml:space="preserve">  —  Python · Streamlit · PostgreSQL · FRED API · SEC EDGAR · CFTC · Claude AI</w:t>
      </w:r>
      <w:r>
        <w:rPr>
          <w:rFonts w:ascii="Calibri" w:cs="Calibri" w:eastAsia="Calibri" w:hAnsi="Calibri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Built and deployed a live investment research platform (unstructuredalpha.com) aggregating 40+ quantitative signals across macro, credit, energy, and sector themes; signals scored via z-score normalization and lag-validated against historical market data for statistical significance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Integrated institutional-grade data sources — Federal Reserve FRED, EIA, SEC EDGAR Form 4 insider filings, and CFTC Commitments of Traders — into a unified scoring engine tracking macro regimes, yield curve dynamics, credit spreads, and sector-level equity positioning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Developed 24-page analytical suite including Ticker Deep Dive, Options Flow, Congressional Trade Tracker (STOCK Act disclosures), Regime Playbook, Signal Backtester, and AI-generated weekly macro research notes; deployed with PostgreSQL and multi-user authentication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BPG Construction Solutions — Founder Financial Dashboard</w:t>
      </w:r>
      <w:r>
        <w:rPr>
          <w:rFonts w:ascii="Calibri" w:cs="Calibri" w:eastAsia="Calibri" w:hAnsi="Calibri"/>
          <w:sz w:val="18"/>
          <w:szCs w:val="18"/>
        </w:rPr>
        <w:t xml:space="preserve">  —  React · JavaScript · IndexedDB · File System API</w:t>
      </w:r>
      <w:r>
        <w:rPr>
          <w:rFonts w:ascii="Calibri" w:cs="Calibri" w:eastAsia="Calibri" w:hAnsi="Calibri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Standalone financial operations platform managing $1.5M+ in annual revenue; self-contained single HTML file with no backend, no cloud accounts, and no subscription costs; auto-saves directly to disk via File System Access API + IndexedDB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Core modules: contract P&amp;L, itemized job costing (estimated vs. actual), AR/AP, retainage &amp; change order tracking, Q1–Q4 cash flow forecasting, overhead break-even modeling, and live 40% gross margin goal progress bar per project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Prediction Market Arbitrage Detection Bot</w:t>
      </w:r>
      <w:r>
        <w:rPr>
          <w:rFonts w:ascii="Calibri" w:cs="Calibri" w:eastAsia="Calibri" w:hAnsi="Calibri"/>
          <w:sz w:val="18"/>
          <w:szCs w:val="18"/>
        </w:rPr>
        <w:t xml:space="preserve">  —  Python · Kalshi API · Polymarket API · Claude AI (Haiku)</w:t>
      </w:r>
      <w:r>
        <w:rPr>
          <w:rFonts w:ascii="Calibri" w:cs="Calibri" w:eastAsia="Calibri" w:hAnsi="Calibri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Real-time arbitrage detection across Kalshi and Polymarket; async aiohttp pipeline normalizes 100+ live sports markets simultaneously using dual authentication (RSA key-pair / Ed25519) across NBA, NHL, and MLB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Integrated Claude AI (Haiku) for intelligent cross-platform market matching; paper trading mode estimates live P&amp;L per opportunity before capital deployment; multi-module architecture with parlay filtering and configurable spread thresholds</w:t>
      </w:r>
    </w:p>
    <w:p>
      <w:pPr>
        <w:pBdr>
          <w:bottom w:val="single" w:color="000000" w:sz="4" w:space="1"/>
        </w:pBdr>
        <w:spacing w:after="44" w:before="76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B.S. Economics  —  University of North Carolina at Chapel Hill</w:t>
      </w:r>
      <w:r>
        <w:rPr>
          <w:rFonts w:ascii="Calibri" w:cs="Calibri" w:eastAsia="Calibri" w:hAnsi="Calibri"/>
          <w:sz w:val="19"/>
          <w:szCs w:val="19"/>
        </w:rPr>
        <w:t xml:space="preserve">	Expected May 2028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Transfer student, Fall 2026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B.S. Business Administration (Finance) &amp; B.S. Data Science  —  UNC Charlotte</w:t>
      </w:r>
      <w:r>
        <w:rPr>
          <w:rFonts w:ascii="Calibri" w:cs="Calibri" w:eastAsia="Calibri" w:hAnsi="Calibri"/>
          <w:sz w:val="19"/>
          <w:szCs w:val="19"/>
        </w:rPr>
        <w:t xml:space="preserve">	Expected May 2028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GPA: 3.7  •  Chancellor’s List (2024)  •  Dean’s List (2025, 2026)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Coursework: </w:t>
      </w:r>
      <w:r>
        <w:rPr>
          <w:rFonts w:ascii="Calibri" w:cs="Calibri" w:eastAsia="Calibri" w:hAnsi="Calibri"/>
          <w:sz w:val="18"/>
          <w:szCs w:val="18"/>
        </w:rPr>
        <w:t xml:space="preserve">Financial Management, Accounting I &amp; II, Statistics, Macroeconomics, Microeconomics, Computer Science I &amp; II, Data Science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Activities: </w:t>
      </w:r>
      <w:r>
        <w:rPr>
          <w:rFonts w:ascii="Calibri" w:cs="Calibri" w:eastAsia="Calibri" w:hAnsi="Calibri"/>
          <w:sz w:val="18"/>
          <w:szCs w:val="18"/>
        </w:rPr>
        <w:t xml:space="preserve">Management Consulting Club  •  Commercial Real Estate Society  •  FICC &amp; Securities Club  •  Emerging Leaders Program</w:t>
      </w:r>
    </w:p>
    <w:p>
      <w:pPr>
        <w:pBdr>
          <w:bottom w:val="single" w:color="000000" w:sz="4" w:space="1"/>
        </w:pBdr>
        <w:spacing w:after="44" w:before="76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Foundations of Finance  —  University of Cambridge / Coursera</w:t>
      </w:r>
      <w:r>
        <w:rPr>
          <w:rFonts w:ascii="Calibri" w:cs="Calibri" w:eastAsia="Calibri" w:hAnsi="Calibri"/>
          <w:sz w:val="19"/>
          <w:szCs w:val="19"/>
        </w:rPr>
        <w:t xml:space="preserve">	Feb 2026</w:t>
      </w:r>
    </w:p>
    <w:p>
      <w:pPr>
        <w:pBdr>
          <w:bottom w:val="single" w:color="000000" w:sz="4" w:space="1"/>
        </w:pBdr>
        <w:spacing w:after="44" w:before="76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Finance: </w:t>
      </w:r>
      <w:r>
        <w:rPr>
          <w:rFonts w:ascii="Calibri" w:cs="Calibri" w:eastAsia="Calibri" w:hAnsi="Calibri"/>
          <w:sz w:val="18"/>
          <w:szCs w:val="18"/>
        </w:rPr>
        <w:t xml:space="preserve">P&amp;L Management, Financial Forecasting, Cash Flow Analysis, Gross Margin Analysis, Job Costing, Financial Modeling, Alternative Data Analysis, Equity Research, Signal Processing, Market Research &amp; Competitive Analysis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sz w:val="18"/>
          <w:szCs w:val="18"/>
        </w:rPr>
        <w:t xml:space="preserve">Python (asyncio, aiohttp, REST API integration), React, JavaScript, SQL, PostgreSQL, Microsoft Excel (Advanced), Data Analysis &amp; Visualization, PowerPoint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Markets: </w:t>
      </w:r>
      <w:r>
        <w:rPr>
          <w:rFonts w:ascii="Calibri" w:cs="Calibri" w:eastAsia="Calibri" w:hAnsi="Calibri"/>
          <w:sz w:val="18"/>
          <w:szCs w:val="18"/>
        </w:rPr>
        <w:t xml:space="preserve">Alternative Data, Quantitative Signal Research, Macro Analysis, Options Flow, Prediction Market Analysis, Arbitrage Detection, Options Fundamentals, Stock Market Research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Business: </w:t>
      </w:r>
      <w:r>
        <w:rPr>
          <w:rFonts w:ascii="Calibri" w:cs="Calibri" w:eastAsia="Calibri" w:hAnsi="Calibri"/>
          <w:sz w:val="18"/>
          <w:szCs w:val="18"/>
        </w:rPr>
        <w:t xml:space="preserve">Strategic Planning, Business Development, Client Relationship Management, Startup Operations, Go-to-Market Strategy</w:t>
      </w:r>
    </w:p>
    <w:sectPr>
      <w:pgSz w:w="12240" w:h="15840" w:orient="portrait"/>
      <w:pgMar w:top="504" w:right="864" w:bottom="432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0" w:before="0"/>
        <w:ind w:left="360" w:hanging="180"/>
      </w:pPr>
      <w:rPr>
        <w:rFonts w:ascii="Symbol" w:cs="Symbol" w:eastAsia="Symbol" w:hAnsi="Symbo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0" w:before="0"/>
        <w:ind w:left="360" w:hanging="18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2026-06-28T14:29:55.935Z</dcterms:created>
  <dcterms:modified xsi:type="dcterms:W3CDTF">2026-06-28T14:29:55.935Z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