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B7F02C3" w14:textId="0895C87E" w:rsidR="00066D28" w:rsidRPr="00CA185E" w:rsidRDefault="00981EE1" w:rsidP="00904075">
      <w:pPr>
        <w:pStyle w:val="Title"/>
        <w:spacing w:line="240" w:lineRule="auto"/>
        <w:rPr>
          <w:rStyle w:val="Strong"/>
          <w:color w:val="1F3864" w:themeColor="accent1" w:themeShade="80"/>
        </w:rPr>
      </w:pPr>
      <w:bookmarkStart w:id="0" w:name="_koqp1zr190fb" w:colFirst="0" w:colLast="0"/>
      <w:bookmarkEnd w:id="0"/>
      <w:r w:rsidRPr="00CA185E">
        <w:rPr>
          <w:rStyle w:val="Strong"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067F387B" wp14:editId="74A199BC">
            <wp:simplePos x="0" y="0"/>
            <wp:positionH relativeFrom="column">
              <wp:posOffset>1909445</wp:posOffset>
            </wp:positionH>
            <wp:positionV relativeFrom="paragraph">
              <wp:posOffset>0</wp:posOffset>
            </wp:positionV>
            <wp:extent cx="1871345" cy="847725"/>
            <wp:effectExtent l="0" t="0" r="0" b="317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4075" w:rsidRPr="00CA185E">
        <w:rPr>
          <w:rStyle w:val="Strong"/>
          <w:color w:val="1F3864" w:themeColor="accent1" w:themeShade="80"/>
        </w:rPr>
        <w:br/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CA185E" w:rsidRPr="00CA185E" w14:paraId="4168CF8E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E3FCAF" w14:textId="3B60DCF4" w:rsidR="00066D28" w:rsidRPr="00CA185E" w:rsidRDefault="00981EE1" w:rsidP="00E15F8A">
            <w:pPr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Operations &amp; Training Risk Management Plan</w:t>
            </w: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0B61C901" w14:textId="77777777" w:rsidR="00066D28" w:rsidRPr="00CA185E" w:rsidRDefault="00066D28">
            <w:pPr>
              <w:spacing w:after="200" w:line="240" w:lineRule="auto"/>
              <w:ind w:right="-4425"/>
              <w:rPr>
                <w:rStyle w:val="Strong"/>
                <w:color w:val="1F3864" w:themeColor="accent1" w:themeShade="80"/>
              </w:rPr>
            </w:pPr>
          </w:p>
        </w:tc>
      </w:tr>
      <w:tr w:rsidR="00CA185E" w:rsidRPr="00CA185E" w14:paraId="4C95ABEF" w14:textId="77777777" w:rsidTr="00E15F8A">
        <w:trPr>
          <w:trHeight w:val="10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EF4A28" w14:textId="3697FB60" w:rsidR="00066D28" w:rsidRPr="00CA185E" w:rsidRDefault="00981EE1" w:rsidP="00ED1CAC">
            <w:pPr>
              <w:pStyle w:val="Heading7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Author: 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AB </w:t>
            </w:r>
            <w:r w:rsidR="007C5345" w:rsidRPr="00CA185E">
              <w:rPr>
                <w:rStyle w:val="Strong"/>
                <w:color w:val="1F3864" w:themeColor="accent1" w:themeShade="80"/>
              </w:rPr>
              <w:t>P</w:t>
            </w:r>
            <w:r w:rsidRPr="00CA185E">
              <w:rPr>
                <w:rStyle w:val="Strong"/>
                <w:color w:val="1F3864" w:themeColor="accent1" w:themeShade="80"/>
              </w:rPr>
              <w:t>roject Manager</w:t>
            </w:r>
          </w:p>
          <w:p w14:paraId="32FCDCFD" w14:textId="2B65879F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Status: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6A483" w14:textId="50801D6A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Created: </w:t>
            </w:r>
            <w:r w:rsidR="00ED1CAC" w:rsidRPr="00CA185E">
              <w:rPr>
                <w:rStyle w:val="Strong"/>
                <w:color w:val="1F3864" w:themeColor="accent1" w:themeShade="80"/>
              </w:rPr>
              <w:t>January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 10th</w:t>
            </w:r>
          </w:p>
          <w:p w14:paraId="5ED1FDD2" w14:textId="34FFE024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Updated: </w:t>
            </w:r>
            <w:r w:rsidR="00ED1CAC" w:rsidRPr="00CA185E">
              <w:rPr>
                <w:rStyle w:val="Strong"/>
                <w:color w:val="1F3864" w:themeColor="accent1" w:themeShade="80"/>
              </w:rPr>
              <w:t>January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 12th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033F06" w14:textId="77777777" w:rsidR="00066D28" w:rsidRPr="00CA185E" w:rsidRDefault="00066D28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</w:p>
        </w:tc>
      </w:tr>
    </w:tbl>
    <w:p w14:paraId="24F1D91A" w14:textId="77777777" w:rsidR="00066D28" w:rsidRPr="00CA185E" w:rsidRDefault="00981EE1">
      <w:pPr>
        <w:pStyle w:val="Heading1"/>
        <w:keepNext w:val="0"/>
        <w:keepLines w:val="0"/>
        <w:widowControl w:val="0"/>
        <w:spacing w:before="480" w:after="240"/>
        <w:rPr>
          <w:rStyle w:val="Strong"/>
          <w:color w:val="1F3864" w:themeColor="accent1" w:themeShade="80"/>
        </w:rPr>
      </w:pPr>
      <w:bookmarkStart w:id="1" w:name="_1fob9te" w:colFirst="0" w:colLast="0"/>
      <w:bookmarkEnd w:id="1"/>
      <w:r w:rsidRPr="00CA185E">
        <w:rPr>
          <w:rStyle w:val="Strong"/>
          <w:color w:val="1F3864" w:themeColor="accent1" w:themeShade="80"/>
        </w:rPr>
        <w:t>Objective</w:t>
      </w:r>
    </w:p>
    <w:p w14:paraId="6D2275C9" w14:textId="1E444BFF" w:rsidR="00066D28" w:rsidRPr="00CA185E" w:rsidRDefault="006E42AD" w:rsidP="00A34CCF">
      <w:pPr>
        <w:pStyle w:val="Heading3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 xml:space="preserve">Our plan is to create and implement an Operations and Training plan to meet the demands of the Plant Pals new service. </w:t>
      </w:r>
    </w:p>
    <w:p w14:paraId="5E0D9AD3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p w14:paraId="4AF985C4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Executive Summary</w:t>
      </w:r>
    </w:p>
    <w:p w14:paraId="618D865E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[Detail the length of the project, project milestones, and introduce potential risks here.]</w:t>
      </w:r>
    </w:p>
    <w:p w14:paraId="0D68C002" w14:textId="318CA706" w:rsidR="00066D28" w:rsidRPr="00CA185E" w:rsidRDefault="00CA185E">
      <w:pPr>
        <w:widowControl w:val="0"/>
        <w:rPr>
          <w:rStyle w:val="Strong"/>
          <w:color w:val="1F3864" w:themeColor="accent1" w:themeShade="80"/>
        </w:rPr>
      </w:pPr>
      <w:r>
        <w:rPr>
          <w:rStyle w:val="Strong"/>
          <w:color w:val="1F3864" w:themeColor="accent1" w:themeShade="80"/>
        </w:rPr>
        <w:t>This project is about launching the</w:t>
      </w:r>
      <w:r w:rsidR="00610D3F">
        <w:rPr>
          <w:rStyle w:val="Strong"/>
          <w:color w:val="1F3864" w:themeColor="accent1" w:themeShade="80"/>
        </w:rPr>
        <w:t xml:space="preserve"> Plant Pal operations. This project will ensure the continuous support to Plant Pal new launch. There are two important </w:t>
      </w:r>
      <w:r w:rsidR="00336647">
        <w:rPr>
          <w:rStyle w:val="Strong"/>
          <w:color w:val="1F3864" w:themeColor="accent1" w:themeShade="80"/>
        </w:rPr>
        <w:t>milestone for the project</w:t>
      </w:r>
      <w:r w:rsidR="00E15F8A">
        <w:rPr>
          <w:rStyle w:val="Strong"/>
          <w:color w:val="1F3864" w:themeColor="accent1" w:themeShade="80"/>
        </w:rPr>
        <w:t xml:space="preserve"> to create the support repository before the launch and complete the training of employees who will support the Plant Pal operation.</w:t>
      </w:r>
      <w:r w:rsidR="00610D3F">
        <w:rPr>
          <w:rStyle w:val="Strong"/>
          <w:color w:val="1F3864" w:themeColor="accent1" w:themeShade="80"/>
        </w:rPr>
        <w:tab/>
      </w:r>
      <w:r>
        <w:rPr>
          <w:rStyle w:val="Strong"/>
          <w:color w:val="1F3864" w:themeColor="accent1" w:themeShade="80"/>
        </w:rPr>
        <w:tab/>
      </w:r>
    </w:p>
    <w:p w14:paraId="069AC9DF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p w14:paraId="41833599" w14:textId="6C96D94A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RISK TYPE ONE: Going over the project budge</w:t>
      </w:r>
    </w:p>
    <w:tbl>
      <w:tblPr>
        <w:tblStyle w:val="a0"/>
        <w:tblW w:w="9730" w:type="dxa"/>
        <w:tblInd w:w="-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126"/>
        <w:gridCol w:w="5194"/>
      </w:tblGrid>
      <w:tr w:rsidR="00CA185E" w:rsidRPr="00CA185E" w14:paraId="642B81A7" w14:textId="77777777" w:rsidTr="00E15F8A">
        <w:trPr>
          <w:trHeight w:val="326"/>
        </w:trPr>
        <w:tc>
          <w:tcPr>
            <w:tcW w:w="24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06EC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Scenario</w:t>
            </w:r>
          </w:p>
        </w:tc>
        <w:tc>
          <w:tcPr>
            <w:tcW w:w="212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6B7F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Risk to project (L/M/H)</w:t>
            </w:r>
          </w:p>
        </w:tc>
        <w:tc>
          <w:tcPr>
            <w:tcW w:w="519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9FDB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Mitigation Plan</w:t>
            </w:r>
          </w:p>
        </w:tc>
      </w:tr>
      <w:tr w:rsidR="00CA185E" w:rsidRPr="00CA185E" w14:paraId="18726F8C" w14:textId="77777777" w:rsidTr="00E15F8A">
        <w:trPr>
          <w:trHeight w:val="735"/>
        </w:trPr>
        <w:tc>
          <w:tcPr>
            <w:tcW w:w="24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CF7D" w14:textId="1CBE7825" w:rsidR="00066D28" w:rsidRPr="00CA185E" w:rsidRDefault="007C5345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Each delivery truck costs $16,000 more than initially quoted.</w:t>
            </w:r>
          </w:p>
        </w:tc>
        <w:tc>
          <w:tcPr>
            <w:tcW w:w="212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D6DD" w14:textId="22B741BF" w:rsidR="00066D28" w:rsidRPr="00CA185E" w:rsidRDefault="00F37143" w:rsidP="00186459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</w:t>
            </w:r>
          </w:p>
        </w:tc>
        <w:tc>
          <w:tcPr>
            <w:tcW w:w="519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97DA" w14:textId="43B16B75" w:rsidR="00066D28" w:rsidRPr="00CA185E" w:rsidRDefault="00CA185E" w:rsidP="00CA185E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Reduce /Control. Fix the price and add a plan two separate vendor for each truck. </w:t>
            </w:r>
            <w:r>
              <w:rPr>
                <w:rStyle w:val="Strong"/>
                <w:color w:val="1F3864" w:themeColor="accent1" w:themeShade="80"/>
              </w:rPr>
              <w:tab/>
            </w:r>
            <w:r w:rsidR="00186459" w:rsidRPr="00CA185E">
              <w:rPr>
                <w:rStyle w:val="Strong"/>
                <w:color w:val="1F3864" w:themeColor="accent1" w:themeShade="80"/>
              </w:rPr>
              <w:tab/>
            </w:r>
          </w:p>
        </w:tc>
      </w:tr>
      <w:tr w:rsidR="00CA185E" w:rsidRPr="00CA185E" w14:paraId="54067A80" w14:textId="77777777" w:rsidTr="00E15F8A">
        <w:tc>
          <w:tcPr>
            <w:tcW w:w="24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102B" w14:textId="3FC4B0C5" w:rsidR="00066D28" w:rsidRPr="00CA185E" w:rsidRDefault="00186459" w:rsidP="00186459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A product vendor charges a higher rate than expected</w:t>
            </w:r>
          </w:p>
        </w:tc>
        <w:tc>
          <w:tcPr>
            <w:tcW w:w="212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84E" w14:textId="09506B50" w:rsidR="00066D28" w:rsidRPr="00CA185E" w:rsidRDefault="0018645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</w:t>
            </w:r>
          </w:p>
        </w:tc>
        <w:tc>
          <w:tcPr>
            <w:tcW w:w="519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FDBF" w14:textId="483B4CD6" w:rsidR="00066D28" w:rsidRPr="00CA185E" w:rsidRDefault="00610D3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Reduce /Control. Fix the price and add a plan </w:t>
            </w:r>
            <w:r>
              <w:rPr>
                <w:rStyle w:val="Strong"/>
                <w:color w:val="1F3864" w:themeColor="accent1" w:themeShade="80"/>
              </w:rPr>
              <w:t>to add multiple</w:t>
            </w:r>
            <w:r>
              <w:rPr>
                <w:rStyle w:val="Strong"/>
                <w:color w:val="1F3864" w:themeColor="accent1" w:themeShade="80"/>
              </w:rPr>
              <w:t xml:space="preserve"> </w:t>
            </w:r>
            <w:r>
              <w:rPr>
                <w:rStyle w:val="Strong"/>
                <w:color w:val="1F3864" w:themeColor="accent1" w:themeShade="80"/>
              </w:rPr>
              <w:t>vendors</w:t>
            </w:r>
            <w:r>
              <w:rPr>
                <w:rStyle w:val="Strong"/>
                <w:color w:val="1F3864" w:themeColor="accent1" w:themeShade="80"/>
              </w:rPr>
              <w:t xml:space="preserve"> for </w:t>
            </w:r>
            <w:r>
              <w:rPr>
                <w:rStyle w:val="Strong"/>
                <w:color w:val="1F3864" w:themeColor="accent1" w:themeShade="80"/>
              </w:rPr>
              <w:t>product supply</w:t>
            </w:r>
            <w:r>
              <w:rPr>
                <w:rStyle w:val="Strong"/>
                <w:color w:val="1F3864" w:themeColor="accent1" w:themeShade="80"/>
              </w:rPr>
              <w:t>.</w:t>
            </w:r>
          </w:p>
        </w:tc>
      </w:tr>
      <w:tr w:rsidR="00CA185E" w:rsidRPr="00CA185E" w14:paraId="02E0699C" w14:textId="77777777" w:rsidTr="00E15F8A">
        <w:tc>
          <w:tcPr>
            <w:tcW w:w="241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2D8" w14:textId="5213D5DE" w:rsidR="00066D28" w:rsidRPr="00CA185E" w:rsidRDefault="00186459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A product vendor loses a product shipment.</w:t>
            </w:r>
          </w:p>
        </w:tc>
        <w:tc>
          <w:tcPr>
            <w:tcW w:w="212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2FE" w14:textId="49530CDE" w:rsidR="00066D28" w:rsidRPr="00CA185E" w:rsidRDefault="00117CE5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5194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F86E" w14:textId="28B4655E" w:rsidR="00066D28" w:rsidRPr="00CA185E" w:rsidRDefault="00610D3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Transfer. Product vendor must insure their assignments. Make i</w:t>
            </w:r>
            <w:r w:rsidR="005147D3">
              <w:rPr>
                <w:rStyle w:val="Strong"/>
                <w:color w:val="1F3864" w:themeColor="accent1" w:themeShade="80"/>
              </w:rPr>
              <w:t>t</w:t>
            </w:r>
            <w:r>
              <w:rPr>
                <w:rStyle w:val="Strong"/>
                <w:color w:val="1F3864" w:themeColor="accent1" w:themeShade="80"/>
              </w:rPr>
              <w:t xml:space="preserve"> mand</w:t>
            </w:r>
            <w:r w:rsidR="005147D3">
              <w:rPr>
                <w:rStyle w:val="Strong"/>
                <w:color w:val="1F3864" w:themeColor="accent1" w:themeShade="80"/>
              </w:rPr>
              <w:t>a</w:t>
            </w:r>
            <w:r>
              <w:rPr>
                <w:rStyle w:val="Strong"/>
                <w:color w:val="1F3864" w:themeColor="accent1" w:themeShade="80"/>
              </w:rPr>
              <w:t>tory</w:t>
            </w:r>
            <w:r w:rsidR="005147D3">
              <w:rPr>
                <w:rStyle w:val="Strong"/>
                <w:color w:val="1F3864" w:themeColor="accent1" w:themeShade="80"/>
              </w:rPr>
              <w:t xml:space="preserve"> criteria for vendors to have </w:t>
            </w:r>
            <w:r>
              <w:rPr>
                <w:rStyle w:val="Strong"/>
                <w:color w:val="1F3864" w:themeColor="accent1" w:themeShade="80"/>
              </w:rPr>
              <w:t>shipment insurance in place</w:t>
            </w:r>
            <w:r w:rsidR="005147D3">
              <w:rPr>
                <w:rStyle w:val="Strong"/>
                <w:color w:val="1F3864" w:themeColor="accent1" w:themeShade="80"/>
              </w:rPr>
              <w:t xml:space="preserve"> during their </w:t>
            </w:r>
            <w:r w:rsidR="00E15F8A">
              <w:rPr>
                <w:rStyle w:val="Strong"/>
                <w:color w:val="1F3864" w:themeColor="accent1" w:themeShade="80"/>
              </w:rPr>
              <w:t xml:space="preserve">service </w:t>
            </w:r>
            <w:r w:rsidR="005147D3">
              <w:rPr>
                <w:rStyle w:val="Strong"/>
                <w:color w:val="1F3864" w:themeColor="accent1" w:themeShade="80"/>
              </w:rPr>
              <w:t>tenure</w:t>
            </w:r>
            <w:r w:rsidR="00E15F8A">
              <w:rPr>
                <w:rStyle w:val="Strong"/>
                <w:color w:val="1F3864" w:themeColor="accent1" w:themeShade="80"/>
              </w:rPr>
              <w:t>.</w:t>
            </w:r>
          </w:p>
        </w:tc>
      </w:tr>
    </w:tbl>
    <w:p w14:paraId="76404163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A196A41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22A5D7D1" w14:textId="5818C02C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lastRenderedPageBreak/>
        <w:t>RISK TYPE TWO: Falling behind the training schedule</w:t>
      </w:r>
    </w:p>
    <w:tbl>
      <w:tblPr>
        <w:tblStyle w:val="a1"/>
        <w:tblW w:w="9730" w:type="dxa"/>
        <w:tblInd w:w="-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847"/>
        <w:gridCol w:w="4768"/>
      </w:tblGrid>
      <w:tr w:rsidR="00CA185E" w:rsidRPr="00CA185E" w14:paraId="639C643F" w14:textId="77777777" w:rsidTr="00E15F8A">
        <w:trPr>
          <w:trHeight w:val="378"/>
        </w:trPr>
        <w:tc>
          <w:tcPr>
            <w:tcW w:w="31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1A2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Scenario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0359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Risk to project (L/M/H)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2B99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Mitigation Plan</w:t>
            </w:r>
          </w:p>
        </w:tc>
      </w:tr>
      <w:tr w:rsidR="00CA185E" w:rsidRPr="00CA185E" w14:paraId="4381122A" w14:textId="77777777" w:rsidTr="00E15F8A">
        <w:tc>
          <w:tcPr>
            <w:tcW w:w="31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2A9" w14:textId="58A65489" w:rsidR="00066D28" w:rsidRPr="00CA185E" w:rsidRDefault="00186459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Your Training Manager gets sick and misses a week of training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B4D8" w14:textId="0578E5A5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85D6" w14:textId="3A016A7A" w:rsidR="00066D28" w:rsidRPr="00CA185E" w:rsidRDefault="005147D3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Accept. Have a buffer time added during finalizing the training period.</w:t>
            </w:r>
            <w:r w:rsidR="00D16C29" w:rsidRPr="00CA185E">
              <w:rPr>
                <w:rStyle w:val="Strong"/>
                <w:color w:val="1F3864" w:themeColor="accent1" w:themeShade="80"/>
              </w:rPr>
              <w:tab/>
            </w:r>
            <w:r w:rsidR="00D16C29" w:rsidRPr="00CA185E">
              <w:rPr>
                <w:rStyle w:val="Strong"/>
                <w:color w:val="1F3864" w:themeColor="accent1" w:themeShade="80"/>
              </w:rPr>
              <w:tab/>
            </w:r>
          </w:p>
        </w:tc>
      </w:tr>
      <w:tr w:rsidR="00CA185E" w:rsidRPr="00CA185E" w14:paraId="1073309E" w14:textId="77777777" w:rsidTr="00E15F8A">
        <w:tc>
          <w:tcPr>
            <w:tcW w:w="31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9F06" w14:textId="0005FF9D" w:rsidR="00066D28" w:rsidRPr="00CA185E" w:rsidRDefault="00A34CCF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You cannot hire enough employees in time to train them before launch.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8F87" w14:textId="6DC94193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M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32E3" w14:textId="5D70BB0C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Transfer. Hire a trained employee batch for a limited </w:t>
            </w:r>
            <w:proofErr w:type="gramStart"/>
            <w:r>
              <w:rPr>
                <w:rStyle w:val="Strong"/>
                <w:color w:val="1F3864" w:themeColor="accent1" w:themeShade="80"/>
              </w:rPr>
              <w:t>period of time</w:t>
            </w:r>
            <w:proofErr w:type="gramEnd"/>
            <w:r>
              <w:rPr>
                <w:rStyle w:val="Strong"/>
                <w:color w:val="1F3864" w:themeColor="accent1" w:themeShade="80"/>
              </w:rPr>
              <w:t xml:space="preserve"> from </w:t>
            </w:r>
            <w:r w:rsidR="008801B7">
              <w:rPr>
                <w:rStyle w:val="Strong"/>
                <w:color w:val="1F3864" w:themeColor="accent1" w:themeShade="80"/>
              </w:rPr>
              <w:t>a service vendor.</w:t>
            </w:r>
          </w:p>
        </w:tc>
      </w:tr>
      <w:tr w:rsidR="00CA185E" w:rsidRPr="00CA185E" w14:paraId="48A6651A" w14:textId="77777777" w:rsidTr="00E15F8A">
        <w:tc>
          <w:tcPr>
            <w:tcW w:w="31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E482" w14:textId="012BD679" w:rsidR="00066D28" w:rsidRPr="00CA185E" w:rsidRDefault="00A34CCF" w:rsidP="00904075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More than 50% of employees quit after a difficult training process, leaving the company short-staffed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112A" w14:textId="2E1A0DCF" w:rsidR="00066D28" w:rsidRPr="00CA185E" w:rsidRDefault="00A34CC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4C1A" w14:textId="2C108A63" w:rsidR="00066D28" w:rsidRPr="00CA185E" w:rsidRDefault="008801B7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Transfer. Hire a trained employee batch for a limited </w:t>
            </w:r>
            <w:proofErr w:type="gramStart"/>
            <w:r>
              <w:rPr>
                <w:rStyle w:val="Strong"/>
                <w:color w:val="1F3864" w:themeColor="accent1" w:themeShade="80"/>
              </w:rPr>
              <w:t>period of time</w:t>
            </w:r>
            <w:proofErr w:type="gramEnd"/>
            <w:r>
              <w:rPr>
                <w:rStyle w:val="Strong"/>
                <w:color w:val="1F3864" w:themeColor="accent1" w:themeShade="80"/>
              </w:rPr>
              <w:t xml:space="preserve"> from a service vendor.</w:t>
            </w:r>
            <w:r>
              <w:rPr>
                <w:rStyle w:val="Strong"/>
                <w:color w:val="1F3864" w:themeColor="accent1" w:themeShade="80"/>
              </w:rPr>
              <w:tab/>
            </w:r>
          </w:p>
        </w:tc>
      </w:tr>
    </w:tbl>
    <w:p w14:paraId="28564DDE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1F61697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Appendix:</w:t>
      </w:r>
    </w:p>
    <w:p w14:paraId="28CD69A3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6B5A5054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Probability chart:</w:t>
      </w:r>
    </w:p>
    <w:tbl>
      <w:tblPr>
        <w:tblStyle w:val="a2"/>
        <w:tblW w:w="97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3969"/>
        <w:gridCol w:w="4536"/>
      </w:tblGrid>
      <w:tr w:rsidR="00CA185E" w:rsidRPr="00CA185E" w14:paraId="069A5CDB" w14:textId="77777777" w:rsidTr="00E15F8A">
        <w:trPr>
          <w:trHeight w:val="151"/>
        </w:trPr>
        <w:tc>
          <w:tcPr>
            <w:tcW w:w="9772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6AE5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Probability</w:t>
            </w:r>
          </w:p>
        </w:tc>
      </w:tr>
      <w:tr w:rsidR="00CA185E" w:rsidRPr="00CA185E" w14:paraId="4C927D20" w14:textId="77777777" w:rsidTr="00E15F8A">
        <w:trPr>
          <w:trHeight w:val="30"/>
        </w:trPr>
        <w:tc>
          <w:tcPr>
            <w:tcW w:w="1267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8F89A" w14:textId="77777777" w:rsidR="00066D28" w:rsidRPr="00CA185E" w:rsidRDefault="00066D28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969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60AE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Qualitative</w:t>
            </w:r>
          </w:p>
        </w:tc>
        <w:tc>
          <w:tcPr>
            <w:tcW w:w="4536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C38F9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Quantitative (if measurable)</w:t>
            </w:r>
          </w:p>
        </w:tc>
      </w:tr>
      <w:tr w:rsidR="00CA185E" w:rsidRPr="00CA185E" w14:paraId="5C833648" w14:textId="77777777" w:rsidTr="00E15F8A">
        <w:trPr>
          <w:trHeight w:val="1545"/>
        </w:trPr>
        <w:tc>
          <w:tcPr>
            <w:tcW w:w="1267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71835" w14:textId="77777777" w:rsidR="00066D28" w:rsidRPr="00CA185E" w:rsidRDefault="00981EE1" w:rsidP="00D16C29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3969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86C18" w14:textId="77777777" w:rsidR="00066D28" w:rsidRPr="00CA185E" w:rsidRDefault="00981EE1" w:rsidP="00D16C2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Very low chance of risk occurring. </w:t>
            </w:r>
          </w:p>
        </w:tc>
        <w:tc>
          <w:tcPr>
            <w:tcW w:w="4536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78918" w14:textId="77777777" w:rsidR="00066D28" w:rsidRPr="00CA185E" w:rsidRDefault="00981EE1" w:rsidP="00D16C2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Less than &lt;10% chance of risk occurring.</w:t>
            </w:r>
          </w:p>
        </w:tc>
      </w:tr>
      <w:tr w:rsidR="00CA185E" w:rsidRPr="00CA185E" w14:paraId="2380E62C" w14:textId="77777777" w:rsidTr="00E15F8A">
        <w:trPr>
          <w:trHeight w:val="240"/>
        </w:trPr>
        <w:tc>
          <w:tcPr>
            <w:tcW w:w="1267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65CD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969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3B703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4536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0B5F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</w:tr>
      <w:tr w:rsidR="00CA185E" w:rsidRPr="00CA185E" w14:paraId="5D95BB46" w14:textId="77777777" w:rsidTr="00E15F8A">
        <w:trPr>
          <w:trHeight w:val="458"/>
        </w:trPr>
        <w:tc>
          <w:tcPr>
            <w:tcW w:w="1267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AF72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3969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7A253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 chance of risk occurring.</w:t>
            </w:r>
          </w:p>
        </w:tc>
        <w:tc>
          <w:tcPr>
            <w:tcW w:w="4536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B3539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10%-49% chance of risk occurring.</w:t>
            </w:r>
          </w:p>
        </w:tc>
      </w:tr>
      <w:tr w:rsidR="00CA185E" w:rsidRPr="00CA185E" w14:paraId="5A1C1348" w14:textId="77777777" w:rsidTr="00E15F8A">
        <w:trPr>
          <w:trHeight w:val="1425"/>
        </w:trPr>
        <w:tc>
          <w:tcPr>
            <w:tcW w:w="1267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E581A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3969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6B7F5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 chance of risk occurring.</w:t>
            </w:r>
          </w:p>
        </w:tc>
        <w:tc>
          <w:tcPr>
            <w:tcW w:w="4536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C1C07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50%-100% chance of risk occurring.</w:t>
            </w:r>
          </w:p>
        </w:tc>
      </w:tr>
      <w:tr w:rsidR="00CA185E" w:rsidRPr="00CA185E" w14:paraId="796EEE22" w14:textId="77777777" w:rsidTr="00E15F8A">
        <w:trPr>
          <w:trHeight w:val="481"/>
        </w:trPr>
        <w:tc>
          <w:tcPr>
            <w:tcW w:w="1267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C89BA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969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DC4C8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4536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FE9F3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</w:tr>
    </w:tbl>
    <w:p w14:paraId="20B9EA6D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7631A5D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Impact chart:</w:t>
      </w:r>
    </w:p>
    <w:p w14:paraId="4FF70F31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4"/>
        <w:gridCol w:w="2321"/>
        <w:gridCol w:w="2580"/>
        <w:gridCol w:w="2880"/>
      </w:tblGrid>
      <w:tr w:rsidR="00CA185E" w:rsidRPr="00CA185E" w14:paraId="66E6AC9C" w14:textId="77777777" w:rsidTr="00E15F8A">
        <w:trPr>
          <w:trHeight w:val="315"/>
        </w:trPr>
        <w:tc>
          <w:tcPr>
            <w:tcW w:w="1834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EA77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Types of Impact</w:t>
            </w:r>
          </w:p>
        </w:tc>
        <w:tc>
          <w:tcPr>
            <w:tcW w:w="2321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C3456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09D7D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67A82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741FEB5B" w14:textId="77777777" w:rsidTr="00E15F8A">
        <w:trPr>
          <w:trHeight w:val="450"/>
        </w:trPr>
        <w:tc>
          <w:tcPr>
            <w:tcW w:w="1834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8BF4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Financial</w:t>
            </w:r>
          </w:p>
        </w:tc>
        <w:tc>
          <w:tcPr>
            <w:tcW w:w="2321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EE221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Low financial impact, </w:t>
            </w:r>
          </w:p>
          <w:p w14:paraId="7E45F5EF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lastRenderedPageBreak/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8CBE2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lastRenderedPageBreak/>
              <w:t xml:space="preserve">Medium financial </w:t>
            </w:r>
            <w:r w:rsidRPr="00CA185E">
              <w:rPr>
                <w:rStyle w:val="Strong"/>
                <w:color w:val="1F3864" w:themeColor="accent1" w:themeShade="80"/>
              </w:rPr>
              <w:lastRenderedPageBreak/>
              <w:t xml:space="preserve">impact, </w:t>
            </w:r>
          </w:p>
          <w:p w14:paraId="4FB272E5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E9436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lastRenderedPageBreak/>
              <w:t xml:space="preserve">High financial impact, </w:t>
            </w:r>
          </w:p>
          <w:p w14:paraId="5AB88700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lastRenderedPageBreak/>
              <w:t>costing the company $30,000 or more</w:t>
            </w:r>
          </w:p>
        </w:tc>
      </w:tr>
      <w:tr w:rsidR="00CA185E" w:rsidRPr="00CA185E" w14:paraId="5D665342" w14:textId="77777777" w:rsidTr="00E15F8A">
        <w:trPr>
          <w:trHeight w:val="450"/>
        </w:trPr>
        <w:tc>
          <w:tcPr>
            <w:tcW w:w="1834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4F288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lastRenderedPageBreak/>
              <w:t>Operational</w:t>
            </w:r>
          </w:p>
        </w:tc>
        <w:tc>
          <w:tcPr>
            <w:tcW w:w="2321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8F13E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CD4F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Medium impact to project operations, </w:t>
            </w:r>
          </w:p>
          <w:p w14:paraId="20C03E38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FC11D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impact to project operations, </w:t>
            </w:r>
          </w:p>
          <w:p w14:paraId="7F40360B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with potential to cause project failure</w:t>
            </w:r>
          </w:p>
        </w:tc>
      </w:tr>
      <w:tr w:rsidR="00CA185E" w:rsidRPr="00CA185E" w14:paraId="1513146B" w14:textId="77777777" w:rsidTr="00E15F8A">
        <w:trPr>
          <w:trHeight w:val="855"/>
        </w:trPr>
        <w:tc>
          <w:tcPr>
            <w:tcW w:w="1834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4F035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People</w:t>
            </w:r>
          </w:p>
        </w:tc>
        <w:tc>
          <w:tcPr>
            <w:tcW w:w="232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FE3F1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8615A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B9A81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 impact to employee attrition, with 50%+ employees quitting</w:t>
            </w:r>
          </w:p>
        </w:tc>
      </w:tr>
    </w:tbl>
    <w:p w14:paraId="462E4822" w14:textId="47FDEDDE" w:rsidR="00066D28" w:rsidRPr="00CA185E" w:rsidRDefault="00792F06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ab/>
      </w:r>
      <w:r w:rsidRPr="00CA185E">
        <w:rPr>
          <w:rStyle w:val="Strong"/>
          <w:color w:val="1F3864" w:themeColor="accent1" w:themeShade="80"/>
        </w:rPr>
        <w:tab/>
      </w:r>
      <w:r w:rsidRPr="00CA185E">
        <w:rPr>
          <w:rStyle w:val="Strong"/>
          <w:color w:val="1F3864" w:themeColor="accent1" w:themeShade="80"/>
        </w:rPr>
        <w:tab/>
      </w:r>
    </w:p>
    <w:p w14:paraId="78EA8F10" w14:textId="0382382C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Probability and Impact Matrix:</w:t>
      </w:r>
      <w:r w:rsidR="00E15F8A">
        <w:rPr>
          <w:rStyle w:val="Strong"/>
          <w:color w:val="1F3864" w:themeColor="accent1" w:themeShade="80"/>
        </w:rPr>
        <w:t>ß</w:t>
      </w:r>
    </w:p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CA185E" w:rsidRPr="00CA185E" w14:paraId="01D50AD4" w14:textId="77777777" w:rsidTr="00E15F8A">
        <w:trPr>
          <w:trHeight w:val="58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F405D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Inherent Risk</w:t>
            </w:r>
          </w:p>
        </w:tc>
      </w:tr>
      <w:tr w:rsidR="00CA185E" w:rsidRPr="00CA185E" w14:paraId="728085F8" w14:textId="77777777" w:rsidTr="00E15F8A">
        <w:trPr>
          <w:trHeight w:val="20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D0EBA" w14:textId="77777777" w:rsidR="00066D28" w:rsidRPr="00CA185E" w:rsidRDefault="00066D28">
            <w:pPr>
              <w:widowControl w:val="0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AD9C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Impact</w:t>
            </w:r>
          </w:p>
        </w:tc>
      </w:tr>
      <w:tr w:rsidR="00CA185E" w:rsidRPr="00CA185E" w14:paraId="6CD3CB3C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07886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C893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8E956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C4084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55AAEDF3" w14:textId="77777777" w:rsidTr="00E15F8A">
        <w:trPr>
          <w:trHeight w:val="146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8C159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E333E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0CF6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1824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EB74E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</w:t>
            </w:r>
          </w:p>
        </w:tc>
      </w:tr>
      <w:tr w:rsidR="00CA185E" w:rsidRPr="00CA185E" w14:paraId="519DA609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7601E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F1466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E5B0E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8054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00CF2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5A19DD30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78681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FD788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C5FF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B2FC0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8D2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</w:tr>
    </w:tbl>
    <w:p w14:paraId="2D476F1A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287E0B2B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2B829056" w14:textId="77777777" w:rsidR="00A34CCF" w:rsidRPr="00CA185E" w:rsidRDefault="00A34CCF">
      <w:pPr>
        <w:rPr>
          <w:rStyle w:val="Strong"/>
          <w:color w:val="1F3864" w:themeColor="accent1" w:themeShade="80"/>
        </w:rPr>
      </w:pPr>
    </w:p>
    <w:p w14:paraId="5D84232B" w14:textId="77777777" w:rsidR="00792F06" w:rsidRPr="00CA185E" w:rsidRDefault="00792F06">
      <w:pPr>
        <w:rPr>
          <w:rStyle w:val="Strong"/>
          <w:color w:val="1F3864" w:themeColor="accent1" w:themeShade="80"/>
        </w:rPr>
      </w:pPr>
    </w:p>
    <w:p w14:paraId="79011AF1" w14:textId="77777777" w:rsidR="00904075" w:rsidRPr="00CA185E" w:rsidRDefault="00904075">
      <w:pPr>
        <w:rPr>
          <w:rStyle w:val="Strong"/>
          <w:color w:val="1F3864" w:themeColor="accent1" w:themeShade="80"/>
        </w:rPr>
      </w:pPr>
    </w:p>
    <w:sectPr w:rsidR="00904075" w:rsidRPr="00CA1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02DE" w14:textId="77777777" w:rsidR="008B5111" w:rsidRDefault="008B5111">
      <w:pPr>
        <w:spacing w:line="240" w:lineRule="auto"/>
      </w:pPr>
      <w:r>
        <w:separator/>
      </w:r>
    </w:p>
  </w:endnote>
  <w:endnote w:type="continuationSeparator" w:id="0">
    <w:p w14:paraId="0C2D9D66" w14:textId="77777777" w:rsidR="008B5111" w:rsidRDefault="008B5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3CD6" w14:textId="77777777" w:rsidR="006E42AD" w:rsidRDefault="006E4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B247" w14:textId="77777777" w:rsidR="006E42AD" w:rsidRDefault="006E42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90CA" w14:textId="77777777" w:rsidR="006E42AD" w:rsidRDefault="006E4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04CB" w14:textId="77777777" w:rsidR="008B5111" w:rsidRDefault="008B5111">
      <w:pPr>
        <w:spacing w:line="240" w:lineRule="auto"/>
      </w:pPr>
      <w:r>
        <w:separator/>
      </w:r>
    </w:p>
  </w:footnote>
  <w:footnote w:type="continuationSeparator" w:id="0">
    <w:p w14:paraId="44A1B0D0" w14:textId="77777777" w:rsidR="008B5111" w:rsidRDefault="008B5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645A2" w14:textId="77777777" w:rsidR="006E42AD" w:rsidRDefault="006E4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78E4" w14:textId="77777777" w:rsidR="00066D28" w:rsidRDefault="00066D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5238" w14:textId="77777777" w:rsidR="006E42AD" w:rsidRDefault="006E4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117CE5"/>
    <w:rsid w:val="00186459"/>
    <w:rsid w:val="00336647"/>
    <w:rsid w:val="00410041"/>
    <w:rsid w:val="005147D3"/>
    <w:rsid w:val="00610D3F"/>
    <w:rsid w:val="00673100"/>
    <w:rsid w:val="006E42AD"/>
    <w:rsid w:val="00764108"/>
    <w:rsid w:val="00792F06"/>
    <w:rsid w:val="007C5345"/>
    <w:rsid w:val="008801B7"/>
    <w:rsid w:val="008B5111"/>
    <w:rsid w:val="00904075"/>
    <w:rsid w:val="00926A49"/>
    <w:rsid w:val="00956794"/>
    <w:rsid w:val="00981EE1"/>
    <w:rsid w:val="00A34CCF"/>
    <w:rsid w:val="00AA23EB"/>
    <w:rsid w:val="00AB0C29"/>
    <w:rsid w:val="00CA185E"/>
    <w:rsid w:val="00CB7471"/>
    <w:rsid w:val="00D16C29"/>
    <w:rsid w:val="00E15F8A"/>
    <w:rsid w:val="00ED1CAC"/>
    <w:rsid w:val="00F3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8AA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C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42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AD"/>
  </w:style>
  <w:style w:type="paragraph" w:styleId="Footer">
    <w:name w:val="footer"/>
    <w:basedOn w:val="Normal"/>
    <w:link w:val="FooterChar"/>
    <w:uiPriority w:val="99"/>
    <w:unhideWhenUsed/>
    <w:rsid w:val="006E42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AD"/>
  </w:style>
  <w:style w:type="character" w:customStyle="1" w:styleId="Heading7Char">
    <w:name w:val="Heading 7 Char"/>
    <w:basedOn w:val="DefaultParagraphFont"/>
    <w:link w:val="Heading7"/>
    <w:uiPriority w:val="9"/>
    <w:rsid w:val="00ED1C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C53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37143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C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A34CC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Ananda Bhaumik</cp:lastModifiedBy>
  <cp:revision>3</cp:revision>
  <dcterms:created xsi:type="dcterms:W3CDTF">2022-01-12T20:35:00Z</dcterms:created>
  <dcterms:modified xsi:type="dcterms:W3CDTF">2022-01-12T20:35:00Z</dcterms:modified>
</cp:coreProperties>
</file>