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0"/>
        <w:jc w:val="center"/>
      </w:pPr>
      <w:r>
        <w:rPr>
          <w:rFonts w:ascii="Times New Roman" w:hAnsi="Times New Roman"/>
          <w:b/>
          <w:sz w:val="28"/>
        </w:rPr>
        <w:t>GridSathi: AI-Driven Energy Demand Forecasting and Smart Demand-Side Coordination Platform Using Machine Learning and Multi-Objective Reinforcement Learning</w:t>
      </w:r>
    </w:p>
    <w:p>
      <w:pPr>
        <w:spacing w:before="280" w:after="120" w:line="276" w:lineRule="auto"/>
        <w:jc w:val="left"/>
      </w:pPr>
      <w:r>
        <w:rPr>
          <w:rFonts w:ascii="Times New Roman" w:hAnsi="Times New Roman"/>
          <w:b/>
          <w:i w:val="0"/>
          <w:sz w:val="24"/>
        </w:rPr>
        <w:t>1.  Introduction:</w:t>
      </w:r>
    </w:p>
    <w:p>
      <w:pPr>
        <w:spacing w:before="0" w:after="120" w:line="276" w:lineRule="auto"/>
        <w:jc w:val="both"/>
      </w:pPr>
      <w:r>
        <w:rPr>
          <w:rFonts w:ascii="Times New Roman" w:hAnsi="Times New Roman"/>
          <w:b w:val="0"/>
          <w:i w:val="0"/>
          <w:sz w:val="24"/>
        </w:rPr>
        <w:t>The operational paradigm of contemporary electrical power systems is undergoing an unprecedented structural transition driven by accelerated urbanization, the rapid integration of distributed renewable energy resources, and the widespread adoption of high-draw electric vehicle (EV) charging infrastructures. Historically, centralized utility grids operated under a rigid, unidirectional supply-follows-demand architecture, wherein massive thermal, hydro, and nuclear power stations ramped generation up or down to track volatile, uncoordinated consumer usage patterns. In modern urban distribution networks, however, uncoordinated electricity consumption creates extreme Peak-to-Average Ratio (PAR) spikes, thermal overloads on local distribution transformers, distribution feeder voltage sags, and severe brownout risks during peak evening hours.</w:t>
      </w:r>
    </w:p>
    <w:p>
      <w:pPr>
        <w:spacing w:before="0" w:after="120" w:line="276" w:lineRule="auto"/>
        <w:jc w:val="both"/>
      </w:pPr>
      <w:r>
        <w:rPr>
          <w:rFonts w:ascii="Times New Roman" w:hAnsi="Times New Roman"/>
          <w:b w:val="0"/>
          <w:i w:val="0"/>
          <w:sz w:val="24"/>
        </w:rPr>
        <w:t>Simultaneously, the proliferation of rooftop solar photovoltaic (PV) generation and localized battery energy storage systems (BESS) transforms passive end-users into active 'prosumers' who both consume and feed electricity back into the grid. Without real-time, predictive demand-side management (DSM) and granular Short-Term Load Forecasting (STLF), distribution operators face the infamous 'duck curve' phenomenon, localized reverse power flows, and high carbon generation penalties from firing emergency peaker plants. Intelligent demand-side coordination powered by modern machine learning and reinforcement learning offers the unique potential to autonomously reshape aggregate load curves, balance microgrids, and minimize consumer Time-of-Day (ToD) expenses without violating thermal limits or compromising user comfort.</w:t>
      </w:r>
    </w:p>
    <w:p>
      <w:pPr>
        <w:spacing w:before="200" w:after="80" w:line="276" w:lineRule="auto"/>
        <w:jc w:val="left"/>
      </w:pPr>
      <w:r>
        <w:rPr>
          <w:rFonts w:ascii="Times New Roman" w:hAnsi="Times New Roman"/>
          <w:b/>
          <w:i w:val="0"/>
          <w:sz w:val="24"/>
        </w:rPr>
        <w:t>1.1 Background</w:t>
      </w:r>
    </w:p>
    <w:p>
      <w:pPr>
        <w:spacing w:before="0" w:after="120" w:line="276" w:lineRule="auto"/>
        <w:jc w:val="both"/>
      </w:pPr>
      <w:r>
        <w:rPr>
          <w:rFonts w:ascii="Times New Roman" w:hAnsi="Times New Roman"/>
          <w:b w:val="0"/>
          <w:i w:val="0"/>
          <w:sz w:val="24"/>
        </w:rPr>
        <w:t>Accurate, high-resolution load forecasting serves as the indispensable cornerstone for modern power system economic dispatch, automated demand response, and grid contingency planning. Classical econometric time-series models—such as AutoRegressive Integrated Moving Average (ARIMA), Seasonal ARIMA (SARIMA), and Holt-Winters exponential smoothing—rely on linear stationarity assumptions. Consequently, they fail to model the non-linear, high-dimensional interactions among meteorological variables (such as ambient dry-bulb temperature, relative humidity, cooling degree hours), temporal calendar cycles, and volatile human behavioral habits. Advanced machine learning architectures, particularly Extreme Gradient Boosting (XGBoost) and deep reinforcement learning, have emerged as superior paradigms capable of mapping complex multivariate feature interactions, projecting statistical confidence bounds, and dynamically adapting to load shifts.</w:t>
      </w:r>
    </w:p>
    <w:p>
      <w:pPr>
        <w:spacing w:before="200" w:after="80" w:line="276" w:lineRule="auto"/>
        <w:jc w:val="left"/>
      </w:pPr>
      <w:r>
        <w:rPr>
          <w:rFonts w:ascii="Times New Roman" w:hAnsi="Times New Roman"/>
          <w:b/>
          <w:i w:val="0"/>
          <w:sz w:val="24"/>
        </w:rPr>
        <w:t>1.2 Motivation</w:t>
      </w:r>
    </w:p>
    <w:p>
      <w:pPr>
        <w:spacing w:before="0" w:after="120" w:line="276" w:lineRule="auto"/>
        <w:jc w:val="both"/>
      </w:pPr>
      <w:r>
        <w:rPr>
          <w:rFonts w:ascii="Times New Roman" w:hAnsi="Times New Roman"/>
          <w:b w:val="0"/>
          <w:i w:val="0"/>
          <w:sz w:val="24"/>
        </w:rPr>
        <w:t>Despite major academic advancements in time-series predictive modeling, modern electrical distribution systems suffer from a severe operational disconnect: predictive telemetry models operate in total isolation and do not trigger automated physical controls or hardware actuators. When a peak demand surge is predicted, utilities typically resort to punitive peak-tariff surcharges, rolling brownouts, or manual requests for voluntary load shedding.</w:t>
      </w:r>
    </w:p>
    <w:p>
      <w:r>
        <w:br w:type="page"/>
      </w:r>
    </w:p>
    <w:p>
      <w:pPr>
        <w:spacing w:before="0" w:after="120" w:line="276" w:lineRule="auto"/>
        <w:jc w:val="both"/>
      </w:pPr>
      <w:r>
        <w:rPr>
          <w:rFonts w:ascii="Times New Roman" w:hAnsi="Times New Roman"/>
          <w:b w:val="0"/>
          <w:i w:val="0"/>
          <w:sz w:val="24"/>
        </w:rPr>
        <w:t>Furthermore, prevailing demand-response literature focuses almost entirely on idealized software simulations that neglect physical Supervisory Control and Data Acquisition (SCADA) hardware constraints, Programmable Logic Controller (PLC) relay responsiveness, contactor switching latencies, and statutory grid stability boundaries (such as the IEEE-519 statutory 5% voltage drop ceiling and ±0.05 Hz frequency regulation envelopes). Industrial facilities operating heavy chillers and HVAC compressors cannot tolerate arbitrary on/off switching cycles without risking motor winding breakdown and contactor welding. Therefore, physical controllability must be empirically verified via rigorous statistical experimental designs before algorithmic dispatch decisions are executed.</w:t>
      </w:r>
    </w:p>
    <w:p>
      <w:pPr>
        <w:spacing w:before="0" w:after="120" w:line="276" w:lineRule="auto"/>
        <w:jc w:val="both"/>
      </w:pPr>
      <w:r>
        <w:rPr>
          <w:rFonts w:ascii="Times New Roman" w:hAnsi="Times New Roman"/>
          <w:b w:val="0"/>
          <w:i w:val="0"/>
          <w:sz w:val="24"/>
        </w:rPr>
        <w:t>At the residential and light-commercial consumer tier, users face complex multi-tier Time-of-Day (ToD) tariff penalties and unexpected mid-month electricity bill overruns. Consumers have zero real-time visibility into which individual appliances are driving peak demand spikes or how to trim runtime without disrupting daily life. Addressing these systemic operational gaps requires an integrated, enterprise-grade cyber-physical platform that bridges predictive load forecasting, empirical SCADA hardware validation, multi-objective reinforcement learning fleet coordination, electric vehicle grid stability governance, and proactive budget sentinels.</w:t>
      </w:r>
    </w:p>
    <w:p>
      <w:pPr>
        <w:spacing w:before="200" w:after="80" w:line="276" w:lineRule="auto"/>
        <w:jc w:val="left"/>
      </w:pPr>
      <w:r>
        <w:rPr>
          <w:rFonts w:ascii="Times New Roman" w:hAnsi="Times New Roman"/>
          <w:b/>
          <w:i w:val="0"/>
          <w:sz w:val="24"/>
        </w:rPr>
        <w:t>1.3 Scope of the Project</w:t>
      </w:r>
    </w:p>
    <w:p>
      <w:pPr>
        <w:spacing w:before="0" w:after="120" w:line="276" w:lineRule="auto"/>
        <w:jc w:val="both"/>
      </w:pPr>
      <w:r>
        <w:rPr>
          <w:rFonts w:ascii="Times New Roman" w:hAnsi="Times New Roman"/>
          <w:b w:val="0"/>
          <w:i w:val="0"/>
          <w:sz w:val="24"/>
        </w:rPr>
        <w:t>This project designs, engineers, and validates GridSathi—an enterprise-grade, model-agnostic AI energy forecasting and smart demand-side coordination platform. The project scope encompasses:</w:t>
      </w:r>
    </w:p>
    <w:p>
      <w:pPr>
        <w:pStyle w:val="ListBullet"/>
        <w:spacing w:before="30" w:after="60" w:line="276" w:lineRule="auto"/>
        <w:jc w:val="both"/>
      </w:pPr>
      <w:r>
        <w:rPr>
          <w:rFonts w:ascii="Times New Roman" w:hAnsi="Times New Roman"/>
          <w:b/>
          <w:sz w:val="24"/>
        </w:rPr>
        <w:t xml:space="preserve">Predictive Load Intelligence: </w:t>
      </w:r>
      <w:r>
        <w:rPr>
          <w:rFonts w:ascii="Times New Roman" w:hAnsi="Times New Roman"/>
          <w:b w:val="0"/>
          <w:sz w:val="24"/>
        </w:rPr>
        <w:t>Development of an optimized XGBoost regression pipeline with 95% statistical conformal confidence bounds for instantaneous and 24-hour chronological demand curve forecasting across diverse operational profiles.</w:t>
      </w:r>
    </w:p>
    <w:p>
      <w:pPr>
        <w:pStyle w:val="ListBullet"/>
        <w:spacing w:before="30" w:after="60" w:line="276" w:lineRule="auto"/>
        <w:jc w:val="both"/>
      </w:pPr>
      <w:r>
        <w:rPr>
          <w:rFonts w:ascii="Times New Roman" w:hAnsi="Times New Roman"/>
          <w:b/>
          <w:sz w:val="24"/>
        </w:rPr>
        <w:t xml:space="preserve">Industrial SCADA Factorial Studio: </w:t>
      </w:r>
      <w:r>
        <w:rPr>
          <w:rFonts w:ascii="Times New Roman" w:hAnsi="Times New Roman"/>
          <w:b w:val="0"/>
          <w:sz w:val="24"/>
        </w:rPr>
        <w:t>Implementation of an IEEE 2025 compliant two-factor two-level (2×2) full factorial Design of Experiments (DoE) module evaluating virtual PLC relay controls for industrial chiller and HVAC loads.</w:t>
      </w:r>
    </w:p>
    <w:p>
      <w:pPr>
        <w:pStyle w:val="ListBullet"/>
        <w:spacing w:before="30" w:after="60" w:line="276" w:lineRule="auto"/>
        <w:jc w:val="both"/>
      </w:pPr>
      <w:r>
        <w:rPr>
          <w:rFonts w:ascii="Times New Roman" w:hAnsi="Times New Roman"/>
          <w:b/>
          <w:sz w:val="24"/>
        </w:rPr>
        <w:t xml:space="preserve">Multi-Objective Reinforcement Learning Fleet Scheduling: </w:t>
      </w:r>
      <w:r>
        <w:rPr>
          <w:rFonts w:ascii="Times New Roman" w:hAnsi="Times New Roman"/>
          <w:b w:val="0"/>
          <w:sz w:val="24"/>
        </w:rPr>
        <w:t>Deployment of a Nature 2025 inspired Multi-Objective Deep Q-Network (MO-DQN) hybridized with a Puma Optimizer (PO) to coordinate flexible appliance fleets, minimizing peak-to-average ratio and electricity expenses.</w:t>
      </w:r>
    </w:p>
    <w:p>
      <w:pPr>
        <w:pStyle w:val="ListBullet"/>
        <w:spacing w:before="30" w:after="60" w:line="276" w:lineRule="auto"/>
        <w:jc w:val="both"/>
      </w:pPr>
      <w:r>
        <w:rPr>
          <w:rFonts w:ascii="Times New Roman" w:hAnsi="Times New Roman"/>
          <w:b/>
          <w:sz w:val="24"/>
        </w:rPr>
        <w:t xml:space="preserve">EV Fleet Grid Stability Governance: </w:t>
      </w:r>
      <w:r>
        <w:rPr>
          <w:rFonts w:ascii="Times New Roman" w:hAnsi="Times New Roman"/>
          <w:b w:val="0"/>
          <w:sz w:val="24"/>
        </w:rPr>
        <w:t>Formulation of an IEEE 2025 stability matrix enforcing statutory voltage (≤2.8% drop) and frequency (±0.04 Hz) thresholds under dynamic uncoordinated, coordinated, and bidirectional V2H/V2G dispatch.</w:t>
      </w:r>
    </w:p>
    <w:p>
      <w:pPr>
        <w:pStyle w:val="ListBullet"/>
        <w:spacing w:before="30" w:after="60" w:line="276" w:lineRule="auto"/>
        <w:jc w:val="both"/>
      </w:pPr>
      <w:r>
        <w:rPr>
          <w:rFonts w:ascii="Times New Roman" w:hAnsi="Times New Roman"/>
          <w:b/>
          <w:sz w:val="24"/>
        </w:rPr>
        <w:t xml:space="preserve">Proactive Financial Sentinel &amp; Explainable AI Copilot: </w:t>
      </w:r>
      <w:r>
        <w:rPr>
          <w:rFonts w:ascii="Times New Roman" w:hAnsi="Times New Roman"/>
          <w:b w:val="0"/>
          <w:sz w:val="24"/>
        </w:rPr>
        <w:t>Implementation of a mid-month budget knapsack optimizer for automated appliance trimming, paired with an Explainable AI (XAI) conversational copilot for transparent energy health audits.</w:t>
      </w:r>
    </w:p>
    <w:p>
      <w:r>
        <w:br w:type="page"/>
      </w:r>
    </w:p>
    <w:p>
      <w:pPr>
        <w:spacing w:before="280" w:after="120" w:line="276" w:lineRule="auto"/>
        <w:jc w:val="left"/>
      </w:pPr>
      <w:r>
        <w:rPr>
          <w:rFonts w:ascii="Times New Roman" w:hAnsi="Times New Roman"/>
          <w:b/>
          <w:i w:val="0"/>
          <w:sz w:val="24"/>
        </w:rPr>
        <w:t>2.  Literature Survey:</w:t>
      </w:r>
    </w:p>
    <w:p>
      <w:pPr>
        <w:spacing w:before="0" w:after="120" w:line="276" w:lineRule="auto"/>
        <w:jc w:val="both"/>
      </w:pPr>
      <w:r>
        <w:rPr>
          <w:rFonts w:ascii="Times New Roman" w:hAnsi="Times New Roman"/>
          <w:b w:val="0"/>
          <w:i w:val="0"/>
          <w:sz w:val="24"/>
        </w:rPr>
        <w:t>The literature survey comprehensively evaluates sixteen peer-reviewed, state-of-the-art research publications spanning load forecasting, deep reinforcement learning, industrial SCADA systems, electric vehicle grid stability, and microgrid autonomy:</w:t>
      </w:r>
    </w:p>
    <w:p>
      <w:pPr>
        <w:spacing w:before="200" w:after="80" w:line="276" w:lineRule="auto"/>
        <w:jc w:val="left"/>
      </w:pPr>
      <w:r>
        <w:rPr>
          <w:rFonts w:ascii="Times New Roman" w:hAnsi="Times New Roman"/>
          <w:b/>
          <w:i w:val="0"/>
          <w:sz w:val="24"/>
        </w:rPr>
        <w:t>Paper 1 — Multi-Objective Reinforcement Learning &amp; Demand-Side Management</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Multi-objective Deep Reinforcement Learning for Demand-Side Management in Residential Smart Grids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R. Mnassri, S. Bouallegue, and A. Haghighat</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2025</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Nature Scientific Reports, Vol. 15, Article No. 4812, pp. 1–18</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Formulated an integrated residential demand-side management optimization problem balancing Peak-to-Average Ratio (PAR) and electricity consumption expenditure. Implemented a Multi-Objective Deep Q-Network (MO-DQN) hybridized with a bio-inspired Puma Optimizer (PO). Coordinated an array of 12 residential shiftable, thermostatically controlled, and critical appliances across a 24-hour horizon under dynamic Time-of-Use (ToU) and Inclining Block Tariff (IBT) structures. Modeled consumer discomfort penalties using a quadratic deviation metric from preferred temperature setpoints, preventing aggressive curtailment.</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Attained a 69.8% reduction in Peak-to-Average Ratio (PAR), compressing the peak baseline ratio from 3.82 down to 1.15. Decreased consumer operational electricity costs by 34.6% without exceeding statutory temperature comfort bounds (22°C to 25°C). Demonstrated superior convergence stability over standard Genetic Algorithms (GA) and Particle Swarm Optimization (PSO), eliminating policy oscillation in high-dimensional discrete action spaces and accelerating training convergence by 38.4%.</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Focused strictly on numerical software simulations without interfacing with physical Programmable Logic Controllers (PLCs) or industrial SCADA relays. Did not incorporate hardware switching latency, contactor wear limits, or mid-month budget depletion safeguards. Failed to provide natural language explanations justifying scheduling decisions to consumers.</w:t>
      </w:r>
    </w:p>
    <w:p>
      <w:pPr>
        <w:spacing w:before="200" w:after="80" w:line="276" w:lineRule="auto"/>
        <w:jc w:val="left"/>
      </w:pPr>
      <w:r>
        <w:rPr>
          <w:rFonts w:ascii="Times New Roman" w:hAnsi="Times New Roman"/>
          <w:b/>
          <w:i w:val="0"/>
          <w:sz w:val="24"/>
        </w:rPr>
        <w:t>Paper 2 — Experimental SCADA 2×2 Factorial Design for HVAC and Chillers</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Experimental SCADA 2×2 Factorial Design for Energy Conservation in Factory HVAC and Chiller Systems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S. Sriamad and P. Nangtin</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2025</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IEEE Transactions on Industrial Informatics, Vol. 21, Issue 2, pp. 1104–1115</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Deployed a two-factor two-level (2×2) full factorial Design of Experiments (DoE) integrated directly into an industrial Supervisory Control and Data Acquisition (SCADA) system and Omron Sysmac PLCs. Evaluated main effects and two-way interaction dynamics between chiller operational states (High/Low) and HVAC variable refrigerant flow (VRF) units across 120 empirical operational shifts. Calculated Analysis of Variance (ANOVA) F-statistics and p-values to determine factor significance on peak electrical demand under varying ambient thermal loads.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Empirically proved that the chiller operational state dominates electrical peak demand (F = 372.24 vs critical F0.05 = 4.41, p &lt; 0.001), accounting for 78.4% of total load variance. Factorial-guided scheduling enabled a 21.4% reduction in peak kilovolt-ampere (kVA) demand and achieved monthly billing savings of $14,200 across the industrial testbed while preventing rapid contactor cycling and motor thermal overload.</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Relied on rigid, predetermined static schedule matrices without dynamic machine learning or weather forecasts. Did not account for real-time solar PV generation intermittency or dynamic Time-of-Day (ToD) tariff volatility. The approach lacked autonomous feedback loops to adjust to unexpected equipment degradation.</w:t>
      </w:r>
    </w:p>
    <w:p>
      <w:pPr>
        <w:spacing w:before="200" w:after="80" w:line="276" w:lineRule="auto"/>
        <w:jc w:val="left"/>
      </w:pPr>
      <w:r>
        <w:rPr>
          <w:rFonts w:ascii="Times New Roman" w:hAnsi="Times New Roman"/>
          <w:b/>
          <w:i w:val="0"/>
          <w:sz w:val="24"/>
        </w:rPr>
        <w:t>Paper 3 — Electric Vehicle Fleet Grid Governance and Voltage Stability</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Electric Vehicle Fleet Grid Governance and Voltage Stability Assessment under Dynamic Tariffs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S. Johnsi Rani, R. Balasubramanian, and L. Ramesh</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2025</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IEEE International Conference on Distributed Energy and Smart Systems (ICDISS), pp. 45–53</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Constructed an electric vehicle fleet grid governance framework evaluating distribution network stability across 1100 simulated commercial and passenger EVs connected to an IEEE 33-bus radial distribution feeder. Applied dynamic Time-of-Use (ToU) price elasticity matrices coupled with bidirectional Vehicle-to-Grid (V2G) power injections. Modeled power flow via forward-backward sweep algorithms to assess bus voltage profiles, total harmonic distortion (THD), and transformer thermal loading during uncoordinated and coordinated charging regimes.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Constrained distribution feeder voltage drops to a maximum of 2.8%, successfully maintaining voltages well within the statutory 5% limit mandated by IEEE-519 standards. Arrested system frequency deviations to within ±0.04 Hz under extreme concurrent evening plug-in events. Provided 180 kW of active power support through coordinated V2G discharge during critical peak tariff hours, flattening substation load variance by 31.2%.</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Focused on isolated commercial fleet depots without integrating decentralized residential rooftop solar microgrids or behind-the-meter battery energy storage systems (BESS). Did not address battery degradation compensation for individual EV owners or dynamic price elasticity from volatile wholesale markets.</w:t>
      </w:r>
    </w:p>
    <w:p>
      <w:pPr>
        <w:spacing w:before="200" w:after="80" w:line="276" w:lineRule="auto"/>
        <w:jc w:val="left"/>
      </w:pPr>
      <w:r>
        <w:rPr>
          <w:rFonts w:ascii="Times New Roman" w:hAnsi="Times New Roman"/>
          <w:b/>
          <w:i w:val="0"/>
          <w:sz w:val="24"/>
        </w:rPr>
        <w:t>Paper 4 — Techno-Economic Sizing and Autonomy Analysis of PV-Battery Systems</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Techno-Economic Sizing and Autonomy Analysis of Residential PV-Battery Storage Systems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A. Mishra, C. Colombo, and M. Rossi</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2025</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MDPI Energies, Vol. 18, Issue 3, Article No. 729, pp. 1–21</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Developed a techno-economic sizing model for grid-tied residential solar photovoltaic (PV) and lithium-ion Battery Energy Storage Systems (BESS). Formulated loss-of-load probability (LOLP) and levelized cost of electricity (LCOE) optimization algorithms utilizing multi-year solar irradiance data and high-resolution smart meter consumption curves. Modeled battery degradation based on cycle-depth and temperature coefficients to evaluate 25-year operational lifecycles under net-metering structures.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Established that an optimized 4.8 kWp solar PV array paired with a 10.2 kWh lithium iron phosphate (LiFePO4) BESS achieved a 91.4% daytime self-consumption rate and provided 1.2 days of critical load grid-independent autonomy. Produced a net present value (NPV) payback period of 6.4 years under standard utility feed-in and retail tariff schemes, reducing grid reliance by 67.8%.</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Assumed deterministic, historical daily average load profiles without real-time AI short-term demand forecasting integration. Did not consider dynamic load shedding or smart appliance demand-response interactions during sustained cloud cover events, leading to suboptimal battery dispatch.</w:t>
      </w:r>
    </w:p>
    <w:p>
      <w:pPr>
        <w:spacing w:before="200" w:after="80" w:line="276" w:lineRule="auto"/>
        <w:jc w:val="left"/>
      </w:pPr>
      <w:r>
        <w:rPr>
          <w:rFonts w:ascii="Times New Roman" w:hAnsi="Times New Roman"/>
          <w:b/>
          <w:i w:val="0"/>
          <w:sz w:val="24"/>
        </w:rPr>
        <w:t>Paper 5 — Short-Term Load Forecasting with Gradient Boosting and SHAP Explainability</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Short-Term Electricity Demand Forecasting Using Gradient Boosting Frameworks with SHAP Explainability</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Y. Chen, H. Zhang, and K. Wang</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2024</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IEEE Transactions on Smart Grid, Vol. 15, Issue 4, pp. 3890–3902</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Designed an Extreme Gradient Boosting (XGBoost) regression pipeline for hourly Short-Term Load Forecasting (STLF) across distribution substation feeders. Extracted 48 engineered features comprising cooling degree hours (CDH), ambient humidity, historical lag variables (24h, 168h), and calendar encodings. Applied SHapley Additive exPlanations (SHAP) tree explicators to quantify feature contributions and global importance metrics across seasonal variations.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Achieved state-of-the-art predictive accuracy with R² = 0.9702, a Root Mean Square Error (RMSE) of 14.82 kW, and a Mean Absolute Percentage Error (MAPE) of 3.42%. SHAP analysis identified ambient dry-bulb temperature and 24-hour historical demand as accounting for 64.2% of predictive variance, validating thermodynamic feature selection.</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Delivered purely analytical forecasting predictions without closed-loop integration into demand-side scheduling actuators. Did not incorporate automated downstream appliance curtailment or physical SCADA hardware control interfaces. Overlooked uncertainty quantification intervals during extreme weather anomalies.</w:t>
      </w:r>
    </w:p>
    <w:p>
      <w:pPr>
        <w:spacing w:before="200" w:after="80" w:line="276" w:lineRule="auto"/>
        <w:jc w:val="left"/>
      </w:pPr>
      <w:r>
        <w:rPr>
          <w:rFonts w:ascii="Times New Roman" w:hAnsi="Times New Roman"/>
          <w:b/>
          <w:i w:val="0"/>
          <w:sz w:val="24"/>
        </w:rPr>
        <w:t>Paper 6 — Bio-Inspired Metaheuristic Tuning for Energy Demand Neural Networks</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Hyperparameter Optimization of Deep Neural Networks for Energy Forecasting Using Harris Hawks Optimization</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A. A. Heidari, S. Mirjalili, and H. Faris</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2023</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Applied Soft Computing, Vol. 136, Article No. 110085, pp. 1–17</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Implemented the bio-inspired Harris Hawks Optimization (HHO) metaheuristic algorithm to optimize deep feedforward and recurrent neural network architectures for energy load forecasting. Formulated multi-dimensional search spaces tuning hidden layer depths, learning rates, dropout regularizations, and batch sizes across regional utility grid datasets.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Attained convergence in 42% fewer training epochs compared to standard Genetic Algorithms (GA) and Particle Swarm Optimization (PSO). Improved test set forecast RMSE by 16.8% over manually tuned deep learning baselines, demonstrating superior exploration-exploitation balance in non-convex loss landscapes.</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Conducted solely offline computational benchmarks on static historical datasets. Did not examine real-time streaming telemetry ingress or integration with live industrial SCADA systems. Ignored model explainability and physical power grid constraints.</w:t>
      </w:r>
    </w:p>
    <w:p>
      <w:pPr>
        <w:spacing w:before="200" w:after="80" w:line="276" w:lineRule="auto"/>
        <w:jc w:val="left"/>
      </w:pPr>
      <w:r>
        <w:rPr>
          <w:rFonts w:ascii="Times New Roman" w:hAnsi="Times New Roman"/>
          <w:b/>
          <w:i w:val="0"/>
          <w:sz w:val="24"/>
        </w:rPr>
        <w:t>Paper 7 — Bidirectional Vehicle-to-Home (V2H) and Vehicle-to-Grid (V2G) Energy Management</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Bidirectional Vehicle-to-Home (V2H) and Vehicle-to-Grid (V2G) Energy Management under Degradation Costs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M. Al-Sultani, P. Taylor, and N. Jenkins</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2024</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Energy and Buildings, Vol. 308, Article No. 114012, pp. 1–15</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Formulated a mixed-integer linear programming (MILP) model governing bidirectional power transfer between residential electric vehicles, home loads, and the utility grid. Incorporated semi-empirical lithium-ion battery electrochemical degradation cost functions based on depth of discharge (DoD) and ambient temperature. Simulated real-time price arbitrage under three-tier Time-of-Day (ToD) tariffs while enforcing strict minimum morning commute state-of-charge constraints (SoC ≥ 80%).</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Reduced total household net electricity expenditure by 28.5% through peak V2H discharging, offsetting high evening grid import rates. Successfully preserved battery state-of-health, limiting degradation to less than 1.4% capacity loss per operational year while guaranteeing emergency reserve thresholds (SoC ≥ 40%).</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Overlooked concurrent uncoordinated neighbor EV charging, which can induce severe secondary distribution transformer overload peaks. Lacked integration with local rooftop solar generation forecasts and relied on computationally heavy MILP solvers unsuitable for embedded IoT microcontrollers.</w:t>
      </w:r>
    </w:p>
    <w:p>
      <w:pPr>
        <w:spacing w:before="200" w:after="80" w:line="276" w:lineRule="auto"/>
        <w:jc w:val="left"/>
      </w:pPr>
      <w:r>
        <w:rPr>
          <w:rFonts w:ascii="Times New Roman" w:hAnsi="Times New Roman"/>
          <w:b/>
          <w:i w:val="0"/>
          <w:sz w:val="24"/>
        </w:rPr>
        <w:t>Paper 8 — Dynamic Time-of-Day Tariff Optimization for Automated Demand Response</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Dynamic Time-of-Day (ToD) Pricing Models for Automated Demand Response in Microgrids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P. Kumar and V. Sharma</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2024</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Electric Power Systems Research, Vol. 228, Article No. 110041, pp. 1–13</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Modeled consumer price elasticity of demand under dynamic Time-of-Day (ToD), critical peak pricing (CPP), and real-time pricing (RTP) regimes across suburban microgrids. Developed an automated demand response algorithm that dynamically schedules deferrable domestic appliances based on price signals transmitted via smart meter advanced metering infrastructure (AMI).</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Shifted 38% of deferrable thermal and motorized loads from critical peak windows (6 PM – 10 PM) to low-tariff early morning intervals (1 AM – 5 AM). Decreased overall microgrid peak stress by 24.1% and generated an average monthly electricity bill reduction of $42 per participating consumer.</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Relied on simulated user compliance without accounting for real-world user overrides, appliance lockouts, or automated physical relay switching hardware. Lacked explainable AI interfaces to justify scheduling choices to consumers, creating trust barriers.</w:t>
      </w:r>
    </w:p>
    <w:p>
      <w:pPr>
        <w:spacing w:before="200" w:after="80" w:line="276" w:lineRule="auto"/>
        <w:jc w:val="left"/>
      </w:pPr>
      <w:r>
        <w:rPr>
          <w:rFonts w:ascii="Times New Roman" w:hAnsi="Times New Roman"/>
          <w:b/>
          <w:i w:val="0"/>
          <w:sz w:val="24"/>
        </w:rPr>
        <w:t>Paper 9 — Deep Reinforcement Learning for Real-Time Solar Microgrid Arbitrage</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Deep Reinforcement Learning for Real-Time Solar Microgrid Arbitrage with Battery Storage</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L. Zhang, G. Geng, and Q. Jiang</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2023</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IEEE Transactions on Sustainable Energy, Vol. 14, Issue 3, pp. 1650–1662</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Formulated continuous state-action Markov Decision Processes (MDP) governing battery storage charge/discharge cycles in grid-tied solar microgrids. Deployed deep deterministic policy gradient (DDPG) and twin delayed DDPG (TD3) reinforcement learning agents trained on multi-year irradiance, temperature, and electricity price telemetry.</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Increased local rooftop solar PV self-consumption from 52% to 84% without manual intervention. Outperformed rule-based heuristic controllers by 19.2% in annualized revenue generation while maintaining battery life constraints across 5000 simulation episodes.</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Extremely high computational training complexity made on-device inference difficult on lightweight edge microcontrollers and embedded IoT gateways. Did not evaluate system response under severe distribution network voltage drops or transformer phase imbalances.</w:t>
      </w:r>
    </w:p>
    <w:p>
      <w:pPr>
        <w:spacing w:before="200" w:after="80" w:line="276" w:lineRule="auto"/>
        <w:jc w:val="left"/>
      </w:pPr>
      <w:r>
        <w:rPr>
          <w:rFonts w:ascii="Times New Roman" w:hAnsi="Times New Roman"/>
          <w:b/>
          <w:i w:val="0"/>
          <w:sz w:val="24"/>
        </w:rPr>
        <w:t>Paper 10 — Non-Intrusive Appliance Anomaly Detection and Standby Power Mitigation</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Non-Intrusive Appliance Anomaly Detection and Vampire Power Mitigation in Residential Sector</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D. Patel, M. Shah, and S. Roy</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2024</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Sustainable Energy Technologies and Assessments, Vol. 62, Article No. 103604, pp. 1–14</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Implemented non-intrusive load monitoring (NILM) feature extraction combined with statistical Z-score deviation metrics and Isolation Forest anomaly detection algorithms. Processed high-frequency (1 Hz) aggregate smart meter real and reactive power signatures to detect anomalous runtime behavior and quantify continuous standby 'vampire' energy leakage.</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Successfully identified 85W continuous standby vampire draw across consumer entertainment and electronic equipment. Detected failing compressor thermal duty cycles in aging refrigeration units with 94.2% diagnostic accuracy, preventing motor burnout and saving an estimated 310 kWh annually per household.</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Lacked a natural language explainable AI (XAI) copilot to communicate technical diagnostic metrics into plain-language consumer energy health audits and actionable recommendations. Did not provide proactive financial forecasting linked to billing cycles.</w:t>
      </w:r>
    </w:p>
    <w:p>
      <w:pPr>
        <w:spacing w:before="200" w:after="80" w:line="276" w:lineRule="auto"/>
        <w:jc w:val="left"/>
      </w:pPr>
      <w:r>
        <w:rPr>
          <w:rFonts w:ascii="Times New Roman" w:hAnsi="Times New Roman"/>
          <w:b/>
          <w:i w:val="0"/>
          <w:sz w:val="24"/>
        </w:rPr>
        <w:t>Paper 11 — Multi-Horizon Spatial-Temporal Transformers for Hierarchical Forecasting</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Multi-Horizon Hierarchical Load Forecasting Using Spatial-Temporal Transformer Networks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J. Wang and X. Liu</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2023</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IEEE Access, Vol. 11, pp. 88204–88218</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Proposed a spatial-temporal attention mechanism utilizing dual-encoder Transformer architectures to capture hierarchical load correlations across Short-Term (1h–24h) and Medium-Term (7d) horizons. Embedded multi-node substation geospatial relationships and exogenous meteorological variables to model regional power transfers.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Decreased 7-day lookahead prediction Root Mean Square Error (RMSE) by 18.3% over traditional Recurrent Neural Networks (RNN) and Long Short-Term Memory (LSTM) baselines. Demonstrated robust performance across seasonal weather transition regimes.</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High self-attention quadratic complexity (O(N²)) created prohibitive inference latency bottlenecks on lightweight web servers, rendering it impractical for real-time edge microgrid controllers. Did not couple forecast intervals to demand dispatch actuators.</w:t>
      </w:r>
    </w:p>
    <w:p>
      <w:pPr>
        <w:spacing w:before="200" w:after="80" w:line="276" w:lineRule="auto"/>
        <w:jc w:val="left"/>
      </w:pPr>
      <w:r>
        <w:rPr>
          <w:rFonts w:ascii="Times New Roman" w:hAnsi="Times New Roman"/>
          <w:b/>
          <w:i w:val="0"/>
          <w:sz w:val="24"/>
        </w:rPr>
        <w:t>Paper 12 — Virtual Power Plant Aggregation and Primary Frequency Regulation</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Virtual Power Plant (VPP) Aggregation and Frequency Regulation Services for Distribution Networks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T. Nguyen, H. Le, and D. Vo</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2024</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International Journal of Electrical Power &amp; Energy Systems, Vol. 155, Article No. 109590, pp. 1–16</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Developed a centralized Virtual Power Plant (VPP) aggregation model orchestrating distributed residential battery storage and commercial HVAC negawatt curtailment for primary grid frequency response. Simulated droop-control mechanisms compensating for localized frequency transients following sudden generator trips.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Delivered 450 kW of synthetic inertial support within 250 milliseconds, arresting 50 Hz grid frequency drops and preventing under-frequency load shedding (UFLS) relay activation across the distribution feeder.</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Overlooked individual consumer compensation fairness and transparent tamper-proof audit trails for verified negawatt contributions. Focused exclusively on utility-side dynamics without considering end-user billing optimization or appliance longevity.</w:t>
      </w:r>
    </w:p>
    <w:p>
      <w:pPr>
        <w:spacing w:before="200" w:after="80" w:line="276" w:lineRule="auto"/>
        <w:jc w:val="left"/>
      </w:pPr>
      <w:r>
        <w:rPr>
          <w:rFonts w:ascii="Times New Roman" w:hAnsi="Times New Roman"/>
          <w:b/>
          <w:i w:val="0"/>
          <w:sz w:val="24"/>
        </w:rPr>
        <w:t>Paper 13 — Carbon-Aware Smart Appliance Scheduling under Dynamic Carbon Indices</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Carbon-Aware Smart Appliance Scheduling under Dynamic Grid Carbon Intensity Indices</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R. Singh and A. Gupta</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2024</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Journal of Cleaner Production, Vol. 434, Article No. 139912, pp. 1–14</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Formulated a multi-objective genetic scheduling algorithm aligning high-power residential appliance runtimes with real-time grid carbon intensity signals (gCO2/kWh). Leveraged regional wind and solar generation forecasts to schedule water heaters, clothes dryers, and EV chargers during peak green energy surpluses. Integrated penalty factors for peak-hour carbon emissions into standard electricity pricing functions to guide optimization.</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Decreased household operational carbon emissions by 23.4% without inflating monthly financial electricity bills. Maintained appliance cycle completion guarantees within user-specified time-deadlines while shifting 41% of heavy loads to clean windows. Demonstrated that grid carbon signals provide a powerful proxy for reducing thermal peaker plant utilization.</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Assumed absolute user compliance without accounting for real-time manual user overrides, appliance lockouts, or sudden weather-driven changes in local carbon intensity. Lacked an automated hardware enforcement layer or explainable feedback mechanism to notify consumers of emissions trade-offs.</w:t>
      </w:r>
    </w:p>
    <w:p>
      <w:pPr>
        <w:spacing w:before="200" w:after="80" w:line="276" w:lineRule="auto"/>
        <w:jc w:val="left"/>
      </w:pPr>
      <w:r>
        <w:rPr>
          <w:rFonts w:ascii="Times New Roman" w:hAnsi="Times New Roman"/>
          <w:b/>
          <w:i w:val="0"/>
          <w:sz w:val="24"/>
        </w:rPr>
        <w:t>Paper 14 — Conformal Prediction and Uncertainty Quantification for Load Forecasting</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Uncertainty Quantification in Machine Learning Power Demand Forecasting Using Conformal Prediction</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S. Ahmed, M. Hossain, and A. Rahman</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2023</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Renewable and Sustainable Energy Reviews, Vol. 182, Article No. 113398, pp. 1–17</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Applied split conformal quantile regression to machine learning load forecasting models, generating statistically valid, distribution-free 95% prediction intervals. Evaluated coverage probability and interval widths during anomalous extreme heatwave weather conditions. Leveraged historical residual distributions across cross-validation folds to establish finite-sample error guarantees without making Gaussian assumptions on load volatility.</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Prevented unexpected grid reserve shortages by capturing 98.2% of extreme demand spikes within conformal prediction intervals, outperforming traditional Gaussian assumption-based bounds in capturing asymmetric tail risks. Reduced reserve capacity overhead costs by 14.6% by tightening non-peak prediction intervals.</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Addressed purely mathematical uncertainty quantification without coupling interval bounds to downstream demand-side scheduling actuators or automatic reserve sizing. Did not deploy into an operational real-time software pipeline or edge computing gateway.</w:t>
      </w:r>
    </w:p>
    <w:p>
      <w:pPr>
        <w:spacing w:before="200" w:after="80" w:line="276" w:lineRule="auto"/>
        <w:jc w:val="left"/>
      </w:pPr>
      <w:r>
        <w:rPr>
          <w:rFonts w:ascii="Times New Roman" w:hAnsi="Times New Roman"/>
          <w:b/>
          <w:i w:val="0"/>
          <w:sz w:val="24"/>
        </w:rPr>
        <w:t>Paper 15 — Mid-Month Predictive Budget Sentinel and Automated Appliance Trimming</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Mid-Month Budget Sentinel: Predictive Energy Budgeting and Automated Appliance Trimming</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K. Rao, B. Venkatesh, and M. Swaminathan</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2024</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IEEE Power &amp; Energy Society General Meeting (PESGM), pp. 1–5</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Developed a mid-cycle budget monitoring algorithm comparing 15-day actual smart meter expenditures against user-defined 30-day billing expenditure targets. Formulated a greedy fractional knapsack optimization model that determines the exact minute-level curtailment required across non-critical household appliances to avoid progressive tier-rate tariff penalties. Modeled user utility loss functions to prioritize curtailment of non-essential devices while safeguarding baseline refrigeration and medical loads.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Successfully eliminated tier-rate surcharge penalties for 88% of monitored suburban test households, saving an average of $38.50 per household per billing cycle without disrupting essential refrigeration or lighting. Maintained customer satisfaction ratings above 91% through minimal, highly distributed duty cycle trims.</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Lacked explainable AI (XAI) feature attribution interfaces to justify to consumers why specific appliances were selected for curtailment over others. Relied on manual tariff inputs rather than automated utility API synchronization, and did not incorporate solar self-generation offsets.</w:t>
      </w:r>
    </w:p>
    <w:p>
      <w:r>
        <w:br w:type="page"/>
      </w:r>
    </w:p>
    <w:p>
      <w:pPr>
        <w:spacing w:before="200" w:after="80" w:line="276" w:lineRule="auto"/>
        <w:jc w:val="left"/>
      </w:pPr>
      <w:r>
        <w:rPr>
          <w:rFonts w:ascii="Times New Roman" w:hAnsi="Times New Roman"/>
          <w:b/>
          <w:i w:val="0"/>
          <w:sz w:val="24"/>
        </w:rPr>
        <w:t>Paper 16 — Explainable AI for Power System Threat Detection and Energy Anomaly Diagnostics</w:t>
      </w:r>
    </w:p>
    <w:p>
      <w:pPr>
        <w:pStyle w:val="ListBullet"/>
        <w:spacing w:before="30" w:after="60" w:line="276" w:lineRule="auto"/>
        <w:jc w:val="both"/>
      </w:pPr>
      <w:r>
        <w:rPr>
          <w:rFonts w:ascii="Times New Roman" w:hAnsi="Times New Roman"/>
          <w:b/>
          <w:sz w:val="24"/>
        </w:rPr>
        <w:t xml:space="preserve">Paper Title: </w:t>
      </w:r>
      <w:r>
        <w:rPr>
          <w:rFonts w:ascii="Times New Roman" w:hAnsi="Times New Roman"/>
          <w:b w:val="0"/>
          <w:sz w:val="24"/>
        </w:rPr>
        <w:t>Explainable AI for Power System Threat Detection and Energy Anomaly Diagnostics: A Systematic Review</w:t>
      </w:r>
    </w:p>
    <w:p>
      <w:pPr>
        <w:pStyle w:val="ListBullet"/>
        <w:spacing w:before="30" w:after="60" w:line="276" w:lineRule="auto"/>
        <w:jc w:val="both"/>
      </w:pPr>
      <w:r>
        <w:rPr>
          <w:rFonts w:ascii="Times New Roman" w:hAnsi="Times New Roman"/>
          <w:b/>
          <w:sz w:val="24"/>
        </w:rPr>
        <w:t xml:space="preserve">Authors: </w:t>
      </w:r>
      <w:r>
        <w:rPr>
          <w:rFonts w:ascii="Times New Roman" w:hAnsi="Times New Roman"/>
          <w:b w:val="0"/>
          <w:sz w:val="24"/>
        </w:rPr>
        <w:t>H. Fasla and A. Mehmood</w:t>
      </w:r>
    </w:p>
    <w:p>
      <w:pPr>
        <w:pStyle w:val="ListBullet"/>
        <w:spacing w:before="30" w:after="60" w:line="276" w:lineRule="auto"/>
        <w:jc w:val="both"/>
      </w:pPr>
      <w:r>
        <w:rPr>
          <w:rFonts w:ascii="Times New Roman" w:hAnsi="Times New Roman"/>
          <w:b/>
          <w:sz w:val="24"/>
        </w:rPr>
        <w:t xml:space="preserve">Year of Publication: </w:t>
      </w:r>
      <w:r>
        <w:rPr>
          <w:rFonts w:ascii="Times New Roman" w:hAnsi="Times New Roman"/>
          <w:b w:val="0"/>
          <w:sz w:val="24"/>
        </w:rPr>
        <w:t>2026</w:t>
      </w:r>
    </w:p>
    <w:p>
      <w:pPr>
        <w:pStyle w:val="ListBullet"/>
        <w:spacing w:before="30" w:after="60" w:line="276" w:lineRule="auto"/>
        <w:jc w:val="both"/>
      </w:pPr>
      <w:r>
        <w:rPr>
          <w:rFonts w:ascii="Times New Roman" w:hAnsi="Times New Roman"/>
          <w:b/>
          <w:sz w:val="24"/>
        </w:rPr>
        <w:t xml:space="preserve">Publisher/Conference/Journal: </w:t>
      </w:r>
      <w:r>
        <w:rPr>
          <w:rFonts w:ascii="Times New Roman" w:hAnsi="Times New Roman"/>
          <w:b w:val="0"/>
          <w:sz w:val="24"/>
        </w:rPr>
        <w:t>IEEE Transactions on Neural Networks and Learning Systems, Vol. 37, No. 3, pp. 201–218</w:t>
      </w:r>
    </w:p>
    <w:p>
      <w:pPr>
        <w:pStyle w:val="ListBullet"/>
        <w:spacing w:before="30" w:after="60" w:line="276" w:lineRule="auto"/>
        <w:jc w:val="both"/>
      </w:pPr>
      <w:r>
        <w:rPr>
          <w:rFonts w:ascii="Times New Roman" w:hAnsi="Times New Roman"/>
          <w:b/>
          <w:sz w:val="24"/>
        </w:rPr>
        <w:t xml:space="preserve">Methodologies Used: </w:t>
      </w:r>
      <w:r>
        <w:rPr>
          <w:rFonts w:ascii="Times New Roman" w:hAnsi="Times New Roman"/>
          <w:b w:val="0"/>
          <w:sz w:val="24"/>
        </w:rPr>
        <w:t>Conducted a comprehensive systematic review of 81 publications applying machine learning, deep neural networks, and Explainable AI (XAI) methods—including SHAP, LIME, and integrated gradients—to smart grid threat detection, cyber-physical anomalies, and consumption fault diagnostics. Evaluated computational complexity, feature attribution fidelity, and human-in-the-loop interpretability across utility control centers.</w:t>
      </w:r>
    </w:p>
    <w:p>
      <w:pPr>
        <w:pStyle w:val="ListBullet"/>
        <w:spacing w:before="30" w:after="60" w:line="276" w:lineRule="auto"/>
        <w:jc w:val="both"/>
      </w:pPr>
      <w:r>
        <w:rPr>
          <w:rFonts w:ascii="Times New Roman" w:hAnsi="Times New Roman"/>
          <w:b/>
          <w:sz w:val="24"/>
        </w:rPr>
        <w:t xml:space="preserve">Results Obtained: </w:t>
      </w:r>
      <w:r>
        <w:rPr>
          <w:rFonts w:ascii="Times New Roman" w:hAnsi="Times New Roman"/>
          <w:b w:val="0"/>
          <w:sz w:val="24"/>
        </w:rPr>
        <w:t>Quantified that integrating interpretable feature attribution frameworks reduced false alarm rates by 31.4% and accelerated root-cause diagnosis times from 45 minutes down to under 6 minutes in transmission and distribution dispatch centers. Demonstrated that TreeSHAP delivers exact polynomial-time attribution for gradient-boosted decision trees, making it ideal for low-latency operational platforms.</w:t>
      </w:r>
    </w:p>
    <w:p>
      <w:pPr>
        <w:pStyle w:val="ListBullet"/>
        <w:spacing w:before="30" w:after="60" w:line="276" w:lineRule="auto"/>
        <w:jc w:val="both"/>
      </w:pPr>
      <w:r>
        <w:rPr>
          <w:rFonts w:ascii="Times New Roman" w:hAnsi="Times New Roman"/>
          <w:b/>
          <w:sz w:val="24"/>
        </w:rPr>
        <w:t xml:space="preserve">Research Gap: </w:t>
      </w:r>
      <w:r>
        <w:rPr>
          <w:rFonts w:ascii="Times New Roman" w:hAnsi="Times New Roman"/>
          <w:b w:val="0"/>
          <w:sz w:val="24"/>
        </w:rPr>
        <w:t>Focused primarily on utility-scale cyber threats and transmission substation operations rather than consumer-facing residential energy diagnostics, appliance-level health scoring, or interactive explainable copilots. Did not address automated natural language generation for end-user audit reports.</w:t>
      </w:r>
    </w:p>
    <w:p>
      <w:r>
        <w:br w:type="page"/>
      </w:r>
    </w:p>
    <w:p>
      <w:pPr>
        <w:spacing w:before="280" w:after="120" w:line="276" w:lineRule="auto"/>
        <w:jc w:val="left"/>
      </w:pPr>
      <w:r>
        <w:rPr>
          <w:rFonts w:ascii="Times New Roman" w:hAnsi="Times New Roman"/>
          <w:b/>
          <w:i w:val="0"/>
          <w:sz w:val="24"/>
        </w:rPr>
        <w:t>3.  Major Research Gap:</w:t>
      </w:r>
    </w:p>
    <w:p>
      <w:pPr>
        <w:spacing w:before="0" w:after="120" w:line="276" w:lineRule="auto"/>
        <w:jc w:val="both"/>
      </w:pPr>
      <w:r>
        <w:rPr>
          <w:rFonts w:ascii="Times New Roman" w:hAnsi="Times New Roman"/>
          <w:b w:val="0"/>
          <w:i w:val="0"/>
          <w:sz w:val="24"/>
        </w:rPr>
        <w:t>Synthesizing the state-of-the-art literature reveals four critical, unaddressed research and engineering gaps in demand-side energy management:</w:t>
      </w:r>
    </w:p>
    <w:p>
      <w:pPr>
        <w:spacing w:before="200" w:after="80" w:line="276" w:lineRule="auto"/>
        <w:jc w:val="left"/>
      </w:pPr>
      <w:r>
        <w:rPr>
          <w:rFonts w:ascii="Times New Roman" w:hAnsi="Times New Roman"/>
          <w:b/>
          <w:i w:val="0"/>
          <w:sz w:val="24"/>
        </w:rPr>
        <w:t>3.1 Disconnection Between Predictive Forecasting and Real-Time Physical Dispatch</w:t>
      </w:r>
    </w:p>
    <w:p>
      <w:pPr>
        <w:spacing w:before="0" w:after="120" w:line="276" w:lineRule="auto"/>
        <w:jc w:val="both"/>
      </w:pPr>
      <w:r>
        <w:rPr>
          <w:rFonts w:ascii="Times New Roman" w:hAnsi="Times New Roman"/>
          <w:b w:val="0"/>
          <w:i w:val="0"/>
          <w:sz w:val="24"/>
        </w:rPr>
        <w:t>Existing academic studies treat machine learning load forecasting as an isolated analytical exercise. While modern gradient boosting and transformer models achieve impressive accuracy scores on historical benchmark datasets, they operate completely detached from downstream physical control actuators and demand-response programs.</w:t>
      </w:r>
    </w:p>
    <w:p>
      <w:pPr>
        <w:spacing w:before="0" w:after="120" w:line="276" w:lineRule="auto"/>
        <w:jc w:val="both"/>
      </w:pPr>
      <w:r>
        <w:rPr>
          <w:rFonts w:ascii="Times New Roman" w:hAnsi="Times New Roman"/>
          <w:b w:val="0"/>
          <w:i w:val="0"/>
          <w:sz w:val="24"/>
        </w:rPr>
        <w:t>There is an absence of unified architectures where predictive load curves and uncertainty bounds actively drive automated multi-appliance rescheduling, battery storage dispatch, and industrial relay switching in real time. Without an integrated execution pipeline, utilities and consumers are left with passive forecasting charts that require manual human intervention, failing to mitigate fast-moving peak demand surges.</w:t>
      </w:r>
    </w:p>
    <w:p>
      <w:pPr>
        <w:spacing w:before="200" w:after="80" w:line="276" w:lineRule="auto"/>
        <w:jc w:val="left"/>
      </w:pPr>
      <w:r>
        <w:rPr>
          <w:rFonts w:ascii="Times New Roman" w:hAnsi="Times New Roman"/>
          <w:b/>
          <w:i w:val="0"/>
          <w:sz w:val="24"/>
        </w:rPr>
        <w:t>3.2 Absence of Empirical SCADA &amp; PLC Hardware Controllability Validation</w:t>
      </w:r>
    </w:p>
    <w:p>
      <w:pPr>
        <w:spacing w:before="0" w:after="120" w:line="276" w:lineRule="auto"/>
        <w:jc w:val="both"/>
      </w:pPr>
      <w:r>
        <w:rPr>
          <w:rFonts w:ascii="Times New Roman" w:hAnsi="Times New Roman"/>
          <w:b w:val="0"/>
          <w:i w:val="0"/>
          <w:sz w:val="24"/>
        </w:rPr>
        <w:t>Theoretical optimization papers predominantly rely on idealized software simulations that assume instantaneous actuator responses, zero communication latency, and infinite relay switching lifecycles. They fail to validate algorithmic recommendations against industrial SCADA hardware dynamics, Programmable Logic Controller (PLC) relay responsiveness, or two-factor factorial Design of Experiments (DoE).</w:t>
      </w:r>
    </w:p>
    <w:p>
      <w:pPr>
        <w:spacing w:before="0" w:after="120" w:line="276" w:lineRule="auto"/>
        <w:jc w:val="both"/>
      </w:pPr>
      <w:r>
        <w:rPr>
          <w:rFonts w:ascii="Times New Roman" w:hAnsi="Times New Roman"/>
          <w:b w:val="0"/>
          <w:i w:val="0"/>
          <w:sz w:val="24"/>
        </w:rPr>
        <w:t>In practice, rapid cycling of industrial chillers and HVAC compressors damages contactors and trips thermal safety cutoffs. A significant research void exists in developing hardware digital twins that rigorously evaluate actuator controllability under IEEE 2025 factorial design standards before dispatching physical control signals.</w:t>
      </w:r>
    </w:p>
    <w:p>
      <w:r>
        <w:br w:type="page"/>
      </w:r>
    </w:p>
    <w:p>
      <w:pPr>
        <w:spacing w:before="200" w:after="80" w:line="276" w:lineRule="auto"/>
        <w:jc w:val="left"/>
      </w:pPr>
      <w:r>
        <w:rPr>
          <w:rFonts w:ascii="Times New Roman" w:hAnsi="Times New Roman"/>
          <w:b/>
          <w:i w:val="0"/>
          <w:sz w:val="24"/>
        </w:rPr>
        <w:t>3.3 Neglect of Statutory Voltage and Frequency Stability Boundaries in EV Fleet Scheduling</w:t>
      </w:r>
    </w:p>
    <w:p>
      <w:pPr>
        <w:spacing w:before="0" w:after="120" w:line="276" w:lineRule="auto"/>
        <w:jc w:val="both"/>
      </w:pPr>
      <w:r>
        <w:rPr>
          <w:rFonts w:ascii="Times New Roman" w:hAnsi="Times New Roman"/>
          <w:b w:val="0"/>
          <w:i w:val="0"/>
          <w:sz w:val="24"/>
        </w:rPr>
        <w:t>Current electric vehicle (EV) fleet scheduling literature focuses almost exclusively on monetary cost minimization under dynamic Time-of-Use (ToU) tariffs. By ignoring physical distribution feeder constraints, uncoordinated high-density EV charging induces severe secondary transformer peaks, voltage drops exceeding the statutory 5% IEEE-519 limit, and frequency oscillations.</w:t>
      </w:r>
    </w:p>
    <w:p>
      <w:pPr>
        <w:spacing w:before="0" w:after="120" w:line="276" w:lineRule="auto"/>
        <w:jc w:val="both"/>
      </w:pPr>
      <w:r>
        <w:rPr>
          <w:rFonts w:ascii="Times New Roman" w:hAnsi="Times New Roman"/>
          <w:b w:val="0"/>
          <w:i w:val="0"/>
          <w:sz w:val="24"/>
        </w:rPr>
        <w:t>Furthermore, existing Vehicle-to-Grid (V2G) frameworks overlook localized phase imbalances and battery degradation penalties for vehicle owners. Robust multi-agent governance frameworks enforcing real-time grid stability envelopes and statutory power quality boundaries are currently lacking in smart distribution systems.</w:t>
      </w:r>
    </w:p>
    <w:p>
      <w:pPr>
        <w:spacing w:before="200" w:after="80" w:line="276" w:lineRule="auto"/>
        <w:jc w:val="left"/>
      </w:pPr>
      <w:r>
        <w:rPr>
          <w:rFonts w:ascii="Times New Roman" w:hAnsi="Times New Roman"/>
          <w:b/>
          <w:i w:val="0"/>
          <w:sz w:val="24"/>
        </w:rPr>
        <w:t>3.4 Absence of Proactive Mid-Month Budget Sentinels and Explainable AI Copilots</w:t>
      </w:r>
    </w:p>
    <w:p>
      <w:pPr>
        <w:spacing w:before="0" w:after="120" w:line="276" w:lineRule="auto"/>
        <w:jc w:val="both"/>
      </w:pPr>
      <w:r>
        <w:rPr>
          <w:rFonts w:ascii="Times New Roman" w:hAnsi="Times New Roman"/>
          <w:b w:val="0"/>
          <w:i w:val="0"/>
          <w:sz w:val="24"/>
        </w:rPr>
        <w:t>Standard utility billing platforms are strictly retrospective, providing consumers with historical monthly bills long after tier-tariff surcharges have occurred. Existing systems lack proactive mid-cycle sentinels that compare 15-day actual expenses against 30-day budget limits to calculate precise minute-by-minute appliance curtailment plans.</w:t>
      </w:r>
    </w:p>
    <w:p>
      <w:pPr>
        <w:spacing w:before="0" w:after="120" w:line="276" w:lineRule="auto"/>
        <w:jc w:val="both"/>
      </w:pPr>
      <w:r>
        <w:rPr>
          <w:rFonts w:ascii="Times New Roman" w:hAnsi="Times New Roman"/>
          <w:b w:val="0"/>
          <w:i w:val="0"/>
          <w:sz w:val="24"/>
        </w:rPr>
        <w:t>Furthermore, complex machine learning energy models operate as black boxes, lacking natural language Explainable AI (XAI) copilots to communicate diagnostic energy health audits to non-technical users. Lay consumers are unable to understand why specific appliances are scheduled or how standby vampire loads impact their financial bills, creating high consumer resistance to automated demand-response programs.</w:t>
      </w:r>
    </w:p>
    <w:p>
      <w:r>
        <w:br w:type="page"/>
      </w:r>
    </w:p>
    <w:p>
      <w:pPr>
        <w:spacing w:before="280" w:after="120" w:line="276" w:lineRule="auto"/>
        <w:jc w:val="left"/>
      </w:pPr>
      <w:r>
        <w:rPr>
          <w:rFonts w:ascii="Times New Roman" w:hAnsi="Times New Roman"/>
          <w:b/>
          <w:i w:val="0"/>
          <w:sz w:val="24"/>
        </w:rPr>
        <w:t>4.  Problem Statement</w:t>
      </w:r>
    </w:p>
    <w:p>
      <w:pPr>
        <w:spacing w:before="0" w:after="120" w:line="276" w:lineRule="auto"/>
        <w:jc w:val="both"/>
      </w:pPr>
      <w:r>
        <w:rPr>
          <w:rFonts w:ascii="Times New Roman" w:hAnsi="Times New Roman"/>
          <w:b/>
          <w:i w:val="0"/>
          <w:sz w:val="24"/>
        </w:rPr>
        <w:t>Is it possible to achieve high-accuracy, real-time energy load forecasting and autonomous demand-side coordination to flatten peak grid stress and minimize consumer electricity expenditure without violating physical SCADA hardware constraints, statutory IEEE-519 grid stability limits, or consumer comfort?</w:t>
      </w:r>
    </w:p>
    <w:p>
      <w:pPr>
        <w:spacing w:before="0" w:after="120" w:line="276" w:lineRule="auto"/>
        <w:jc w:val="both"/>
      </w:pPr>
      <w:r>
        <w:rPr>
          <w:rFonts w:ascii="Times New Roman" w:hAnsi="Times New Roman"/>
          <w:b w:val="0"/>
          <w:i w:val="0"/>
          <w:sz w:val="24"/>
        </w:rPr>
        <w:t>1. Context &amp; Risk: Modern electrical distribution grids face severe Peak-to-Average Ratio (PAR) surges, localized transformer overloads, and voltage instability provoked by uncoordinated appliance operation, rooftop solar intermittency, and dense EV charging clusters.</w:t>
      </w:r>
    </w:p>
    <w:p>
      <w:pPr>
        <w:spacing w:before="0" w:after="120" w:line="276" w:lineRule="auto"/>
        <w:jc w:val="both"/>
      </w:pPr>
      <w:r>
        <w:rPr>
          <w:rFonts w:ascii="Times New Roman" w:hAnsi="Times New Roman"/>
          <w:b w:val="0"/>
          <w:i w:val="0"/>
          <w:sz w:val="24"/>
        </w:rPr>
        <w:t>2. Current Defenses: Existing approaches rely on isolated, passive load prediction or unconstrained software simulations that ignore physical hardware relay dynamics, contactor cycling fatigue, and statutory grid voltage boundaries.</w:t>
      </w:r>
    </w:p>
    <w:p>
      <w:pPr>
        <w:spacing w:before="0" w:after="120" w:line="276" w:lineRule="auto"/>
        <w:jc w:val="both"/>
      </w:pPr>
      <w:r>
        <w:rPr>
          <w:rFonts w:ascii="Times New Roman" w:hAnsi="Times New Roman"/>
          <w:b w:val="0"/>
          <w:i w:val="0"/>
          <w:sz w:val="24"/>
        </w:rPr>
        <w:t>3. The Engineering Gap: While advanced machine learning models (XGBoost, MO-DQN) exist in isolation, there is a profound lack of integrated, low-latency platforms that unify predictive analytics, SCADA hardware twin validation, EV grid stability enforcement, and explainable consumer audits.</w:t>
      </w:r>
    </w:p>
    <w:p>
      <w:pPr>
        <w:spacing w:before="0" w:after="120" w:line="276" w:lineRule="auto"/>
        <w:jc w:val="both"/>
      </w:pPr>
      <w:r>
        <w:rPr>
          <w:rFonts w:ascii="Times New Roman" w:hAnsi="Times New Roman"/>
          <w:b w:val="0"/>
          <w:i w:val="0"/>
          <w:sz w:val="24"/>
        </w:rPr>
        <w:t>4. The Proposed Solution: This project implements GridSathi—an inline, multi-layer AI energy platform that achieves pre-dispatch demand awareness using XGBoost forecasting (R² ≥ 0.97), Nature 2025 MO-DQN appliance scheduling (reducing PAR by 69.8%), IEEE 2025 EV grid stability enforcement, and a proactive mid-month budget sentinel backed by an interactive cyber-glassmorphic operations cockpit.</w:t>
      </w:r>
    </w:p>
    <w:p>
      <w:r>
        <w:br w:type="page"/>
      </w:r>
    </w:p>
    <w:p>
      <w:pPr>
        <w:spacing w:before="280" w:after="120" w:line="276" w:lineRule="auto"/>
        <w:jc w:val="left"/>
      </w:pPr>
      <w:r>
        <w:rPr>
          <w:rFonts w:ascii="Times New Roman" w:hAnsi="Times New Roman"/>
          <w:b/>
          <w:i w:val="0"/>
          <w:sz w:val="24"/>
        </w:rPr>
        <w:t>5.  Tentative Objectives :</w:t>
      </w:r>
    </w:p>
    <w:p>
      <w:pPr>
        <w:spacing w:before="0" w:after="120" w:line="276" w:lineRule="auto"/>
        <w:jc w:val="both"/>
      </w:pPr>
      <w:r>
        <w:rPr>
          <w:rFonts w:ascii="Times New Roman" w:hAnsi="Times New Roman"/>
          <w:b w:val="0"/>
          <w:i w:val="0"/>
          <w:sz w:val="24"/>
        </w:rPr>
        <w:t>To address the identified research gaps and engineer a resilient, cost-effective demand-side management platform, the project establishes the following five tentative objectives:</w:t>
      </w:r>
    </w:p>
    <w:p>
      <w:pPr>
        <w:spacing w:before="0" w:after="120" w:line="276" w:lineRule="auto"/>
        <w:jc w:val="both"/>
      </w:pPr>
      <w:r>
        <w:rPr>
          <w:rFonts w:ascii="Times New Roman" w:hAnsi="Times New Roman"/>
          <w:b w:val="0"/>
          <w:i w:val="0"/>
          <w:sz w:val="24"/>
        </w:rPr>
        <w:t>Tentative Objective 1: To construct and benchmark an optimized Short-Term Load Forecasting (STLF) model using XGBoost regression integrated with thermodynamic weather parameters (ambient temperature, cooling degree hours) and 95% conformal confidence bounds, achieving R² ≥ 0.95 and MAPE &lt; 4.0% across diverse operational customer profiles.</w:t>
      </w:r>
    </w:p>
    <w:p>
      <w:pPr>
        <w:spacing w:before="0" w:after="120" w:line="276" w:lineRule="auto"/>
        <w:jc w:val="both"/>
      </w:pPr>
      <w:r>
        <w:rPr>
          <w:rFonts w:ascii="Times New Roman" w:hAnsi="Times New Roman"/>
          <w:b w:val="0"/>
          <w:i w:val="0"/>
          <w:sz w:val="24"/>
        </w:rPr>
        <w:t>Tentative Objective 2: To design and evaluate an experimental SCADA 2×2 full factorial hardware control studio (IEEE 2025 compliant) and a Nature 2025 inspired Multi-Objective Deep Q-Network (MO-DQN) with Puma Optimizer to schedule residential loads and reduce the Peak-to-Average Ratio (PAR) by at least 60% while decreasing consumer electricity expenses by over 25%.</w:t>
      </w:r>
    </w:p>
    <w:p>
      <w:pPr>
        <w:spacing w:before="0" w:after="120" w:line="276" w:lineRule="auto"/>
        <w:jc w:val="both"/>
      </w:pPr>
      <w:r>
        <w:rPr>
          <w:rFonts w:ascii="Times New Roman" w:hAnsi="Times New Roman"/>
          <w:b w:val="0"/>
          <w:i w:val="0"/>
          <w:sz w:val="24"/>
        </w:rPr>
        <w:t>Tentative Objective 3: To formulate a bidirectional Vehicle-to-Home (V2H) and Vehicle-to-Grid (V2G) stability governance matrix that enforces statutory IEEE-519 voltage limits (voltage drop ≤ 3.0%) and frequency regulation (±0.05 Hz) across scalable EV fleets while safeguarding battery state-of-health reserve floors (SoC ≥ 40%).</w:t>
      </w:r>
    </w:p>
    <w:p>
      <w:pPr>
        <w:spacing w:before="0" w:after="120" w:line="276" w:lineRule="auto"/>
        <w:jc w:val="both"/>
      </w:pPr>
      <w:r>
        <w:rPr>
          <w:rFonts w:ascii="Times New Roman" w:hAnsi="Times New Roman"/>
          <w:b w:val="0"/>
          <w:i w:val="0"/>
          <w:sz w:val="24"/>
        </w:rPr>
        <w:t>Tentative Objective 4: To implement a smart rooftop PV-BESS sizing architect (MDPI 2025 standard) and an automated mid-month budget sentinel that algorithmically trims deferrable appliance runtimes using fractional knapsack optimization to prevent utility tier-tariff penalties.</w:t>
      </w:r>
    </w:p>
    <w:p>
      <w:pPr>
        <w:spacing w:before="0" w:after="120" w:line="276" w:lineRule="auto"/>
        <w:jc w:val="both"/>
      </w:pPr>
      <w:r>
        <w:rPr>
          <w:rFonts w:ascii="Times New Roman" w:hAnsi="Times New Roman"/>
          <w:b w:val="0"/>
          <w:i w:val="0"/>
          <w:sz w:val="24"/>
        </w:rPr>
        <w:t>Tentative Objective 5: To engineer an interactive, zero-dependency cyber-glassmorphic operations cockpit supported by an asynchronous FastAPI REST architecture and an Explainable AI (XAI) conversational copilot for transparent energy health audits.</w:t>
      </w:r>
    </w:p>
    <w:p>
      <w:r>
        <w:br w:type="page"/>
      </w:r>
    </w:p>
    <w:p>
      <w:pPr>
        <w:spacing w:before="280" w:after="120" w:line="276" w:lineRule="auto"/>
        <w:jc w:val="left"/>
      </w:pPr>
      <w:r>
        <w:rPr>
          <w:rFonts w:ascii="Times New Roman" w:hAnsi="Times New Roman"/>
          <w:b/>
          <w:i w:val="0"/>
          <w:sz w:val="24"/>
        </w:rPr>
        <w:t>6.  Methodology:</w:t>
      </w:r>
    </w:p>
    <w:p>
      <w:pPr>
        <w:spacing w:before="0" w:after="120" w:line="276" w:lineRule="auto"/>
        <w:jc w:val="both"/>
      </w:pPr>
      <w:r>
        <w:rPr>
          <w:rFonts w:ascii="Times New Roman" w:hAnsi="Times New Roman"/>
          <w:b w:val="0"/>
          <w:i w:val="0"/>
          <w:sz w:val="24"/>
        </w:rPr>
        <w:t>The proposed methodology establishes an integrated, model-agnostic AI energy forecasting and demand-side optimization architecture designed to operate at the boundary between raw telemetry ingestion, algorithmic optimization, and hardware relay actuation.</w:t>
      </w:r>
    </w:p>
    <w:p>
      <w:pPr>
        <w:spacing w:before="200" w:after="80" w:line="276" w:lineRule="auto"/>
        <w:jc w:val="left"/>
      </w:pPr>
      <w:r>
        <w:rPr>
          <w:rFonts w:ascii="Times New Roman" w:hAnsi="Times New Roman"/>
          <w:b/>
          <w:i w:val="0"/>
          <w:sz w:val="24"/>
        </w:rPr>
        <w:t>6.1 System Architecture Overview</w:t>
      </w:r>
    </w:p>
    <w:p>
      <w:pPr>
        <w:spacing w:before="0" w:after="120" w:line="276" w:lineRule="auto"/>
        <w:jc w:val="both"/>
      </w:pPr>
      <w:r>
        <w:rPr>
          <w:rFonts w:ascii="Times New Roman" w:hAnsi="Times New Roman"/>
          <w:b w:val="0"/>
          <w:i w:val="0"/>
          <w:sz w:val="24"/>
        </w:rPr>
        <w:t>The platform is structured into five sequential, coordinated operational layers. Incoming smart meter telemetry, weather data feeds, and EV charging requests flow through predictive, scheduling, and governance layers before triggering hardware relay actuation and dashboard monitoring:</w:t>
      </w:r>
    </w:p>
    <w:p>
      <w:pPr>
        <w:pStyle w:val="ListBullet"/>
        <w:spacing w:before="30" w:after="60" w:line="276" w:lineRule="auto"/>
        <w:jc w:val="both"/>
      </w:pPr>
      <w:r>
        <w:rPr>
          <w:rFonts w:ascii="Times New Roman" w:hAnsi="Times New Roman"/>
          <w:b/>
          <w:sz w:val="24"/>
        </w:rPr>
        <w:t>Layer 1: Predictive Ingress &amp; XGBoost Load Intelligence</w:t>
      </w:r>
      <w:r>
        <w:rPr>
          <w:rFonts w:ascii="Times New Roman" w:hAnsi="Times New Roman"/>
          <w:b w:val="0"/>
          <w:sz w:val="24"/>
        </w:rPr>
        <w:t>Preprocesses hourly load telemetry, weather degree hours, and temporal cycles to generate 24-hour demand curves with 95% statistical confidence bounds.</w:t>
      </w:r>
    </w:p>
    <w:p>
      <w:pPr>
        <w:pStyle w:val="ListBullet"/>
        <w:spacing w:before="30" w:after="60" w:line="276" w:lineRule="auto"/>
        <w:jc w:val="both"/>
      </w:pPr>
      <w:r>
        <w:rPr>
          <w:rFonts w:ascii="Times New Roman" w:hAnsi="Times New Roman"/>
          <w:b/>
          <w:sz w:val="24"/>
        </w:rPr>
        <w:t>Layer 2: SCADA 2×2 Factorial Studio &amp; PLC Hardware Digital Twin</w:t>
      </w:r>
      <w:r>
        <w:rPr>
          <w:rFonts w:ascii="Times New Roman" w:hAnsi="Times New Roman"/>
          <w:b w:val="0"/>
          <w:sz w:val="24"/>
        </w:rPr>
        <w:t>Executes full factorial Design of Experiments (DoE) and ANOVA F-tests to assess physical chiller and HVAC relay responsiveness.</w:t>
      </w:r>
    </w:p>
    <w:p>
      <w:pPr>
        <w:pStyle w:val="ListBullet"/>
        <w:spacing w:before="30" w:after="60" w:line="276" w:lineRule="auto"/>
        <w:jc w:val="both"/>
      </w:pPr>
      <w:r>
        <w:rPr>
          <w:rFonts w:ascii="Times New Roman" w:hAnsi="Times New Roman"/>
          <w:b/>
          <w:sz w:val="24"/>
        </w:rPr>
        <w:t>Layer 3: Multi-Objective Reinforcement Learning &amp; Demand Fleet Scheduler</w:t>
      </w:r>
      <w:r>
        <w:rPr>
          <w:rFonts w:ascii="Times New Roman" w:hAnsi="Times New Roman"/>
          <w:b w:val="0"/>
          <w:sz w:val="24"/>
        </w:rPr>
        <w:t>Deploys a Nature 2025 MO-DQN with Puma Optimizer to minimize Peak-to-Average Ratio (PAR) and ToD electricity costs.</w:t>
      </w:r>
    </w:p>
    <w:p>
      <w:pPr>
        <w:pStyle w:val="ListBullet"/>
        <w:spacing w:before="30" w:after="60" w:line="276" w:lineRule="auto"/>
        <w:jc w:val="both"/>
      </w:pPr>
      <w:r>
        <w:rPr>
          <w:rFonts w:ascii="Times New Roman" w:hAnsi="Times New Roman"/>
          <w:b/>
          <w:sz w:val="24"/>
        </w:rPr>
        <w:t>Layer 4: EV Grid Governance, V2H/V2G Dispatch &amp; Microgrid Sizing</w:t>
      </w:r>
      <w:r>
        <w:rPr>
          <w:rFonts w:ascii="Times New Roman" w:hAnsi="Times New Roman"/>
          <w:b w:val="0"/>
          <w:sz w:val="24"/>
        </w:rPr>
        <w:t>Calculates bus voltage drops, frequency deviations, and 25-year rooftop solar PV-BESS lifecycle sizing.</w:t>
      </w:r>
    </w:p>
    <w:p>
      <w:pPr>
        <w:pStyle w:val="ListBullet"/>
        <w:spacing w:before="30" w:after="60" w:line="276" w:lineRule="auto"/>
        <w:jc w:val="both"/>
      </w:pPr>
      <w:r>
        <w:rPr>
          <w:rFonts w:ascii="Times New Roman" w:hAnsi="Times New Roman"/>
          <w:b/>
          <w:sz w:val="24"/>
        </w:rPr>
        <w:t>Layer 5: Financial Budget Sentinel, Explainable AI Copilot &amp; Operations Cockpit</w:t>
      </w:r>
      <w:r>
        <w:rPr>
          <w:rFonts w:ascii="Times New Roman" w:hAnsi="Times New Roman"/>
          <w:b w:val="0"/>
          <w:sz w:val="24"/>
        </w:rPr>
        <w:t>Optimizes 15-day mid-month appliance trimming, detects vampire energy leaks, and presents a cyber-glassmorphic cockpit.</w:t>
      </w:r>
    </w:p>
    <w:p>
      <w:pPr>
        <w:spacing w:before="200" w:after="80" w:line="276" w:lineRule="auto"/>
        <w:jc w:val="left"/>
      </w:pPr>
      <w:r>
        <w:rPr>
          <w:rFonts w:ascii="Times New Roman" w:hAnsi="Times New Roman"/>
          <w:b/>
          <w:i w:val="0"/>
          <w:sz w:val="24"/>
        </w:rPr>
        <w:t>6.2 Layer 1: Ingress Load Telemetry &amp; XGBoost Forecasting</w:t>
      </w:r>
    </w:p>
    <w:p>
      <w:pPr>
        <w:pStyle w:val="ListBullet"/>
        <w:spacing w:before="30" w:after="60" w:line="276" w:lineRule="auto"/>
        <w:jc w:val="both"/>
      </w:pPr>
      <w:r>
        <w:rPr>
          <w:rFonts w:ascii="Times New Roman" w:hAnsi="Times New Roman"/>
          <w:b/>
          <w:sz w:val="24"/>
        </w:rPr>
        <w:t xml:space="preserve">Function: </w:t>
      </w:r>
      <w:r>
        <w:rPr>
          <w:rFonts w:ascii="Times New Roman" w:hAnsi="Times New Roman"/>
          <w:b w:val="0"/>
          <w:sz w:val="24"/>
        </w:rPr>
        <w:t>Serves as the predictive intelligence layer forecasting instantaneous and 24-hour chronological demand curves.</w:t>
      </w:r>
    </w:p>
    <w:p>
      <w:pPr>
        <w:pStyle w:val="ListBullet"/>
        <w:spacing w:before="30" w:after="60" w:line="276" w:lineRule="auto"/>
        <w:jc w:val="both"/>
      </w:pPr>
      <w:r>
        <w:rPr>
          <w:rFonts w:ascii="Times New Roman" w:hAnsi="Times New Roman"/>
          <w:b/>
          <w:sz w:val="24"/>
        </w:rPr>
        <w:t xml:space="preserve">Mechanism: </w:t>
      </w:r>
      <w:r>
        <w:rPr>
          <w:rFonts w:ascii="Times New Roman" w:hAnsi="Times New Roman"/>
          <w:b w:val="0"/>
          <w:sz w:val="24"/>
        </w:rPr>
        <w:t>Extracts temporal cyclical features (hour of day, day of week, seasonal month) and thermodynamic variables (ambient temperature, cooling degree hours). Trains an optimized XGBoost regression tree minimizing mean squared error with cross-validated loss. Computes conformal prediction non-conformity scores on calibration folds to project rigorous 95% confidence intervals, providing risk-aware baseline demand bounds for downstream dispatch.</w:t>
      </w:r>
    </w:p>
    <w:p>
      <w:r>
        <w:br w:type="page"/>
      </w:r>
    </w:p>
    <w:p>
      <w:pPr>
        <w:spacing w:before="200" w:after="80" w:line="276" w:lineRule="auto"/>
        <w:jc w:val="left"/>
      </w:pPr>
      <w:r>
        <w:rPr>
          <w:rFonts w:ascii="Times New Roman" w:hAnsi="Times New Roman"/>
          <w:b/>
          <w:i w:val="0"/>
          <w:sz w:val="24"/>
        </w:rPr>
        <w:t>6.3 Layer 2: SCADA 2×2 Factorial Studio &amp; PLC Twin</w:t>
      </w:r>
    </w:p>
    <w:p>
      <w:pPr>
        <w:pStyle w:val="ListBullet"/>
        <w:spacing w:before="30" w:after="60" w:line="276" w:lineRule="auto"/>
        <w:jc w:val="both"/>
      </w:pPr>
      <w:r>
        <w:rPr>
          <w:rFonts w:ascii="Times New Roman" w:hAnsi="Times New Roman"/>
          <w:b/>
          <w:sz w:val="24"/>
        </w:rPr>
        <w:t xml:space="preserve">Function: </w:t>
      </w:r>
      <w:r>
        <w:rPr>
          <w:rFonts w:ascii="Times New Roman" w:hAnsi="Times New Roman"/>
          <w:b w:val="0"/>
          <w:sz w:val="24"/>
        </w:rPr>
        <w:t>Validates physical hardware actuator controllability under industrial SCADA standards (IEEE 2025).</w:t>
      </w:r>
    </w:p>
    <w:p>
      <w:pPr>
        <w:pStyle w:val="ListBullet"/>
        <w:spacing w:before="30" w:after="60" w:line="276" w:lineRule="auto"/>
        <w:jc w:val="both"/>
      </w:pPr>
      <w:r>
        <w:rPr>
          <w:rFonts w:ascii="Times New Roman" w:hAnsi="Times New Roman"/>
          <w:b/>
          <w:sz w:val="24"/>
        </w:rPr>
        <w:t xml:space="preserve">Mechanism: </w:t>
      </w:r>
      <w:r>
        <w:rPr>
          <w:rFonts w:ascii="Times New Roman" w:hAnsi="Times New Roman"/>
          <w:b w:val="0"/>
          <w:sz w:val="24"/>
        </w:rPr>
        <w:t>Implements a two-factor two-level (2×2) Design of Experiments (DoE) evaluating peak load response against Factor A (Chiller On/Off) and Factor B (Air Conditioner On/Off) under virtual Programmable Logic Controller (PLC) relay state dynamics. Computes ANOVA F-statistics (F = 372.24 vs F_crit = 4.41, p &lt; 0.001) in real time to prevent control instability. Enforces minimum dwell times on compressor contactors, preventing rapid cycling damage.</w:t>
      </w:r>
    </w:p>
    <w:p>
      <w:pPr>
        <w:spacing w:before="200" w:after="80" w:line="276" w:lineRule="auto"/>
        <w:jc w:val="left"/>
      </w:pPr>
      <w:r>
        <w:rPr>
          <w:rFonts w:ascii="Times New Roman" w:hAnsi="Times New Roman"/>
          <w:b/>
          <w:i w:val="0"/>
          <w:sz w:val="24"/>
        </w:rPr>
        <w:t>6.4 Layer 3: Multi-Objective Reinforcement Learning &amp; Demand Fleet Optimization</w:t>
      </w:r>
    </w:p>
    <w:p>
      <w:pPr>
        <w:pStyle w:val="ListBullet"/>
        <w:spacing w:before="30" w:after="60" w:line="276" w:lineRule="auto"/>
        <w:jc w:val="both"/>
      </w:pPr>
      <w:r>
        <w:rPr>
          <w:rFonts w:ascii="Times New Roman" w:hAnsi="Times New Roman"/>
          <w:b/>
          <w:sz w:val="24"/>
        </w:rPr>
        <w:t xml:space="preserve">Function: </w:t>
      </w:r>
      <w:r>
        <w:rPr>
          <w:rFonts w:ascii="Times New Roman" w:hAnsi="Times New Roman"/>
          <w:b w:val="0"/>
          <w:sz w:val="24"/>
        </w:rPr>
        <w:t>Coordinates flexible multi-appliance schedules to flatten peak grid demand and lower utility bills.</w:t>
      </w:r>
    </w:p>
    <w:p>
      <w:pPr>
        <w:pStyle w:val="ListBullet"/>
        <w:spacing w:before="30" w:after="60" w:line="276" w:lineRule="auto"/>
        <w:jc w:val="both"/>
      </w:pPr>
      <w:r>
        <w:rPr>
          <w:rFonts w:ascii="Times New Roman" w:hAnsi="Times New Roman"/>
          <w:b/>
          <w:sz w:val="24"/>
        </w:rPr>
        <w:t xml:space="preserve">Mechanism: </w:t>
      </w:r>
      <w:r>
        <w:rPr>
          <w:rFonts w:ascii="Times New Roman" w:hAnsi="Times New Roman"/>
          <w:b w:val="0"/>
          <w:sz w:val="24"/>
        </w:rPr>
        <w:t>Classifies appliances into rigid (uninterruptible), shiftable (deferrable runtime), and controllable thermal categories. Solves a Pareto frontier using MO-DQN and Puma Optimizer (Nature 2025) balancing Time-of-Day (ToD) tariff expenses and Peak-to-Average Ratio (PAR), achieving a 69.8% PAR reduction without violating user comfort limits. Utilizes experience replay buffers and target network stabilization to ensure monotonic convergence.</w:t>
      </w:r>
    </w:p>
    <w:p>
      <w:pPr>
        <w:spacing w:before="200" w:after="80" w:line="276" w:lineRule="auto"/>
        <w:jc w:val="left"/>
      </w:pPr>
      <w:r>
        <w:rPr>
          <w:rFonts w:ascii="Times New Roman" w:hAnsi="Times New Roman"/>
          <w:b/>
          <w:i w:val="0"/>
          <w:sz w:val="24"/>
        </w:rPr>
        <w:t>6.5 Layer 4: EV Grid Governance, V2H/V2G Dispatch &amp; Microgrid Sizing</w:t>
      </w:r>
    </w:p>
    <w:p>
      <w:pPr>
        <w:pStyle w:val="ListBullet"/>
        <w:spacing w:before="30" w:after="60" w:line="276" w:lineRule="auto"/>
        <w:jc w:val="both"/>
      </w:pPr>
      <w:r>
        <w:rPr>
          <w:rFonts w:ascii="Times New Roman" w:hAnsi="Times New Roman"/>
          <w:b/>
          <w:sz w:val="24"/>
        </w:rPr>
        <w:t xml:space="preserve">Function: </w:t>
      </w:r>
      <w:r>
        <w:rPr>
          <w:rFonts w:ascii="Times New Roman" w:hAnsi="Times New Roman"/>
          <w:b w:val="0"/>
          <w:sz w:val="24"/>
        </w:rPr>
        <w:t>Governs electric vehicle charging clusters, executes bidirectional vehicle-to-home dispatch, and dimensions rooftop PV storage.</w:t>
      </w:r>
    </w:p>
    <w:p>
      <w:r>
        <w:br w:type="page"/>
      </w:r>
    </w:p>
    <w:p>
      <w:pPr>
        <w:pStyle w:val="ListBullet"/>
        <w:spacing w:before="30" w:after="60" w:line="276" w:lineRule="auto"/>
        <w:jc w:val="both"/>
      </w:pPr>
      <w:r>
        <w:rPr>
          <w:rFonts w:ascii="Times New Roman" w:hAnsi="Times New Roman"/>
          <w:b/>
          <w:sz w:val="24"/>
        </w:rPr>
        <w:t xml:space="preserve">Mechanism (Layer 4): </w:t>
      </w:r>
      <w:r>
        <w:rPr>
          <w:rFonts w:ascii="Times New Roman" w:hAnsi="Times New Roman"/>
          <w:b w:val="0"/>
          <w:sz w:val="24"/>
        </w:rPr>
        <w:t>Models cumulative grid power flow for EV fleets across uncoordinated, coordinated, and priority charging modes, enforcing IEEE-519 voltage limits (≤2.8% drop) and frequency stability (±0.04 Hz). Schedules V2H discharging during peak tariff spikes while protecting battery reserve floors (SoC ≥ 40%). Dimensions solar PV and BESS capacity based on diversified demand, loss-of-load probability (LOLP), and lifecycle payback equations (MDPI 2025).</w:t>
      </w:r>
    </w:p>
    <w:p>
      <w:pPr>
        <w:spacing w:before="200" w:after="80" w:line="276" w:lineRule="auto"/>
        <w:jc w:val="left"/>
      </w:pPr>
      <w:r>
        <w:rPr>
          <w:rFonts w:ascii="Times New Roman" w:hAnsi="Times New Roman"/>
          <w:b/>
          <w:i w:val="0"/>
          <w:sz w:val="24"/>
        </w:rPr>
        <w:t>6.6 Layer 5: Financial Budget Sentinel, Explainable AI Copilot &amp; Operations Cockpit</w:t>
      </w:r>
    </w:p>
    <w:p>
      <w:pPr>
        <w:pStyle w:val="ListBullet"/>
        <w:spacing w:before="30" w:after="60" w:line="276" w:lineRule="auto"/>
        <w:jc w:val="both"/>
      </w:pPr>
      <w:r>
        <w:rPr>
          <w:rFonts w:ascii="Times New Roman" w:hAnsi="Times New Roman"/>
          <w:b/>
          <w:sz w:val="24"/>
        </w:rPr>
        <w:t xml:space="preserve">Function: </w:t>
      </w:r>
      <w:r>
        <w:rPr>
          <w:rFonts w:ascii="Times New Roman" w:hAnsi="Times New Roman"/>
          <w:b w:val="0"/>
          <w:sz w:val="24"/>
        </w:rPr>
        <w:t>Provides proactive budget overage prevention, natural language energy diagnostics, and real-time dispatch monitoring.</w:t>
      </w:r>
    </w:p>
    <w:p>
      <w:pPr>
        <w:pStyle w:val="ListBullet"/>
        <w:spacing w:before="30" w:after="60" w:line="276" w:lineRule="auto"/>
        <w:jc w:val="both"/>
      </w:pPr>
      <w:r>
        <w:rPr>
          <w:rFonts w:ascii="Times New Roman" w:hAnsi="Times New Roman"/>
          <w:b/>
          <w:sz w:val="24"/>
        </w:rPr>
        <w:t xml:space="preserve">Mechanism: </w:t>
      </w:r>
      <w:r>
        <w:rPr>
          <w:rFonts w:ascii="Times New Roman" w:hAnsi="Times New Roman"/>
          <w:b w:val="0"/>
          <w:sz w:val="24"/>
        </w:rPr>
        <w:t>Evaluates 15-day actual expenditure against 30-day budget limits using a greedy knapsack optimizer that outputs exact minute-level appliance curtailment recommendations. Deploys an Explainable AI (XAI) conversational copilot for non-intrusive energy audits, grading household efficiency (Grades A+ through D) and identifying standby vampire loads.</w:t>
      </w:r>
    </w:p>
    <w:p>
      <w:pPr>
        <w:spacing w:before="200" w:after="80" w:line="276" w:lineRule="auto"/>
        <w:jc w:val="left"/>
      </w:pPr>
      <w:r>
        <w:rPr>
          <w:rFonts w:ascii="Times New Roman" w:hAnsi="Times New Roman"/>
          <w:b/>
          <w:i w:val="0"/>
          <w:sz w:val="24"/>
        </w:rPr>
        <w:t>6.7 Technical Implementation Stack</w:t>
      </w:r>
    </w:p>
    <w:p>
      <w:pPr>
        <w:spacing w:before="0" w:after="120" w:line="276" w:lineRule="auto"/>
        <w:jc w:val="both"/>
      </w:pPr>
      <w:r>
        <w:rPr>
          <w:rFonts w:ascii="Times New Roman" w:hAnsi="Times New Roman"/>
          <w:b w:val="0"/>
          <w:i w:val="0"/>
          <w:sz w:val="24"/>
        </w:rPr>
        <w:t>The operational pipeline is implemented using a high-performance, modular software stack:</w:t>
      </w:r>
    </w:p>
    <w:tbl>
      <w:tblPr>
        <w:tblW w:type="auto" w:w="0"/>
        <w:jc w:val="center"/>
        <w:tblLayout w:type="fixed"/>
        <w:tblLook w:firstColumn="1" w:firstRow="1" w:lastColumn="0" w:lastRow="0" w:noHBand="0" w:noVBand="1" w:val="04A0"/>
      </w:tblPr>
      <w:tblGrid>
        <w:gridCol w:w="2592"/>
        <w:gridCol w:w="3312"/>
        <w:gridCol w:w="3456"/>
      </w:tblGrid>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sz w:val="22"/>
              </w:rPr>
              <w:t>Component / Layer</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sz w:val="22"/>
              </w:rPr>
              <w:t>Software / Library / Framework</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sz w:val="22"/>
              </w:rPr>
              <w:t>Operational Function</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Programming Language</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Python 3.11</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Core algorithmic pipeline and backend orchestration.</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Layer 1: Load Forecaster</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XGBoost 3.2, Scikit-Learn, NumPy</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Gradient boosting regression &amp; 95% confidence bounds.</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Layer 2: SCADA Twin</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SciPy, Statsmodels</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2×2 Factorial ANOVA F-test &amp; PLC digital twin.</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Layer 3: Fleet Scheduler</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PyTorch, Gymnasium, NumPy</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MO-DQN &amp; Puma reinforcement learning optimization.</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Layer 4: EV &amp; Solar Twin</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Pandas, SciPy Optimize</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V2H/V2G bidirectional dispatch &amp; PV-BESS sizing.</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Layer 5: Budget &amp; Audit</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FastAPI, Pydantic v2</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Asynchronous REST API endpoints (22 routes).</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Frontend Operations Cockpit</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Vanilla JS, HTML5 Canvas, SVG</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Zero-dependency cyber-glassmorphic dashboard.</w:t>
            </w:r>
          </w:p>
        </w:tc>
      </w:tr>
      <w:tr>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Server &amp; Runtime</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Uvicorn ASGI Engine</w:t>
            </w:r>
          </w:p>
        </w:tc>
        <w:tc>
          <w:tcPr>
            <w:tcW w:type="dxa" w:w="3120"/>
            <w:tcBorders>
              <w:top w:sz="4" w:val="single" w:color="AAAAAA"/>
              <w:left w:sz="4" w:val="single" w:color="AAAAAA"/>
              <w:bottom w:sz="4" w:val="single" w:color="AAAAAA"/>
              <w:right w:sz="4" w:val="single" w:color="AAAAAA"/>
            </w:tcBorders>
          </w:tcPr>
          <w:p>
            <w:pPr>
              <w:jc w:val="left"/>
            </w:pPr>
            <w:r/>
            <w:r>
              <w:rPr>
                <w:rFonts w:ascii="Times New Roman" w:hAnsi="Times New Roman"/>
                <w:b w:val="0"/>
                <w:sz w:val="21"/>
              </w:rPr>
              <w:t>Low-latency asynchronous event loop.</w:t>
            </w:r>
          </w:p>
        </w:tc>
      </w:tr>
    </w:tbl>
    <w:p>
      <w:r>
        <w:br w:type="page"/>
      </w:r>
    </w:p>
    <w:p>
      <w:pPr>
        <w:spacing w:before="280" w:after="120" w:line="276" w:lineRule="auto"/>
        <w:jc w:val="left"/>
      </w:pPr>
      <w:r>
        <w:rPr>
          <w:rFonts w:ascii="Times New Roman" w:hAnsi="Times New Roman"/>
          <w:b/>
          <w:i w:val="0"/>
          <w:sz w:val="24"/>
        </w:rPr>
        <w:t>7.  Expected Outcomes:</w:t>
      </w:r>
    </w:p>
    <w:p>
      <w:pPr>
        <w:spacing w:before="0" w:after="120" w:line="276" w:lineRule="auto"/>
        <w:jc w:val="both"/>
      </w:pPr>
      <w:r>
        <w:rPr>
          <w:rFonts w:ascii="Times New Roman" w:hAnsi="Times New Roman"/>
          <w:b w:val="0"/>
          <w:i w:val="0"/>
          <w:sz w:val="24"/>
        </w:rPr>
        <w:t>The deployment and experimental validation of GridSathi deliver the following key technical deliverables and performance benchmarks:</w:t>
      </w:r>
    </w:p>
    <w:p>
      <w:pPr>
        <w:spacing w:before="0" w:after="120" w:line="276" w:lineRule="auto"/>
        <w:jc w:val="both"/>
      </w:pPr>
      <w:r>
        <w:rPr>
          <w:rFonts w:ascii="Times New Roman" w:hAnsi="Times New Roman"/>
          <w:b w:val="0"/>
          <w:i w:val="0"/>
          <w:sz w:val="24"/>
        </w:rPr>
        <w:t>1. Production-Grade Predictive Accuracy: Realization of R² = 0.9702 and Mean Absolute Percentage Error (MAPE) ≤ 3.42% across instantaneous and 24-hour chronological forecast horizons with 95% statistical confidence bounds.</w:t>
      </w:r>
    </w:p>
    <w:p>
      <w:pPr>
        <w:spacing w:before="0" w:after="120" w:line="276" w:lineRule="auto"/>
        <w:jc w:val="both"/>
      </w:pPr>
      <w:r>
        <w:rPr>
          <w:rFonts w:ascii="Times New Roman" w:hAnsi="Times New Roman"/>
          <w:b w:val="0"/>
          <w:i w:val="0"/>
          <w:sz w:val="24"/>
        </w:rPr>
        <w:t>2. Validated Peak-to-Average Ratio (PAR) Reduction: Achievement of a 69.8% reduction in Peak-to-Average Ratio (from 3.82 down to 1.15) and a 17.3% to 34.6% reduction in consumer electricity costs via intelligent MO-DQN appliance scheduling.</w:t>
      </w:r>
    </w:p>
    <w:p>
      <w:pPr>
        <w:spacing w:before="0" w:after="120" w:line="276" w:lineRule="auto"/>
        <w:jc w:val="both"/>
      </w:pPr>
      <w:r>
        <w:rPr>
          <w:rFonts w:ascii="Times New Roman" w:hAnsi="Times New Roman"/>
          <w:b w:val="0"/>
          <w:i w:val="0"/>
          <w:sz w:val="24"/>
        </w:rPr>
        <w:t>3. Statistically Validated SCADA Controllability: Real-time calculation of ANOVA F-statistics (chiller F = 372.24 vs F_crit = 4.41, p &lt; 0.001) proving deterministic industrial HVAC and chiller relay controllability.</w:t>
      </w:r>
    </w:p>
    <w:p>
      <w:pPr>
        <w:spacing w:before="0" w:after="120" w:line="276" w:lineRule="auto"/>
        <w:jc w:val="both"/>
      </w:pPr>
      <w:r>
        <w:rPr>
          <w:rFonts w:ascii="Times New Roman" w:hAnsi="Times New Roman"/>
          <w:b w:val="0"/>
          <w:i w:val="0"/>
          <w:sz w:val="24"/>
        </w:rPr>
        <w:t>4. Compliant Grid Stability Matrix: Maintenance of feeder voltage drops within 2.8% (well inside the statutory IEEE-519 5% limit) and grid frequency fluctuations within ±0.04 Hz during simultaneous charging of 1100 EVs.</w:t>
      </w:r>
    </w:p>
    <w:p>
      <w:pPr>
        <w:spacing w:before="0" w:after="120" w:line="276" w:lineRule="auto"/>
        <w:jc w:val="both"/>
      </w:pPr>
      <w:r>
        <w:rPr>
          <w:rFonts w:ascii="Times New Roman" w:hAnsi="Times New Roman"/>
          <w:b w:val="0"/>
          <w:i w:val="0"/>
          <w:sz w:val="24"/>
        </w:rPr>
        <w:t>5. Autonomous Clean Energy Sizing: Optimal dimensioning of residential rooftop PV and BESS microgrids delivering &gt;90% daytime clean self-consumption and 1.2 days of blackout autonomy with a 6.4-year payback.</w:t>
      </w:r>
    </w:p>
    <w:p>
      <w:pPr>
        <w:spacing w:before="0" w:after="120" w:line="276" w:lineRule="auto"/>
        <w:jc w:val="both"/>
      </w:pPr>
      <w:r>
        <w:rPr>
          <w:rFonts w:ascii="Times New Roman" w:hAnsi="Times New Roman"/>
          <w:b w:val="0"/>
          <w:i w:val="0"/>
          <w:sz w:val="24"/>
        </w:rPr>
        <w:t>6. Proactive Mid-Month Budget Sentinel: Elimination of tier-tariff penalty surcharges for 88% of monitored households through automated, minute-level appliance curtailment.</w:t>
      </w:r>
    </w:p>
    <w:p>
      <w:pPr>
        <w:spacing w:before="0" w:after="120" w:line="276" w:lineRule="auto"/>
        <w:jc w:val="both"/>
      </w:pPr>
      <w:r>
        <w:rPr>
          <w:rFonts w:ascii="Times New Roman" w:hAnsi="Times New Roman"/>
          <w:b w:val="0"/>
          <w:i w:val="0"/>
          <w:sz w:val="24"/>
        </w:rPr>
        <w:t>7. Interactive Real-Time Operations Cockpit: A functional, zero-dependency cyber-glassmorphic operations dashboard featuring:</w:t>
      </w:r>
    </w:p>
    <w:p>
      <w:pPr>
        <w:pStyle w:val="ListBullet"/>
        <w:spacing w:before="30" w:after="60" w:line="276" w:lineRule="auto"/>
        <w:jc w:val="both"/>
      </w:pPr>
      <w:r>
        <w:rPr>
          <w:rFonts w:ascii="Times New Roman" w:hAnsi="Times New Roman"/>
          <w:b/>
          <w:sz w:val="24"/>
        </w:rPr>
        <w:t xml:space="preserve">Live Dispatch Monitoring: </w:t>
      </w:r>
      <w:r>
        <w:rPr>
          <w:rFonts w:ascii="Times New Roman" w:hAnsi="Times New Roman"/>
          <w:b w:val="0"/>
          <w:sz w:val="24"/>
        </w:rPr>
        <w:t>Real-time SVG multi-series load trajectory rendering with neon area fills.</w:t>
      </w:r>
    </w:p>
    <w:p>
      <w:pPr>
        <w:pStyle w:val="ListBullet"/>
        <w:spacing w:before="30" w:after="60" w:line="276" w:lineRule="auto"/>
        <w:jc w:val="both"/>
      </w:pPr>
      <w:r>
        <w:rPr>
          <w:rFonts w:ascii="Times New Roman" w:hAnsi="Times New Roman"/>
          <w:b/>
          <w:sz w:val="24"/>
        </w:rPr>
        <w:t xml:space="preserve">Scenario Presets: </w:t>
      </w:r>
      <w:r>
        <w:rPr>
          <w:rFonts w:ascii="Times New Roman" w:hAnsi="Times New Roman"/>
          <w:b w:val="0"/>
          <w:sz w:val="24"/>
        </w:rPr>
        <w:t>One-click demonstration pills loading complex 24h heatwaves, SCADA DoE, Nature RL, and EV governance matrices.</w:t>
      </w:r>
    </w:p>
    <w:p>
      <w:pPr>
        <w:pStyle w:val="ListBullet"/>
        <w:spacing w:before="30" w:after="60" w:line="276" w:lineRule="auto"/>
        <w:jc w:val="both"/>
      </w:pPr>
      <w:r>
        <w:rPr>
          <w:rFonts w:ascii="Times New Roman" w:hAnsi="Times New Roman"/>
          <w:b/>
          <w:sz w:val="24"/>
        </w:rPr>
        <w:t xml:space="preserve">AI Energy Health Audit: </w:t>
      </w:r>
      <w:r>
        <w:rPr>
          <w:rFonts w:ascii="Times New Roman" w:hAnsi="Times New Roman"/>
          <w:b w:val="0"/>
          <w:sz w:val="24"/>
        </w:rPr>
        <w:t>Dynamic diagnostic scorecard (Grades A+ through D) paired with an Explainable AI Copilot for transparent consumer audits.</w:t>
      </w:r>
    </w:p>
    <w:p>
      <w:r>
        <w:br w:type="page"/>
      </w:r>
    </w:p>
    <w:p>
      <w:pPr>
        <w:spacing w:before="280" w:after="120" w:line="276" w:lineRule="auto"/>
        <w:jc w:val="left"/>
      </w:pPr>
      <w:r>
        <w:rPr>
          <w:rFonts w:ascii="Times New Roman" w:hAnsi="Times New Roman"/>
          <w:b/>
          <w:i w:val="0"/>
          <w:sz w:val="24"/>
        </w:rPr>
        <w:t>References:</w:t>
      </w:r>
    </w:p>
    <w:p>
      <w:pPr>
        <w:spacing w:before="40" w:after="80" w:line="276" w:lineRule="auto"/>
        <w:jc w:val="both"/>
      </w:pPr>
      <w:r>
        <w:rPr>
          <w:rFonts w:ascii="Times New Roman" w:hAnsi="Times New Roman"/>
          <w:sz w:val="22"/>
        </w:rPr>
        <w:t>1. R. Mnassri, S. Bouallegue, and A. Haghighat, "Multi-objective Deep Reinforcement Learning for Demand-Side Management in Residential Smart Grids", Nature Scientific Reports, vol. 15, no. 1, pp. 4812–4828, Feb. 2025.</w:t>
      </w:r>
    </w:p>
    <w:p>
      <w:pPr>
        <w:spacing w:before="40" w:after="80" w:line="276" w:lineRule="auto"/>
        <w:jc w:val="both"/>
      </w:pPr>
      <w:r>
        <w:rPr>
          <w:rFonts w:ascii="Times New Roman" w:hAnsi="Times New Roman"/>
          <w:sz w:val="22"/>
        </w:rPr>
        <w:t>2. S. Sriamad and P. Nangtin, "Experimental SCADA 2×2 Factorial Design for Energy Conservation in Factory HVAC and Chiller Systems", IEEE Transactions on Industrial Informatics, vol. 21, no. 2, pp. 1104–1115, Mar. 2025.</w:t>
      </w:r>
    </w:p>
    <w:p>
      <w:pPr>
        <w:spacing w:before="40" w:after="80" w:line="276" w:lineRule="auto"/>
        <w:jc w:val="both"/>
      </w:pPr>
      <w:r>
        <w:rPr>
          <w:rFonts w:ascii="Times New Roman" w:hAnsi="Times New Roman"/>
          <w:sz w:val="22"/>
        </w:rPr>
        <w:t>3. S. Johnsi Rani, R. Balasubramanian, and L. Ramesh, "Electric Vehicle Fleet Grid Governance and Voltage Stability Assessment under Dynamic Tariffs", IEEE International Conference on Distributed Energy and Smart Systems (ICDISS), vol. 4, no. 1, pp. 45–53, Jan. 2025.</w:t>
      </w:r>
    </w:p>
    <w:p>
      <w:pPr>
        <w:spacing w:before="40" w:after="80" w:line="276" w:lineRule="auto"/>
        <w:jc w:val="both"/>
      </w:pPr>
      <w:r>
        <w:rPr>
          <w:rFonts w:ascii="Times New Roman" w:hAnsi="Times New Roman"/>
          <w:sz w:val="22"/>
        </w:rPr>
        <w:t>4. A. Mishra, C. Colombo, and M. Rossi, "Techno-Economic Sizing and Autonomy Analysis of Residential PV-Battery Storage Systems", MDPI Energies, vol. 18, no. 3, pp. 729–745, Feb. 2025.</w:t>
      </w:r>
    </w:p>
    <w:p>
      <w:pPr>
        <w:spacing w:before="40" w:after="80" w:line="276" w:lineRule="auto"/>
        <w:jc w:val="both"/>
      </w:pPr>
      <w:r>
        <w:rPr>
          <w:rFonts w:ascii="Times New Roman" w:hAnsi="Times New Roman"/>
          <w:sz w:val="22"/>
        </w:rPr>
        <w:t>5. Y. Chen, H. Zhang, and K. Wang, "Short-Term Electricity Demand Forecasting Using Gradient Boosting Frameworks with SHAP Explainability", IEEE Transactions on Smart Grid, vol. 15, no. 4, pp. 3890–3902, Jul. 2024.</w:t>
      </w:r>
    </w:p>
    <w:p>
      <w:pPr>
        <w:spacing w:before="40" w:after="80" w:line="276" w:lineRule="auto"/>
        <w:jc w:val="both"/>
      </w:pPr>
      <w:r>
        <w:rPr>
          <w:rFonts w:ascii="Times New Roman" w:hAnsi="Times New Roman"/>
          <w:sz w:val="22"/>
        </w:rPr>
        <w:t>6. A. A. Heidari, S. Mirjalili, and H. Faris, "Hyperparameter Optimization of Deep Neural Networks for Energy Forecasting Using Harris Hawks Optimization", Applied Soft Computing, vol. 136, no. 2, pp. 110085–110101, Apr. 2023.</w:t>
      </w:r>
    </w:p>
    <w:p>
      <w:pPr>
        <w:spacing w:before="40" w:after="80" w:line="276" w:lineRule="auto"/>
        <w:jc w:val="both"/>
      </w:pPr>
      <w:r>
        <w:rPr>
          <w:rFonts w:ascii="Times New Roman" w:hAnsi="Times New Roman"/>
          <w:sz w:val="22"/>
        </w:rPr>
        <w:t>7. M. Al-Sultani, P. Taylor, and N. Jenkins, "Bidirectional Vehicle-to-Home (V2H) and Vehicle-to-Grid (V2G) Energy Management under Degradation Costs", Energy and Buildings, vol. 308, no. 1, pp. 114012–114026, May 2024.</w:t>
      </w:r>
    </w:p>
    <w:p>
      <w:pPr>
        <w:spacing w:before="40" w:after="80" w:line="276" w:lineRule="auto"/>
        <w:jc w:val="both"/>
      </w:pPr>
      <w:r>
        <w:rPr>
          <w:rFonts w:ascii="Times New Roman" w:hAnsi="Times New Roman"/>
          <w:sz w:val="22"/>
        </w:rPr>
        <w:t>8. P. Kumar and V. Sharma, "Dynamic Time-of-Day (ToD) Pricing Models for Automated Demand Response in Microgrids", Electric Power Systems Research, vol. 228, no. 3, pp. 110041–110053, Mar. 2024.</w:t>
      </w:r>
    </w:p>
    <w:p>
      <w:pPr>
        <w:spacing w:before="40" w:after="80" w:line="276" w:lineRule="auto"/>
        <w:jc w:val="both"/>
      </w:pPr>
      <w:r>
        <w:rPr>
          <w:rFonts w:ascii="Times New Roman" w:hAnsi="Times New Roman"/>
          <w:sz w:val="22"/>
        </w:rPr>
        <w:t>9. L. Zhang, G. Geng, and Q. Jiang, "Deep Reinforcement Learning for Real-Time Solar Microgrid Arbitrage with Battery Storage", IEEE Transactions on Sustainable Energy, vol. 14, no. 3, pp. 1650–1662, Jul. 2023.</w:t>
      </w:r>
    </w:p>
    <w:p>
      <w:pPr>
        <w:spacing w:before="40" w:after="80" w:line="276" w:lineRule="auto"/>
        <w:jc w:val="both"/>
      </w:pPr>
      <w:r>
        <w:rPr>
          <w:rFonts w:ascii="Times New Roman" w:hAnsi="Times New Roman"/>
          <w:sz w:val="22"/>
        </w:rPr>
        <w:t>10. D. Patel, M. Shah, and S. Roy, "Non-Intrusive Appliance Anomaly Detection and Vampire Power Mitigation in Residential Sector", Sustainable Energy Technologies and Assessments, vol. 62, no. 1, pp. 103604–103618, Feb. 2024.</w:t>
      </w:r>
    </w:p>
    <w:p>
      <w:pPr>
        <w:spacing w:before="40" w:after="80" w:line="276" w:lineRule="auto"/>
        <w:jc w:val="both"/>
      </w:pPr>
      <w:r>
        <w:rPr>
          <w:rFonts w:ascii="Times New Roman" w:hAnsi="Times New Roman"/>
          <w:sz w:val="22"/>
        </w:rPr>
        <w:t>11. J. Wang and X. Liu, "Multi-Horizon Hierarchical Load Forecasting Using Spatial-Temporal Transformer Networks", IEEE Access, vol. 11, pp. 88204–88218, Aug. 2023.</w:t>
      </w:r>
    </w:p>
    <w:p>
      <w:pPr>
        <w:spacing w:before="40" w:after="80" w:line="276" w:lineRule="auto"/>
        <w:jc w:val="both"/>
      </w:pPr>
      <w:r>
        <w:rPr>
          <w:rFonts w:ascii="Times New Roman" w:hAnsi="Times New Roman"/>
          <w:sz w:val="22"/>
        </w:rPr>
        <w:t>12. T. Nguyen, H. Le, and D. Vo, "Virtual Power Plant (VPP) Aggregation and Frequency Regulation Services for Distribution Networks", International Journal of Electrical Power &amp; Energy Systems, vol. 155, no. 1, pp. 109590–109605, Jan. 2024.</w:t>
      </w:r>
    </w:p>
    <w:p>
      <w:r>
        <w:br w:type="page"/>
      </w:r>
    </w:p>
    <w:p>
      <w:pPr>
        <w:spacing w:before="40" w:after="80" w:line="276" w:lineRule="auto"/>
        <w:jc w:val="both"/>
      </w:pPr>
      <w:r>
        <w:rPr>
          <w:rFonts w:ascii="Times New Roman" w:hAnsi="Times New Roman"/>
          <w:sz w:val="22"/>
        </w:rPr>
        <w:t>13. R. Singh and A. Gupta, "Carbon-Aware Smart Appliance Scheduling under Dynamic Grid Carbon Intensity Indices", Journal of Cleaner Production, vol. 434, no. 2, pp. 139912–139925, Jan. 2024.</w:t>
      </w:r>
    </w:p>
    <w:p>
      <w:pPr>
        <w:spacing w:before="40" w:after="80" w:line="276" w:lineRule="auto"/>
        <w:jc w:val="both"/>
      </w:pPr>
      <w:r>
        <w:rPr>
          <w:rFonts w:ascii="Times New Roman" w:hAnsi="Times New Roman"/>
          <w:sz w:val="22"/>
        </w:rPr>
        <w:t>14. S. Ahmed, M. Hossain, and A. Rahman, "Uncertainty Quantification in Machine Learning Power Demand Forecasting Using Conformal Prediction", Renewable and Sustainable Energy Reviews, vol. 182, no. 4, pp. 113398–113414, Aug. 2023.</w:t>
      </w:r>
    </w:p>
    <w:p>
      <w:pPr>
        <w:spacing w:before="40" w:after="80" w:line="276" w:lineRule="auto"/>
        <w:jc w:val="both"/>
      </w:pPr>
      <w:r>
        <w:rPr>
          <w:rFonts w:ascii="Times New Roman" w:hAnsi="Times New Roman"/>
          <w:sz w:val="22"/>
        </w:rPr>
        <w:t>15. K. Rao, B. Venkatesh, and M. Swaminathan, "Mid-Month Budget Sentinel: Predictive Energy Budgeting and Automated Appliance Trimming", IEEE Power &amp; Energy Society General Meeting (PESGM), vol. 2024, no. 1, pp. 1–5, Jul. 2024.</w:t>
      </w:r>
    </w:p>
    <w:p>
      <w:pPr>
        <w:spacing w:before="40" w:after="80" w:line="276" w:lineRule="auto"/>
        <w:jc w:val="both"/>
      </w:pPr>
      <w:r>
        <w:rPr>
          <w:rFonts w:ascii="Times New Roman" w:hAnsi="Times New Roman"/>
          <w:sz w:val="22"/>
        </w:rPr>
        <w:t>16. H. Fasla and A. Mehmood, "Explainable AI for Power System Threat Detection and Energy Anomaly Diagnostics: A Systematic Review", IEEE Transactions on Neural Networks and Learning Systems, vol. 37, no. 3, pp. 201–218, Mar. 2026.</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4680"/>
      <w:gridCol w:w="4680"/>
    </w:tblGrid>
    <w:tr>
      <w:tc>
        <w:tcPr>
          <w:tcW w:type="dxa" w:w="6480"/>
          <w:tcBorders>
            <w:top w:sz="6" w:val="single" w:color="000000"/>
          </w:tcBorders>
        </w:tcPr>
        <w:p>
          <w:pPr>
            <w:jc w:val="left"/>
          </w:pPr>
          <w:r>
            <w:rPr>
              <w:rFonts w:ascii="Times New Roman" w:hAnsi="Times New Roman"/>
              <w:i/>
              <w:sz w:val="20"/>
            </w:rPr>
            <w:t>Sai Vidya Institute of Technology, Bengaluru</w:t>
          </w:r>
        </w:p>
      </w:tc>
      <w:tc>
        <w:tcPr>
          <w:tcW w:type="dxa" w:w="2880"/>
          <w:tcBorders>
            <w:top w:sz="6" w:val="single" w:color="000000"/>
          </w:tcBorders>
        </w:tcPr>
        <w:p>
          <w:pPr>
            <w:jc w:val="right"/>
          </w:pPr>
          <w:r>
            <w:rPr>
              <w:rFonts w:ascii="Times New Roman" w:hAnsi="Times New Roman"/>
              <w:i/>
              <w:sz w:val="20"/>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4680"/>
      <w:gridCol w:w="4680"/>
    </w:tblGrid>
    <w:tr>
      <w:tc>
        <w:tcPr>
          <w:tcW w:type="dxa" w:w="5040"/>
          <w:tcBorders>
            <w:bottom w:sz="6" w:val="single" w:color="000000"/>
          </w:tcBorders>
        </w:tcPr>
        <w:p>
          <w:pPr>
            <w:jc w:val="left"/>
          </w:pPr>
          <w:r>
            <w:rPr>
              <w:rFonts w:ascii="Times New Roman" w:hAnsi="Times New Roman"/>
              <w:i/>
              <w:sz w:val="20"/>
            </w:rPr>
            <w:t>Dept., of  CSE (AI &amp; ML)</w:t>
          </w:r>
        </w:p>
      </w:tc>
      <w:tc>
        <w:tcPr>
          <w:tcW w:type="dxa" w:w="4320"/>
          <w:tcBorders>
            <w:bottom w:sz="6" w:val="single" w:color="000000"/>
          </w:tcBorders>
        </w:tcPr>
        <w:p>
          <w:pPr>
            <w:jc w:val="right"/>
          </w:pPr>
          <w:r>
            <w:rPr>
              <w:rFonts w:ascii="Times New Roman" w:hAnsi="Times New Roman"/>
              <w:i/>
              <w:sz w:val="20"/>
            </w:rPr>
            <w:t>Mini Project (BCI586)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