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E7A76D" w:rsidP="11E7A76D" w:rsidRDefault="11E7A76D" w14:paraId="1928E837" w14:textId="28750C6E">
      <w:pPr>
        <w:spacing w:after="200" w:line="240" w:lineRule="auto"/>
        <w:rPr>
          <w:rFonts w:ascii="Calibri" w:hAnsi="Calibri" w:eastAsia="Calibri" w:cs="Calibri"/>
          <w:b w:val="0"/>
          <w:bCs w:val="0"/>
          <w:i w:val="0"/>
          <w:iCs w:val="0"/>
          <w:noProof w:val="0"/>
          <w:color w:val="000000" w:themeColor="text1" w:themeTint="FF" w:themeShade="FF"/>
          <w:sz w:val="31"/>
          <w:szCs w:val="31"/>
          <w:lang w:val="en-US"/>
        </w:rPr>
      </w:pPr>
      <w:r w:rsidRPr="11E7A76D" w:rsidR="11E7A76D">
        <w:rPr>
          <w:rFonts w:ascii="Calibri" w:hAnsi="Calibri" w:eastAsia="Calibri" w:cs="Calibri"/>
          <w:b w:val="1"/>
          <w:bCs w:val="1"/>
          <w:i w:val="0"/>
          <w:iCs w:val="0"/>
          <w:noProof w:val="0"/>
          <w:color w:val="000000" w:themeColor="text1" w:themeTint="FF" w:themeShade="FF"/>
          <w:sz w:val="31"/>
          <w:szCs w:val="31"/>
          <w:u w:val="single"/>
          <w:lang w:val="en-GB"/>
        </w:rPr>
        <w:t>Data Required for New Legacy Monsanto URL Domain Purchase &amp; Registration</w:t>
      </w:r>
      <w:r w:rsidRPr="11E7A76D" w:rsidR="11E7A76D">
        <w:rPr>
          <w:rFonts w:ascii="Calibri" w:hAnsi="Calibri" w:eastAsia="Calibri" w:cs="Calibri"/>
          <w:b w:val="0"/>
          <w:bCs w:val="0"/>
          <w:i w:val="0"/>
          <w:iCs w:val="0"/>
          <w:noProof w:val="0"/>
          <w:color w:val="000000" w:themeColor="text1" w:themeTint="FF" w:themeShade="FF"/>
          <w:sz w:val="31"/>
          <w:szCs w:val="31"/>
          <w:u w:val="single"/>
          <w:lang w:val="en-GB"/>
        </w:rPr>
        <w:t>:</w:t>
      </w:r>
    </w:p>
    <w:p w:rsidR="11E7A76D" w:rsidP="11E7A76D" w:rsidRDefault="11E7A76D" w14:paraId="261FDF1B" w14:textId="1335D0A1">
      <w:pPr>
        <w:spacing w:after="20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1E7A76D" w:rsidP="11E7A76D" w:rsidRDefault="11E7A76D" w14:paraId="1C09D75C" w14:textId="261739C7">
      <w:pPr>
        <w:spacing w:after="200" w:line="240" w:lineRule="auto"/>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1.         The exact domain name to be registered: </w:t>
      </w:r>
      <w:r w:rsidRPr="11E7A76D" w:rsidR="11E7A76D">
        <w:rPr>
          <w:rFonts w:ascii="Calibri" w:hAnsi="Calibri" w:eastAsia="Calibri" w:cs="Calibri"/>
          <w:b w:val="0"/>
          <w:bCs w:val="0"/>
          <w:i w:val="0"/>
          <w:iCs w:val="0"/>
          <w:noProof w:val="0"/>
          <w:color w:val="0070C0"/>
          <w:sz w:val="24"/>
          <w:szCs w:val="24"/>
          <w:lang w:val="en-US"/>
        </w:rPr>
        <w:t>&lt;fill in&gt;</w:t>
      </w:r>
    </w:p>
    <w:p w:rsidR="11E7A76D" w:rsidP="11E7A76D" w:rsidRDefault="11E7A76D" w14:paraId="2E747D10" w14:textId="01DE1CE7">
      <w:pPr>
        <w:pStyle w:val="ListParagraph"/>
        <w:numPr>
          <w:ilvl w:val="0"/>
          <w:numId w:val="1"/>
        </w:numPr>
        <w:spacing w:after="200" w:line="240" w:lineRule="auto"/>
        <w:rPr>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The domain will be registered for a 1-year term and set with auto-renewal.</w:t>
      </w:r>
    </w:p>
    <w:p w:rsidR="11E7A76D" w:rsidP="11E7A76D" w:rsidRDefault="11E7A76D" w14:paraId="1C5D166E" w14:textId="7DD86BAD">
      <w:pPr>
        <w:spacing w:after="200" w:line="240" w:lineRule="auto"/>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2.         The full name of the Primary Legacy Monsanto Business contact/point person: </w:t>
      </w:r>
      <w:r w:rsidRPr="11E7A76D" w:rsidR="11E7A76D">
        <w:rPr>
          <w:rFonts w:ascii="Calibri" w:hAnsi="Calibri" w:eastAsia="Calibri" w:cs="Calibri"/>
          <w:b w:val="0"/>
          <w:bCs w:val="0"/>
          <w:i w:val="0"/>
          <w:iCs w:val="0"/>
          <w:noProof w:val="0"/>
          <w:color w:val="0070C0"/>
          <w:sz w:val="24"/>
          <w:szCs w:val="24"/>
          <w:lang w:val="en-US"/>
        </w:rPr>
        <w:t>&lt;fill in&gt;</w:t>
      </w:r>
    </w:p>
    <w:p w:rsidR="11E7A76D" w:rsidP="11E7A76D" w:rsidRDefault="11E7A76D" w14:paraId="7A625E40" w14:textId="0A41CFA6">
      <w:pPr>
        <w:spacing w:after="200" w:line="240" w:lineRule="auto"/>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3.        The full name of the Secondary Legacy Monsanto Business contact/point person: </w:t>
      </w:r>
      <w:r w:rsidRPr="11E7A76D" w:rsidR="11E7A76D">
        <w:rPr>
          <w:rFonts w:ascii="Calibri" w:hAnsi="Calibri" w:eastAsia="Calibri" w:cs="Calibri"/>
          <w:b w:val="0"/>
          <w:bCs w:val="0"/>
          <w:i w:val="0"/>
          <w:iCs w:val="0"/>
          <w:noProof w:val="0"/>
          <w:color w:val="0070C0"/>
          <w:sz w:val="24"/>
          <w:szCs w:val="24"/>
          <w:lang w:val="en-US"/>
        </w:rPr>
        <w:t>&lt;fill in&gt;</w:t>
      </w:r>
    </w:p>
    <w:p w:rsidR="11E7A76D" w:rsidP="11E7A76D" w:rsidRDefault="11E7A76D" w14:paraId="5FFD10A0" w14:textId="661D4B8E">
      <w:pPr>
        <w:pStyle w:val="ListParagraph"/>
        <w:numPr>
          <w:ilvl w:val="0"/>
          <w:numId w:val="1"/>
        </w:numPr>
        <w:spacing w:after="200" w:line="240" w:lineRule="auto"/>
        <w:rPr>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The DNS will be hosted on Approved Registrar Nameservers with CSC or SafeNames</w:t>
      </w:r>
      <w:r w:rsidRPr="11E7A76D" w:rsidR="11E7A76D">
        <w:rPr>
          <w:rFonts w:ascii="Arial" w:hAnsi="Arial" w:eastAsia="Arial" w:cs="Arial"/>
          <w:b w:val="0"/>
          <w:bCs w:val="0"/>
          <w:i w:val="0"/>
          <w:iCs w:val="0"/>
          <w:noProof w:val="0"/>
          <w:color w:val="000000" w:themeColor="text1" w:themeTint="FF" w:themeShade="FF"/>
          <w:sz w:val="24"/>
          <w:szCs w:val="24"/>
          <w:lang w:val="en-US"/>
        </w:rPr>
        <w:t xml:space="preserve">.   </w:t>
      </w:r>
      <w:r w:rsidRPr="11E7A76D" w:rsidR="11E7A76D">
        <w:rPr>
          <w:rFonts w:ascii="Calibri" w:hAnsi="Calibri" w:eastAsia="Calibri" w:cs="Calibri"/>
          <w:b w:val="0"/>
          <w:bCs w:val="0"/>
          <w:i w:val="0"/>
          <w:iCs w:val="0"/>
          <w:noProof w:val="0"/>
          <w:color w:val="000000" w:themeColor="text1" w:themeTint="FF" w:themeShade="FF"/>
          <w:sz w:val="24"/>
          <w:szCs w:val="24"/>
          <w:lang w:val="en-US"/>
        </w:rPr>
        <w:t>(*See below for DNS hosting exception guidelines)</w:t>
      </w:r>
    </w:p>
    <w:p w:rsidR="11E7A76D" w:rsidP="11E7A76D" w:rsidRDefault="11E7A76D" w14:paraId="7D276181" w14:textId="00B2F0BA">
      <w:pPr>
        <w:spacing w:after="200" w:line="240" w:lineRule="auto"/>
        <w:ind w:left="720"/>
        <w:rPr>
          <w:rFonts w:ascii="Arial" w:hAnsi="Arial" w:eastAsia="Arial" w:cs="Arial"/>
          <w:b w:val="0"/>
          <w:bCs w:val="0"/>
          <w:i w:val="0"/>
          <w:iCs w:val="0"/>
          <w:noProof w:val="0"/>
          <w:color w:val="000000" w:themeColor="text1" w:themeTint="FF" w:themeShade="FF"/>
          <w:sz w:val="24"/>
          <w:szCs w:val="24"/>
          <w:lang w:val="en-US"/>
        </w:rPr>
      </w:pPr>
    </w:p>
    <w:p w:rsidR="11E7A76D" w:rsidP="11E7A76D" w:rsidRDefault="11E7A76D" w14:paraId="3D8A9DCE" w14:textId="553C5C94">
      <w:pPr>
        <w:spacing w:after="200" w:line="240" w:lineRule="auto"/>
        <w:ind w:left="288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Arial" w:hAnsi="Arial" w:eastAsia="Arial" w:cs="Arial"/>
          <w:b w:val="0"/>
          <w:bCs w:val="0"/>
          <w:i w:val="0"/>
          <w:iCs w:val="0"/>
          <w:noProof w:val="0"/>
          <w:color w:val="000000" w:themeColor="text1" w:themeTint="FF" w:themeShade="FF"/>
          <w:sz w:val="24"/>
          <w:szCs w:val="24"/>
          <w:lang w:val="en-US"/>
        </w:rPr>
        <w:t>*</w:t>
      </w: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The business point person/web developer should notify the IT VMO Domain purchasing team IF the domain will have subdomains that need to resolve differently for Monsanto users versus the public.   If there is a requirement for differing resolution; then the DNS will be hosted on Legacy Monsanto NameServers. </w:t>
      </w:r>
    </w:p>
    <w:p w:rsidR="11E7A76D" w:rsidP="11E7A76D" w:rsidRDefault="11E7A76D" w14:paraId="2BC61267" w14:textId="5211C160">
      <w:pPr>
        <w:spacing w:after="200" w:line="240" w:lineRule="auto"/>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u w:val="single"/>
          <w:lang w:val="en-US"/>
        </w:rPr>
        <w:t>Additional Settings:</w:t>
      </w:r>
    </w:p>
    <w:p w:rsidR="11E7A76D" w:rsidP="11E7A76D" w:rsidRDefault="11E7A76D" w14:paraId="0E767587" w14:textId="2F610E9E">
      <w:pPr>
        <w:pStyle w:val="ListParagraph"/>
        <w:numPr>
          <w:ilvl w:val="0"/>
          <w:numId w:val="2"/>
        </w:numPr>
        <w:spacing w:after="200" w:line="240" w:lineRule="auto"/>
        <w:rPr>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Legacy Monsanto Domain Names will be registered in the Entity Name of “</w:t>
      </w:r>
      <w:r w:rsidRPr="11E7A76D" w:rsidR="11E7A76D">
        <w:rPr>
          <w:rFonts w:ascii="Calibri" w:hAnsi="Calibri" w:eastAsia="Calibri" w:cs="Calibri"/>
          <w:b w:val="1"/>
          <w:bCs w:val="1"/>
          <w:i w:val="0"/>
          <w:iCs w:val="0"/>
          <w:noProof w:val="0"/>
          <w:color w:val="000000" w:themeColor="text1" w:themeTint="FF" w:themeShade="FF"/>
          <w:sz w:val="24"/>
          <w:szCs w:val="24"/>
          <w:lang w:val="en-US"/>
        </w:rPr>
        <w:t>Monsanto Company</w:t>
      </w:r>
      <w:r w:rsidRPr="11E7A76D" w:rsidR="11E7A76D">
        <w:rPr>
          <w:rFonts w:ascii="Calibri" w:hAnsi="Calibri" w:eastAsia="Calibri" w:cs="Calibri"/>
          <w:b w:val="0"/>
          <w:bCs w:val="0"/>
          <w:i w:val="0"/>
          <w:iCs w:val="0"/>
          <w:noProof w:val="0"/>
          <w:color w:val="000000" w:themeColor="text1" w:themeTint="FF" w:themeShade="FF"/>
          <w:sz w:val="24"/>
          <w:szCs w:val="24"/>
          <w:lang w:val="en-US"/>
        </w:rPr>
        <w:t>” or in the name of a “Monsanto Company Country-Specific Entity” when required.   </w:t>
      </w:r>
    </w:p>
    <w:p w:rsidR="11E7A76D" w:rsidP="11E7A76D" w:rsidRDefault="11E7A76D" w14:paraId="240A4DE7" w14:textId="0E7441C4">
      <w:pPr>
        <w:pStyle w:val="ListParagraph"/>
        <w:numPr>
          <w:ilvl w:val="0"/>
          <w:numId w:val="2"/>
        </w:numPr>
        <w:spacing w:after="200" w:line="240" w:lineRule="auto"/>
        <w:rPr>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Registrant and Administrative Contacts</w:t>
      </w:r>
      <w:r w:rsidRPr="11E7A76D" w:rsidR="11E7A76D">
        <w:rPr>
          <w:rFonts w:ascii="Calibri" w:hAnsi="Calibri" w:eastAsia="Calibri" w:cs="Calibri"/>
          <w:b w:val="1"/>
          <w:bCs w:val="1"/>
          <w:i w:val="0"/>
          <w:iCs w:val="0"/>
          <w:noProof w:val="0"/>
          <w:color w:val="000000" w:themeColor="text1" w:themeTint="FF" w:themeShade="FF"/>
          <w:sz w:val="24"/>
          <w:szCs w:val="24"/>
          <w:lang w:val="en-US"/>
        </w:rPr>
        <w:t xml:space="preserve"> </w:t>
      </w: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will be listed as </w:t>
      </w:r>
      <w:hyperlink r:id="R03deb1a14e0146f7">
        <w:r w:rsidRPr="11E7A76D" w:rsidR="11E7A76D">
          <w:rPr>
            <w:rStyle w:val="Hyperlink"/>
            <w:rFonts w:ascii="Calibri" w:hAnsi="Calibri" w:eastAsia="Calibri" w:cs="Calibri"/>
            <w:b w:val="0"/>
            <w:bCs w:val="0"/>
            <w:i w:val="0"/>
            <w:iCs w:val="0"/>
            <w:noProof w:val="0"/>
            <w:color w:val="000000" w:themeColor="text1" w:themeTint="FF" w:themeShade="FF"/>
            <w:sz w:val="24"/>
            <w:szCs w:val="24"/>
            <w:u w:val="single"/>
            <w:lang w:val="en-US"/>
          </w:rPr>
          <w:t>DL-1000-ITAM-DOMAIN-MGT@Monsanto.com</w:t>
        </w:r>
      </w:hyperlink>
      <w:r w:rsidRPr="11E7A76D" w:rsidR="11E7A76D">
        <w:rPr>
          <w:rFonts w:ascii="Calibri" w:hAnsi="Calibri" w:eastAsia="Calibri" w:cs="Calibri"/>
          <w:b w:val="0"/>
          <w:bCs w:val="0"/>
          <w:i w:val="0"/>
          <w:iCs w:val="0"/>
          <w:noProof w:val="0"/>
          <w:color w:val="000000" w:themeColor="text1" w:themeTint="FF" w:themeShade="FF"/>
          <w:sz w:val="24"/>
          <w:szCs w:val="24"/>
          <w:u w:val="single"/>
          <w:lang w:val="en-US"/>
        </w:rPr>
        <w:t xml:space="preserve"> or with a Registrant Vendor email alias when required.</w:t>
      </w:r>
    </w:p>
    <w:p w:rsidR="11E7A76D" w:rsidP="11E7A76D" w:rsidRDefault="11E7A76D" w14:paraId="679BCDA1" w14:textId="3399FB5A">
      <w:pPr>
        <w:pStyle w:val="ListParagraph"/>
        <w:numPr>
          <w:ilvl w:val="0"/>
          <w:numId w:val="2"/>
        </w:numPr>
        <w:spacing w:after="200" w:line="240" w:lineRule="auto"/>
        <w:rPr>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Technical Contact</w:t>
      </w:r>
      <w:r w:rsidRPr="11E7A76D" w:rsidR="11E7A76D">
        <w:rPr>
          <w:rFonts w:ascii="Calibri" w:hAnsi="Calibri" w:eastAsia="Calibri" w:cs="Calibri"/>
          <w:b w:val="1"/>
          <w:bCs w:val="1"/>
          <w:i w:val="0"/>
          <w:iCs w:val="0"/>
          <w:noProof w:val="0"/>
          <w:color w:val="000000" w:themeColor="text1" w:themeTint="FF" w:themeShade="FF"/>
          <w:sz w:val="24"/>
          <w:szCs w:val="24"/>
          <w:lang w:val="en-US"/>
        </w:rPr>
        <w:t xml:space="preserve"> </w:t>
      </w: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will be listed as </w:t>
      </w:r>
      <w:hyperlink r:id="R0b0a499c3cbb43c9">
        <w:r w:rsidRPr="11E7A76D" w:rsidR="11E7A76D">
          <w:rPr>
            <w:rStyle w:val="Hyperlink"/>
            <w:rFonts w:ascii="Calibri" w:hAnsi="Calibri" w:eastAsia="Calibri" w:cs="Calibri"/>
            <w:b w:val="0"/>
            <w:bCs w:val="0"/>
            <w:i w:val="0"/>
            <w:iCs w:val="0"/>
            <w:noProof w:val="0"/>
            <w:color w:val="000000" w:themeColor="text1" w:themeTint="FF" w:themeShade="FF"/>
            <w:sz w:val="24"/>
            <w:szCs w:val="24"/>
            <w:u w:val="single"/>
            <w:lang w:val="en-US"/>
          </w:rPr>
          <w:t>dns.admin@monsanto.com</w:t>
        </w:r>
      </w:hyperlink>
      <w:r w:rsidRPr="11E7A76D" w:rsidR="11E7A76D">
        <w:rPr>
          <w:rFonts w:ascii="Calibri" w:hAnsi="Calibri" w:eastAsia="Calibri" w:cs="Calibri"/>
          <w:b w:val="0"/>
          <w:bCs w:val="0"/>
          <w:i w:val="0"/>
          <w:iCs w:val="0"/>
          <w:noProof w:val="0"/>
          <w:color w:val="000000" w:themeColor="text1" w:themeTint="FF" w:themeShade="FF"/>
          <w:sz w:val="24"/>
          <w:szCs w:val="24"/>
          <w:u w:val="single"/>
          <w:lang w:val="en-US"/>
        </w:rPr>
        <w:t xml:space="preserve"> </w:t>
      </w:r>
    </w:p>
    <w:p w:rsidR="11E7A76D" w:rsidP="11E7A76D" w:rsidRDefault="11E7A76D" w14:paraId="5D9CA51B" w14:textId="01C924E8">
      <w:pPr>
        <w:spacing w:after="200" w:line="240" w:lineRule="auto"/>
        <w:rPr>
          <w:rFonts w:ascii="Calibri" w:hAnsi="Calibri" w:eastAsia="Calibri" w:cs="Calibri"/>
          <w:b w:val="0"/>
          <w:bCs w:val="0"/>
          <w:i w:val="0"/>
          <w:iCs w:val="0"/>
          <w:noProof w:val="0"/>
          <w:color w:val="000000" w:themeColor="text1" w:themeTint="FF" w:themeShade="FF"/>
          <w:sz w:val="21"/>
          <w:szCs w:val="21"/>
          <w:lang w:val="en-US"/>
        </w:rPr>
      </w:pPr>
    </w:p>
    <w:p w:rsidR="11E7A76D" w:rsidP="11E7A76D" w:rsidRDefault="11E7A76D" w14:paraId="4B29EB55" w14:textId="2AB78DF8">
      <w:pPr>
        <w:spacing w:after="200" w:line="240" w:lineRule="auto"/>
        <w:rPr>
          <w:rFonts w:ascii="Calibri" w:hAnsi="Calibri" w:eastAsia="Calibri" w:cs="Calibri"/>
          <w:b w:val="0"/>
          <w:bCs w:val="0"/>
          <w:i w:val="0"/>
          <w:iCs w:val="0"/>
          <w:noProof w:val="0"/>
          <w:color w:val="000000" w:themeColor="text1" w:themeTint="FF" w:themeShade="FF"/>
          <w:sz w:val="21"/>
          <w:szCs w:val="21"/>
          <w:lang w:val="en-US"/>
        </w:rPr>
      </w:pPr>
    </w:p>
    <w:p w:rsidR="11E7A76D" w:rsidP="11E7A76D" w:rsidRDefault="11E7A76D" w14:paraId="3A686425" w14:textId="3BDE3B6B">
      <w:pPr>
        <w:spacing w:after="0" w:line="240" w:lineRule="auto"/>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1"/>
          <w:bCs w:val="1"/>
          <w:i w:val="0"/>
          <w:iCs w:val="0"/>
          <w:noProof w:val="0"/>
          <w:color w:val="000000" w:themeColor="text1" w:themeTint="FF" w:themeShade="FF"/>
          <w:sz w:val="24"/>
          <w:szCs w:val="24"/>
          <w:u w:val="single"/>
          <w:lang w:val="en-US"/>
        </w:rPr>
        <w:t>Domain Registration Legal Mandate:</w:t>
      </w: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 </w:t>
      </w:r>
    </w:p>
    <w:p w:rsidR="11E7A76D" w:rsidP="11E7A76D" w:rsidRDefault="11E7A76D" w14:paraId="2881D7B5" w14:textId="09632FDD">
      <w:pPr>
        <w:pStyle w:val="ListParagraph"/>
        <w:numPr>
          <w:ilvl w:val="0"/>
          <w:numId w:val="3"/>
        </w:numPr>
        <w:spacing w:after="0" w:line="240" w:lineRule="auto"/>
        <w:rPr>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Legacy Monsanto currently remains as an independent entity within the Bayer group.  Legal trademark, and tax issues are preventing the merger of the two entities.  Until legal entity consolidation occurs, all URL domain names must remain under separate processes and contracts. </w:t>
      </w:r>
    </w:p>
    <w:p w:rsidR="11E7A76D" w:rsidP="11E7A76D" w:rsidRDefault="11E7A76D" w14:paraId="2F88123C" w14:textId="21DD6D04">
      <w:pPr>
        <w:pStyle w:val="ListParagraph"/>
        <w:numPr>
          <w:ilvl w:val="0"/>
          <w:numId w:val="4"/>
        </w:numPr>
        <w:spacing w:after="0" w:line="240" w:lineRule="auto"/>
        <w:rPr>
          <w:b w:val="0"/>
          <w:bCs w:val="0"/>
          <w:i w:val="0"/>
          <w:iCs w:val="0"/>
          <w:noProof w:val="0"/>
          <w:color w:val="0070C0" w:themeColor="text1" w:themeTint="FF" w:themeShade="FF"/>
          <w:sz w:val="24"/>
          <w:szCs w:val="24"/>
          <w:lang w:val="en-US"/>
        </w:rPr>
      </w:pPr>
      <w:r w:rsidRPr="11E7A76D" w:rsidR="11E7A76D">
        <w:rPr>
          <w:rFonts w:ascii="Calibri" w:hAnsi="Calibri" w:eastAsia="Calibri" w:cs="Calibri"/>
          <w:b w:val="0"/>
          <w:bCs w:val="0"/>
          <w:i w:val="0"/>
          <w:iCs w:val="0"/>
          <w:noProof w:val="0"/>
          <w:color w:val="0070C0"/>
          <w:sz w:val="24"/>
          <w:szCs w:val="24"/>
          <w:lang w:val="en-US"/>
        </w:rPr>
        <w:t xml:space="preserve">Legacy Monsanto URL Domain Name requests should be directed to the following Remedy queue: </w:t>
      </w:r>
      <w:r w:rsidRPr="11E7A76D" w:rsidR="11E7A76D">
        <w:rPr>
          <w:rFonts w:ascii="Calibri" w:hAnsi="Calibri" w:eastAsia="Calibri" w:cs="Calibri"/>
          <w:b w:val="0"/>
          <w:bCs w:val="0"/>
          <w:i w:val="0"/>
          <w:iCs w:val="0"/>
          <w:noProof w:val="0"/>
          <w:color w:val="0070C0"/>
          <w:sz w:val="21"/>
          <w:szCs w:val="21"/>
          <w:u w:val="single"/>
          <w:lang w:val="en-US"/>
        </w:rPr>
        <w:t>Monsanto Company&gt; Governance Services&gt; Domain Purchasing</w:t>
      </w:r>
    </w:p>
    <w:p w:rsidR="11E7A76D" w:rsidP="11E7A76D" w:rsidRDefault="11E7A76D" w14:paraId="0EA0D4FD" w14:textId="340E3432">
      <w:pPr>
        <w:pStyle w:val="ListParagraph"/>
        <w:numPr>
          <w:ilvl w:val="0"/>
          <w:numId w:val="4"/>
        </w:numPr>
        <w:spacing w:after="0" w:line="240" w:lineRule="auto"/>
        <w:rPr>
          <w:b w:val="0"/>
          <w:bCs w:val="0"/>
          <w:i w:val="0"/>
          <w:iCs w:val="0"/>
          <w:noProof w:val="0"/>
          <w:color w:val="0070C0" w:themeColor="text1" w:themeTint="FF" w:themeShade="FF"/>
          <w:sz w:val="24"/>
          <w:szCs w:val="24"/>
          <w:lang w:val="en-US"/>
        </w:rPr>
      </w:pPr>
      <w:r w:rsidRPr="11E7A76D" w:rsidR="11E7A76D">
        <w:rPr>
          <w:rFonts w:ascii="Calibri" w:hAnsi="Calibri" w:eastAsia="Calibri" w:cs="Calibri"/>
          <w:b w:val="0"/>
          <w:bCs w:val="0"/>
          <w:i w:val="0"/>
          <w:iCs w:val="0"/>
          <w:noProof w:val="0"/>
          <w:color w:val="0070C0"/>
          <w:sz w:val="24"/>
          <w:szCs w:val="24"/>
          <w:lang w:val="en-US"/>
        </w:rPr>
        <w:t xml:space="preserve">Bayer URL Domain Name requests should be directed to </w:t>
      </w:r>
      <w:hyperlink r:id="R3bd512e1b77a4a88">
        <w:r w:rsidRPr="11E7A76D" w:rsidR="11E7A76D">
          <w:rPr>
            <w:rStyle w:val="Hyperlink"/>
            <w:rFonts w:ascii="Calibri" w:hAnsi="Calibri" w:eastAsia="Calibri" w:cs="Calibri"/>
            <w:b w:val="0"/>
            <w:bCs w:val="0"/>
            <w:i w:val="0"/>
            <w:iCs w:val="0"/>
            <w:noProof w:val="0"/>
            <w:color w:val="0070C0"/>
            <w:sz w:val="24"/>
            <w:szCs w:val="24"/>
            <w:u w:val="single"/>
            <w:lang w:val="en-US"/>
          </w:rPr>
          <w:t>domainmanagement@bayer.com</w:t>
        </w:r>
      </w:hyperlink>
    </w:p>
    <w:p w:rsidR="11E7A76D" w:rsidP="11E7A76D" w:rsidRDefault="11E7A76D" w14:paraId="740367F6" w14:textId="0F1A8A79">
      <w:pPr>
        <w:spacing w:after="200" w:line="240" w:lineRule="auto"/>
        <w:rPr>
          <w:rFonts w:ascii="Calibri" w:hAnsi="Calibri" w:eastAsia="Calibri" w:cs="Calibri"/>
          <w:b w:val="0"/>
          <w:bCs w:val="0"/>
          <w:i w:val="0"/>
          <w:iCs w:val="0"/>
          <w:noProof w:val="0"/>
          <w:color w:val="000000" w:themeColor="text1" w:themeTint="FF" w:themeShade="FF"/>
          <w:sz w:val="21"/>
          <w:szCs w:val="21"/>
          <w:lang w:val="en-US"/>
        </w:rPr>
      </w:pPr>
    </w:p>
    <w:p w:rsidR="11E7A76D" w:rsidP="11E7A76D" w:rsidRDefault="11E7A76D" w14:paraId="6A14B557" w14:textId="6185773F">
      <w:pPr>
        <w:spacing w:after="200" w:line="240" w:lineRule="auto"/>
        <w:rPr>
          <w:rFonts w:ascii="Calibri" w:hAnsi="Calibri" w:eastAsia="Calibri" w:cs="Calibri"/>
          <w:b w:val="0"/>
          <w:bCs w:val="0"/>
          <w:i w:val="0"/>
          <w:iCs w:val="0"/>
          <w:noProof w:val="0"/>
          <w:color w:val="000000" w:themeColor="text1" w:themeTint="FF" w:themeShade="FF"/>
          <w:sz w:val="21"/>
          <w:szCs w:val="21"/>
          <w:lang w:val="en-US"/>
        </w:rPr>
      </w:pPr>
    </w:p>
    <w:p w:rsidR="11E7A76D" w:rsidP="11E7A76D" w:rsidRDefault="11E7A76D" w14:paraId="72B85D6B" w14:textId="0E3282E7">
      <w:pPr>
        <w:spacing w:after="0" w:line="240" w:lineRule="auto"/>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1"/>
          <w:bCs w:val="1"/>
          <w:i w:val="0"/>
          <w:iCs w:val="0"/>
          <w:noProof w:val="0"/>
          <w:color w:val="000000" w:themeColor="text1" w:themeTint="FF" w:themeShade="FF"/>
          <w:sz w:val="24"/>
          <w:szCs w:val="24"/>
          <w:highlight w:val="yellow"/>
          <w:u w:val="single"/>
          <w:lang w:val="en-US"/>
        </w:rPr>
        <w:t>Post Purchase Procedures:</w:t>
      </w:r>
    </w:p>
    <w:p w:rsidR="11E7A76D" w:rsidP="11E7A76D" w:rsidRDefault="11E7A76D" w14:paraId="0B1FFEDC" w14:textId="0C0D81E6">
      <w:pPr>
        <w:pStyle w:val="ListParagraph"/>
        <w:numPr>
          <w:ilvl w:val="0"/>
          <w:numId w:val="5"/>
        </w:numPr>
        <w:spacing w:after="0" w:line="240" w:lineRule="auto"/>
        <w:rPr>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After the URL domain name is purchased, the requesting client will be instructed to:</w:t>
      </w:r>
    </w:p>
    <w:p w:rsidR="11E7A76D" w:rsidP="11E7A76D" w:rsidRDefault="11E7A76D" w14:paraId="5EE8D3A4" w14:textId="70AD81D6">
      <w:pPr>
        <w:spacing w:after="0" w:line="240" w:lineRule="auto"/>
        <w:ind w:left="36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A)  Open a ticket for a SSL Cert which secures the website</w:t>
      </w:r>
    </w:p>
    <w:p w:rsidR="11E7A76D" w:rsidP="11E7A76D" w:rsidRDefault="11E7A76D" w14:paraId="1000FCD7" w14:textId="72035C14">
      <w:pPr>
        <w:spacing w:after="0" w:line="240" w:lineRule="auto"/>
        <w:ind w:left="72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 Internal SSL Cert tickets get assigned to</w:t>
      </w:r>
    </w:p>
    <w:p w:rsidR="11E7A76D" w:rsidP="11E7A76D" w:rsidRDefault="11E7A76D" w14:paraId="383776EE" w14:textId="74DFA9D2">
      <w:pPr>
        <w:spacing w:after="0" w:line="240" w:lineRule="auto"/>
        <w:ind w:left="144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595959" w:themeColor="text1" w:themeTint="A6" w:themeShade="FF"/>
          <w:sz w:val="24"/>
          <w:szCs w:val="24"/>
          <w:lang w:val="en-US"/>
        </w:rPr>
        <w:t xml:space="preserve"> </w:t>
      </w:r>
      <w:r w:rsidRPr="11E7A76D" w:rsidR="11E7A76D">
        <w:rPr>
          <w:rFonts w:ascii="Calibri" w:hAnsi="Calibri" w:eastAsia="Calibri" w:cs="Calibri"/>
          <w:b w:val="0"/>
          <w:bCs w:val="0"/>
          <w:i w:val="0"/>
          <w:iCs w:val="0"/>
          <w:noProof w:val="0"/>
          <w:color w:val="0070C0"/>
          <w:sz w:val="24"/>
          <w:szCs w:val="24"/>
          <w:lang w:val="en-US"/>
        </w:rPr>
        <w:t xml:space="preserve">Infrastructure Services &gt; ATOS &gt; Middleware Support </w:t>
      </w:r>
    </w:p>
    <w:p w:rsidR="11E7A76D" w:rsidP="11E7A76D" w:rsidRDefault="11E7A76D" w14:paraId="2DD0AC88" w14:textId="7CD532A3">
      <w:pPr>
        <w:spacing w:after="0" w:line="240" w:lineRule="auto"/>
        <w:ind w:left="72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 External SSL Cert tickets get assigned to</w:t>
      </w:r>
      <w:r w:rsidRPr="11E7A76D" w:rsidR="11E7A76D">
        <w:rPr>
          <w:rFonts w:ascii="Calibri" w:hAnsi="Calibri" w:eastAsia="Calibri" w:cs="Calibri"/>
          <w:b w:val="0"/>
          <w:bCs w:val="0"/>
          <w:i w:val="0"/>
          <w:iCs w:val="0"/>
          <w:noProof w:val="0"/>
          <w:color w:val="595959" w:themeColor="text1" w:themeTint="A6" w:themeShade="FF"/>
          <w:sz w:val="24"/>
          <w:szCs w:val="24"/>
          <w:lang w:val="en-US"/>
        </w:rPr>
        <w:t xml:space="preserve"> </w:t>
      </w:r>
    </w:p>
    <w:p w:rsidR="11E7A76D" w:rsidP="11E7A76D" w:rsidRDefault="11E7A76D" w14:paraId="5ABDF39A" w14:textId="32D30430">
      <w:pPr>
        <w:spacing w:after="0" w:line="240" w:lineRule="auto"/>
        <w:ind w:left="1440" w:firstLine="72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70C0"/>
          <w:sz w:val="24"/>
          <w:szCs w:val="24"/>
          <w:lang w:val="fr-FR"/>
        </w:rPr>
        <w:t xml:space="preserve">Infrastructure Services &gt; ATOS &gt; Secure Apps </w:t>
      </w:r>
    </w:p>
    <w:p w:rsidR="11E7A76D" w:rsidP="11E7A76D" w:rsidRDefault="11E7A76D" w14:paraId="125B0B89" w14:textId="06D21CF5">
      <w:pPr>
        <w:spacing w:after="0" w:line="240" w:lineRule="auto"/>
        <w:rPr>
          <w:rFonts w:ascii="Calibri" w:hAnsi="Calibri" w:eastAsia="Calibri" w:cs="Calibri"/>
          <w:b w:val="0"/>
          <w:bCs w:val="0"/>
          <w:i w:val="0"/>
          <w:iCs w:val="0"/>
          <w:noProof w:val="0"/>
          <w:color w:val="000000" w:themeColor="text1" w:themeTint="FF" w:themeShade="FF"/>
          <w:sz w:val="24"/>
          <w:szCs w:val="24"/>
          <w:lang w:val="en-US"/>
        </w:rPr>
      </w:pPr>
    </w:p>
    <w:p w:rsidR="11E7A76D" w:rsidP="11E7A76D" w:rsidRDefault="11E7A76D" w14:paraId="229512EF" w14:textId="2C904DB2">
      <w:pPr>
        <w:spacing w:after="0" w:line="240" w:lineRule="auto"/>
        <w:ind w:left="72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B) If the Website content will include proprietary data, you must open a ticket (after the Website is set-up and working) to have the website protected behind Incapsula.</w:t>
      </w:r>
    </w:p>
    <w:p w:rsidR="11E7A76D" w:rsidP="11E7A76D" w:rsidRDefault="11E7A76D" w14:paraId="64A676A7" w14:textId="236E5800">
      <w:pPr>
        <w:spacing w:after="0" w:line="240" w:lineRule="auto"/>
        <w:ind w:left="720" w:firstLine="72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 xml:space="preserve">-Assign Incapsula requests to </w:t>
      </w:r>
    </w:p>
    <w:p w:rsidR="11E7A76D" w:rsidP="11E7A76D" w:rsidRDefault="11E7A76D" w14:paraId="0E969E04" w14:textId="1030E7E7">
      <w:pPr>
        <w:spacing w:after="0" w:line="240" w:lineRule="auto"/>
        <w:ind w:left="216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70C0"/>
          <w:sz w:val="24"/>
          <w:szCs w:val="24"/>
          <w:lang w:val="en-US"/>
        </w:rPr>
        <w:t>Monsanto Company &gt; IT Infrastructure (Security) &gt; Info Security Operations</w:t>
      </w:r>
    </w:p>
    <w:p w:rsidR="11E7A76D" w:rsidP="11E7A76D" w:rsidRDefault="11E7A76D" w14:paraId="117F4089" w14:textId="6C82FB43">
      <w:pPr>
        <w:spacing w:after="0" w:line="240" w:lineRule="auto"/>
        <w:ind w:left="1440"/>
        <w:rPr>
          <w:rFonts w:ascii="Calibri" w:hAnsi="Calibri" w:eastAsia="Calibri" w:cs="Calibri"/>
          <w:b w:val="0"/>
          <w:bCs w:val="0"/>
          <w:i w:val="0"/>
          <w:iCs w:val="0"/>
          <w:noProof w:val="0"/>
          <w:color w:val="000000" w:themeColor="text1" w:themeTint="FF" w:themeShade="FF"/>
          <w:sz w:val="24"/>
          <w:szCs w:val="24"/>
          <w:lang w:val="en-US"/>
        </w:rPr>
      </w:pPr>
      <w:r w:rsidRPr="11E7A76D" w:rsidR="11E7A76D">
        <w:rPr>
          <w:rFonts w:ascii="Calibri" w:hAnsi="Calibri" w:eastAsia="Calibri" w:cs="Calibri"/>
          <w:b w:val="0"/>
          <w:bCs w:val="0"/>
          <w:i w:val="0"/>
          <w:iCs w:val="0"/>
          <w:noProof w:val="0"/>
          <w:color w:val="000000" w:themeColor="text1" w:themeTint="FF" w:themeShade="FF"/>
          <w:sz w:val="24"/>
          <w:szCs w:val="24"/>
          <w:lang w:val="en-US"/>
        </w:rPr>
        <w:t>-Multi-Lock and Secure-Lock Features provided by the Vendor Registrars (CSC and SafeNames) should be considered at this time and enabled as appropriate.</w:t>
      </w:r>
    </w:p>
    <w:p w:rsidR="11E7A76D" w:rsidP="11E7A76D" w:rsidRDefault="11E7A76D" w14:paraId="11172F37" w14:textId="5232CD27">
      <w:pPr>
        <w:spacing w:after="200" w:line="240" w:lineRule="auto"/>
        <w:rPr>
          <w:rFonts w:ascii="Calibri" w:hAnsi="Calibri" w:eastAsia="Calibri" w:cs="Calibri"/>
          <w:b w:val="0"/>
          <w:bCs w:val="0"/>
          <w:i w:val="0"/>
          <w:iCs w:val="0"/>
          <w:noProof w:val="0"/>
          <w:color w:val="000000" w:themeColor="text1" w:themeTint="FF" w:themeShade="FF"/>
          <w:sz w:val="21"/>
          <w:szCs w:val="21"/>
          <w:lang w:val="en-US"/>
        </w:rPr>
      </w:pPr>
    </w:p>
    <w:p w:rsidR="11E7A76D" w:rsidP="11E7A76D" w:rsidRDefault="11E7A76D" w14:paraId="3EE900D7" w14:textId="46FB9DF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D174D6"/>
  <w15:docId w15:val="{17aea5a2-24d5-4d98-9a3a-a4f5678e9cad}"/>
  <w:rsids>
    <w:rsidRoot w:val="18D174D6"/>
    <w:rsid w:val="11E7A76D"/>
    <w:rsid w:val="18D174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DL-1000-ITAM-DOMAIN-MGT@Monsanto.com" TargetMode="External" Id="R03deb1a14e0146f7" /><Relationship Type="http://schemas.openxmlformats.org/officeDocument/2006/relationships/hyperlink" Target="mailto:dns.admin@monsanto.com" TargetMode="External" Id="R0b0a499c3cbb43c9" /><Relationship Type="http://schemas.openxmlformats.org/officeDocument/2006/relationships/hyperlink" Target="mailto:domainmanagement@bayer.com" TargetMode="External" Id="R3bd512e1b77a4a88" /><Relationship Type="http://schemas.openxmlformats.org/officeDocument/2006/relationships/numbering" Target="/word/numbering.xml" Id="R20d59bd0e9b54e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2019-06-17T20:30:06.5947539Z</dcterms:created>
  <dcterms:modified xsi:type="dcterms:W3CDTF">2019-06-17T20:31:09.3695139Z</dcterms:modified>
  <dc:creator>RYDER, JULIE [AG-Contractor/1000]</dc:creator>
  <lastModifiedBy>RYDER, JULIE [AG-Contractor/1000]</lastModifiedBy>
</coreProperties>
</file>