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AIVID</w:t>
      </w:r>
    </w:p>
    <w:p>
      <w:pPr>
        <w:pStyle w:val="Title"/>
      </w:pPr>
      <w:r>
        <w:rPr>
          <w:color w:val="000000"/>
        </w:rPr>
        <w:t>AIVID Health Monitor Installation Manual</w:t>
      </w:r>
    </w:p>
    <w:p>
      <w:pPr>
        <w:pStyle w:val="Subtitle"/>
      </w:pPr>
      <w:r>
        <w:rPr>
          <w:color w:val="000000"/>
        </w:rPr>
        <w:t>Dashboard setup for a growing server cluster</w:t>
      </w:r>
    </w:p>
    <w:p>
      <w:r>
        <w:t>Version 1.1.0  |  Build 20261009.incidents1  |  9 October 2026</w:t>
      </w:r>
    </w:p>
    <w:p>
      <w:r>
        <w:t>Run the installer once on each server, then configure monitoring and register servers in the dashboard. The offline package includes Python, dependencies and certificates. This build supports 1 to 32 servers; three or five provide useful email failover.</w:t>
      </w:r>
    </w:p>
    <w:p>
      <w:pPr>
        <w:pStyle w:val="Heading1"/>
      </w:pPr>
      <w:r>
        <w:rPr>
          <w:color w:val="000000"/>
        </w:rPr>
        <w:t>Before you start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376"/>
        <w:gridCol w:w="7632"/>
      </w:tblGrid>
      <w:tr>
        <w:trPr>
          <w:tblHeader/>
          <w:cantSplit/>
        </w:trPr>
        <w:tc>
          <w:tcPr>
            <w:tcW w:type="dxa" w:w="2376"/>
            <w:tcMar>
              <w:top w:w="75" w:type="dxa"/>
              <w:bottom w:w="75" w:type="dxa"/>
              <w:left w:w="95" w:type="dxa"/>
              <w:right w:w="95" w:type="dxa"/>
            </w:tcMar>
            <w:vAlign w:val="center"/>
            <w:shd w:fill="253E4D"/>
          </w:tcPr>
          <w:p>
            <w:pPr>
              <w:spacing w:after="40" w:line="252" w:lineRule="auto"/>
            </w:pPr>
            <w:r>
              <w:rPr>
                <w:b/>
                <w:color w:val="FFFFFF"/>
                <w:sz w:val="19"/>
              </w:rPr>
              <w:t>You need</w:t>
            </w:r>
          </w:p>
        </w:tc>
        <w:tc>
          <w:tcPr>
            <w:tcW w:type="dxa" w:w="7632"/>
            <w:tcMar>
              <w:top w:w="75" w:type="dxa"/>
              <w:bottom w:w="75" w:type="dxa"/>
              <w:left w:w="95" w:type="dxa"/>
              <w:right w:w="95" w:type="dxa"/>
            </w:tcMar>
            <w:vAlign w:val="center"/>
            <w:shd w:fill="253E4D"/>
          </w:tcPr>
          <w:p>
            <w:pPr>
              <w:spacing w:after="40" w:line="252" w:lineRule="auto"/>
            </w:pPr>
            <w:r>
              <w:rPr>
                <w:b/>
                <w:color w:val="FFFFFF"/>
                <w:sz w:val="19"/>
              </w:rPr>
              <w:t>Details</w:t>
            </w:r>
          </w:p>
        </w:tc>
      </w:tr>
      <w:tr>
        <w:trPr>
          <w:cantSplit/>
        </w:trPr>
        <w:tc>
          <w:tcPr>
            <w:tcW w:type="dxa" w:w="2376"/>
            <w:tcMar>
              <w:top w:w="75" w:type="dxa"/>
              <w:bottom w:w="75" w:type="dxa"/>
              <w:left w:w="95" w:type="dxa"/>
              <w:right w:w="95" w:type="dxa"/>
            </w:tcMar>
            <w:vAlign w:val="center"/>
            <w:shd w:fill="FFFFFF"/>
          </w:tcPr>
          <w:p>
            <w:pPr>
              <w:spacing w:after="40" w:line="252" w:lineRule="auto"/>
            </w:pPr>
            <w:r>
              <w:rPr>
                <w:sz w:val="19"/>
              </w:rPr>
              <w:t>Supported Linux servers</w:t>
            </w:r>
          </w:p>
        </w:tc>
        <w:tc>
          <w:tcPr>
            <w:tcW w:type="dxa" w:w="7632"/>
            <w:tcMar>
              <w:top w:w="75" w:type="dxa"/>
              <w:bottom w:w="75" w:type="dxa"/>
              <w:left w:w="95" w:type="dxa"/>
              <w:right w:w="95" w:type="dxa"/>
            </w:tcMar>
            <w:vAlign w:val="center"/>
            <w:shd w:fill="FFFFFF"/>
          </w:tcPr>
          <w:p>
            <w:pPr>
              <w:spacing w:after="40" w:line="252" w:lineRule="auto"/>
            </w:pPr>
            <w:r>
              <w:rPr>
                <w:sz w:val="19"/>
              </w:rPr>
              <w:t>Ubuntu 22.04/24.04 or Debian 12; x86_64; systemd; sudo; 2 GiB free.</w:t>
            </w:r>
          </w:p>
        </w:tc>
      </w:tr>
      <w:tr>
        <w:trPr>
          <w:cantSplit/>
        </w:trPr>
        <w:tc>
          <w:tcPr>
            <w:tcW w:type="dxa" w:w="2376"/>
            <w:tcMar>
              <w:top w:w="75" w:type="dxa"/>
              <w:bottom w:w="75" w:type="dxa"/>
              <w:left w:w="95" w:type="dxa"/>
              <w:right w:w="95" w:type="dxa"/>
            </w:tcMar>
            <w:vAlign w:val="center"/>
            <w:shd w:fill="F2F5F7"/>
          </w:tcPr>
          <w:p>
            <w:pPr>
              <w:spacing w:after="40" w:line="252" w:lineRule="auto"/>
            </w:pPr>
            <w:r>
              <w:rPr>
                <w:sz w:val="19"/>
              </w:rPr>
              <w:t>Reachable addresses</w:t>
            </w:r>
          </w:p>
        </w:tc>
        <w:tc>
          <w:tcPr>
            <w:tcW w:type="dxa" w:w="7632"/>
            <w:tcMar>
              <w:top w:w="75" w:type="dxa"/>
              <w:bottom w:w="75" w:type="dxa"/>
              <w:left w:w="95" w:type="dxa"/>
              <w:right w:w="95" w:type="dxa"/>
            </w:tcMar>
            <w:vAlign w:val="center"/>
            <w:shd w:fill="F2F5F7"/>
          </w:tcPr>
          <w:p>
            <w:pPr>
              <w:spacing w:after="40" w:line="252" w:lineRule="auto"/>
            </w:pPr>
            <w:r>
              <w:rPr>
                <w:sz w:val="19"/>
              </w:rPr>
              <w:t>Public IP or DNS name for each server; full peer reachability; synchronized clocks.</w:t>
            </w:r>
          </w:p>
        </w:tc>
      </w:tr>
      <w:tr>
        <w:trPr>
          <w:cantSplit/>
        </w:trPr>
        <w:tc>
          <w:tcPr>
            <w:tcW w:type="dxa" w:w="2376"/>
            <w:tcMar>
              <w:top w:w="75" w:type="dxa"/>
              <w:bottom w:w="75" w:type="dxa"/>
              <w:left w:w="95" w:type="dxa"/>
              <w:right w:w="95" w:type="dxa"/>
            </w:tcMar>
            <w:vAlign w:val="center"/>
            <w:shd w:fill="FFFFFF"/>
          </w:tcPr>
          <w:p>
            <w:pPr>
              <w:spacing w:after="40" w:line="252" w:lineRule="auto"/>
            </w:pPr>
            <w:r>
              <w:rPr>
                <w:sz w:val="19"/>
              </w:rPr>
              <w:t>Free TCP port 8282</w:t>
            </w:r>
          </w:p>
        </w:tc>
        <w:tc>
          <w:tcPr>
            <w:tcW w:type="dxa" w:w="7632"/>
            <w:tcMar>
              <w:top w:w="75" w:type="dxa"/>
              <w:bottom w:w="75" w:type="dxa"/>
              <w:left w:w="95" w:type="dxa"/>
              <w:right w:w="95" w:type="dxa"/>
            </w:tcMar>
            <w:vAlign w:val="center"/>
            <w:shd w:fill="FFFFFF"/>
          </w:tcPr>
          <w:p>
            <w:pPr>
              <w:spacing w:after="40" w:line="252" w:lineRule="auto"/>
            </w:pPr>
            <w:r>
              <w:rPr>
                <w:sz w:val="19"/>
              </w:rPr>
              <w:t>Required on each server. Dashboard and peer traffic share this one HTTPS port.</w:t>
            </w:r>
          </w:p>
        </w:tc>
      </w:tr>
      <w:tr>
        <w:trPr>
          <w:cantSplit/>
        </w:trPr>
        <w:tc>
          <w:tcPr>
            <w:tcW w:type="dxa" w:w="2376"/>
            <w:tcMar>
              <w:top w:w="75" w:type="dxa"/>
              <w:bottom w:w="75" w:type="dxa"/>
              <w:left w:w="95" w:type="dxa"/>
              <w:right w:w="95" w:type="dxa"/>
            </w:tcMar>
            <w:vAlign w:val="center"/>
            <w:shd w:fill="F2F5F7"/>
          </w:tcPr>
          <w:p>
            <w:pPr>
              <w:spacing w:after="40" w:line="252" w:lineRule="auto"/>
            </w:pPr>
            <w:r>
              <w:rPr>
                <w:sz w:val="19"/>
              </w:rPr>
              <w:t>Email details</w:t>
            </w:r>
          </w:p>
        </w:tc>
        <w:tc>
          <w:tcPr>
            <w:tcW w:type="dxa" w:w="7632"/>
            <w:tcMar>
              <w:top w:w="75" w:type="dxa"/>
              <w:bottom w:w="75" w:type="dxa"/>
              <w:left w:w="95" w:type="dxa"/>
              <w:right w:w="95" w:type="dxa"/>
            </w:tcMar>
            <w:vAlign w:val="center"/>
            <w:shd w:fill="F2F5F7"/>
          </w:tcPr>
          <w:p>
            <w:pPr>
              <w:spacing w:after="40" w:line="252" w:lineRule="auto"/>
            </w:pPr>
            <w:r>
              <w:rPr>
                <w:sz w:val="19"/>
              </w:rPr>
              <w:t>SMTP host, port, sender, recipients and optional login. Enter them in Setup.</w:t>
            </w:r>
          </w:p>
        </w:tc>
      </w:tr>
    </w:tbl>
    <w:p>
      <w:pPr>
        <w:spacing w:after="40"/>
      </w:pPr>
    </w:p>
    <w:p>
      <w:pPr/>
      <w:r>
        <w:t>Ubuntu 20.04 is not supported by this bundled wheelhouse. Do not upgrade a production operating system solely for this monitor; a separate matching runtime build is required.</w:t>
      </w:r>
    </w:p>
    <w:p>
      <w:pPr>
        <w:pStyle w:val="Heading1"/>
      </w:pPr>
      <w:r>
        <w:rPr>
          <w:color w:val="000000"/>
        </w:rPr>
        <w:t>Step 1 Run the installer on the first server</w:t>
      </w:r>
    </w:p>
    <w:p>
      <w:r>
        <w:t>Extract this release into a new folder. Keep its AIVID-Health-Monitor.run and matching .sha256 together. In that folder, verify and check before installation:</w:t>
      </w:r>
    </w:p>
    <w:p>
      <w:pPr>
        <w:keepLines/>
        <w:spacing w:before="80" w:after="200" w:line="252" w:lineRule="auto"/>
      </w:pPr>
      <w:r>
        <w:t>sha256sum -c AIVID-Health-Monitor.run.sha256</w:t>
        <w:br/>
        <w:t>sudo bash AIVID-Health-Monitor.run --check</w:t>
        <w:br/>
        <w:t>sudo bash AIVID-Health-Monitor.run</w:t>
      </w:r>
    </w:p>
    <w:p>
      <w:r>
        <w:t>With one active LAN or Wi-Fi IPv4 address, the installer selects it. With multiple addresses, choose the numbered network. Set your login ID and password; entry is hidden, with no minimum length (maximum 256 characters). Empty passwords are also accepted. The installer prints the HTTPS dashboard address and a private pairing code.</w:t>
      </w:r>
    </w:p>
    <w:p>
      <w:r>
        <w:t>For a public IP behind NAT, use: sudo bash AIVID-Health-Monitor.run --address https://YOUR_PUBLIC_IP. The dashboard opens at https://YOUR_PUBLIC_IP:8282. Forward public TCP 8282 to local TCP 8282. A public NAT address listens on local interfaces; a detected local address binds only that interface.</w:t>
      </w:r>
    </w:p>
    <w:p>
      <w:r>
        <w:t>The package includes the previous signature, permissions and email-format repairs. It uses its own Python runtime and dependencies. Its service actions target only aivid-health.service. It does not upgrade the OS, system Python, OpenSSL or GPU drivers, or restart application, database, Docker or Kubernetes services.</w:t>
      </w:r>
    </w:p>
    <w:p>
      <w:pPr>
        <w:pStyle w:val="Heading1"/>
        <w:pageBreakBefore/>
      </w:pPr>
      <w:r>
        <w:rPr>
          <w:color w:val="000000"/>
        </w:rPr>
        <w:t>Connect the other servers and enable email</w:t>
      </w:r>
    </w:p>
    <w:p>
      <w:pPr>
        <w:pStyle w:val="Heading2"/>
      </w:pPr>
      <w:r>
        <w:rPr>
          <w:color w:val="000000"/>
        </w:rPr>
        <w:t>Step 2 Install each additional server</w:t>
      </w:r>
    </w:p>
    <w:p>
      <w:pPr>
        <w:keepLines/>
        <w:spacing w:before="80" w:after="200" w:line="252" w:lineRule="auto"/>
      </w:pPr>
      <w:r>
        <w:rPr>
          <w:rFonts w:ascii="DejaVu Sans Mono" w:hAnsi="DejaVu Sans Mono"/>
          <w:sz w:val="17"/>
        </w:rPr>
        <w:t>sudo bash AIVID-Health-Monitor.run</w:t>
      </w:r>
    </w:p>
    <w:p>
      <w:r>
        <w:t>Run the same command on every additional server. Choose its login and, when prompted, network. The terminal displays its pairing code. No JSON editing or manual copying of cluster keys is required. On upgrades, existing logins are retained without another prompt.</w:t>
      </w:r>
    </w:p>
    <w:p>
      <w:r>
        <w:t>Copy the new server’s code from the terminal or its Setup page. On the current alert sender dashboard, paste it under Add another server and enter a name. Leave priority blank for automatic order, or set a unique number. Wait for synchronization before adding another server.</w:t>
      </w:r>
    </w:p>
    <w:p>
      <w:pPr>
        <w:pStyle w:val="Heading2"/>
      </w:pPr>
      <w:r>
        <w:rPr>
          <w:color w:val="000000"/>
        </w:rPr>
        <w:t>Step 3 Trust the dashboard certificate and sign in</w:t>
      </w:r>
    </w:p>
    <w:p>
      <w:r>
        <w:t>Open https://SERVER_IP:8282 and sign in with your chosen login ID and password. Existing installations retain their login; old generated passwords still require changing in Account. Each server has its own local login.</w:t>
      </w:r>
    </w:p>
    <w:p>
      <w:r>
        <w:t>Each fresh server has a private certificate authority. For trusted browser access, import that server’s public /etc/aivid-health/cluster-ca.crt on the administrator workstation and use a hostname or IP included in its certificate. Verify the certificate fingerprint over a trusted channel. Pairing uses the exact server certificate independently of browser trust. Never copy private keys to a workstation.</w:t>
      </w:r>
    </w:p>
    <w:p>
      <w:r>
        <w:t>Opening port 8282 does not create browser trust. If you use a different public address from the certificate, arrange a matching certificate before pairing. Transparent TCP forwarding preserves paired TLS identity; a TLS-terminating proxy needs an administrator-managed deployment.</w:t>
      </w:r>
    </w:p>
    <w:p>
      <w:pPr>
        <w:pStyle w:val="Heading2"/>
      </w:pPr>
      <w:r>
        <w:rPr>
          <w:color w:val="000000"/>
        </w:rPr>
        <w:t>Step 4 Complete the Setup page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376"/>
        <w:gridCol w:w="7632"/>
      </w:tblGrid>
      <w:tr>
        <w:trPr>
          <w:tblHeader/>
          <w:cantSplit/>
        </w:trPr>
        <w:tc>
          <w:tcPr>
            <w:tcW w:type="dxa" w:w="2376"/>
            <w:tcMar>
              <w:top w:w="75" w:type="dxa"/>
              <w:bottom w:w="75" w:type="dxa"/>
              <w:left w:w="95" w:type="dxa"/>
              <w:right w:w="95" w:type="dxa"/>
            </w:tcMar>
            <w:vAlign w:val="center"/>
            <w:shd w:fill="253E4D"/>
          </w:tcPr>
          <w:p>
            <w:pPr>
              <w:spacing w:after="40" w:line="252" w:lineRule="auto"/>
            </w:pPr>
            <w:r>
              <w:rPr>
                <w:b/>
                <w:color w:val="FFFFFF"/>
                <w:sz w:val="19"/>
              </w:rPr>
              <w:t>Screen step</w:t>
            </w:r>
          </w:p>
        </w:tc>
        <w:tc>
          <w:tcPr>
            <w:tcW w:type="dxa" w:w="7632"/>
            <w:tcMar>
              <w:top w:w="75" w:type="dxa"/>
              <w:bottom w:w="75" w:type="dxa"/>
              <w:left w:w="95" w:type="dxa"/>
              <w:right w:w="95" w:type="dxa"/>
            </w:tcMar>
            <w:vAlign w:val="center"/>
            <w:shd w:fill="253E4D"/>
          </w:tcPr>
          <w:p>
            <w:pPr>
              <w:spacing w:after="40" w:line="252" w:lineRule="auto"/>
            </w:pPr>
            <w:r>
              <w:rPr>
                <w:b/>
                <w:color w:val="FFFFFF"/>
                <w:sz w:val="19"/>
              </w:rPr>
              <w:t>What to do</w:t>
            </w:r>
          </w:p>
        </w:tc>
      </w:tr>
      <w:tr>
        <w:trPr>
          <w:cantSplit/>
        </w:trPr>
        <w:tc>
          <w:tcPr>
            <w:tcW w:type="dxa" w:w="2376"/>
            <w:tcMar>
              <w:top w:w="75" w:type="dxa"/>
              <w:bottom w:w="75" w:type="dxa"/>
              <w:left w:w="95" w:type="dxa"/>
              <w:right w:w="95" w:type="dxa"/>
            </w:tcMar>
            <w:vAlign w:val="center"/>
            <w:shd w:fill="FFFFFF"/>
          </w:tcPr>
          <w:p>
            <w:pPr>
              <w:spacing w:after="40" w:line="252" w:lineRule="auto"/>
            </w:pPr>
            <w:r>
              <w:rPr>
                <w:sz w:val="19"/>
              </w:rPr>
              <w:t>Local monitoring</w:t>
            </w:r>
          </w:p>
        </w:tc>
        <w:tc>
          <w:tcPr>
            <w:tcW w:type="dxa" w:w="7632"/>
            <w:tcMar>
              <w:top w:w="75" w:type="dxa"/>
              <w:bottom w:w="75" w:type="dxa"/>
              <w:left w:w="95" w:type="dxa"/>
              <w:right w:w="95" w:type="dxa"/>
            </w:tcMar>
            <w:vAlign w:val="center"/>
            <w:shd w:fill="FFFFFF"/>
          </w:tcPr>
          <w:p>
            <w:pPr>
              <w:spacing w:after="40" w:line="252" w:lineRule="auto"/>
            </w:pPr>
            <w:r>
              <w:t>Disks are detected automatically. Set GPU-required behavior and collection interval on each server dashboard.</w:t>
            </w:r>
          </w:p>
        </w:tc>
      </w:tr>
      <w:tr>
        <w:trPr>
          <w:cantSplit/>
        </w:trPr>
        <w:tc>
          <w:tcPr>
            <w:tcW w:type="dxa" w:w="2376"/>
            <w:tcMar>
              <w:top w:w="75" w:type="dxa"/>
              <w:bottom w:w="75" w:type="dxa"/>
              <w:left w:w="95" w:type="dxa"/>
              <w:right w:w="95" w:type="dxa"/>
            </w:tcMar>
            <w:vAlign w:val="center"/>
            <w:shd w:fill="F2F5F7"/>
          </w:tcPr>
          <w:p>
            <w:pPr>
              <w:spacing w:after="40" w:line="252" w:lineRule="auto"/>
            </w:pPr>
            <w:r>
              <w:rPr>
                <w:sz w:val="19"/>
              </w:rPr>
              <w:t>Add servers</w:t>
            </w:r>
          </w:p>
        </w:tc>
        <w:tc>
          <w:tcPr>
            <w:tcW w:type="dxa" w:w="7632"/>
            <w:tcMar>
              <w:top w:w="75" w:type="dxa"/>
              <w:bottom w:w="75" w:type="dxa"/>
              <w:left w:w="95" w:type="dxa"/>
              <w:right w:w="95" w:type="dxa"/>
            </w:tcMar>
            <w:vAlign w:val="center"/>
            <w:shd w:fill="F2F5F7"/>
          </w:tcPr>
          <w:p>
            <w:pPr>
              <w:spacing w:after="40" w:line="252" w:lineRule="auto"/>
            </w:pPr>
            <w:r>
              <w:t>Paste the new server’s code on the sender dashboard. Priority is optional; leave blank for registration order.</w:t>
            </w:r>
          </w:p>
        </w:tc>
      </w:tr>
      <w:tr>
        <w:trPr>
          <w:cantSplit/>
        </w:trPr>
        <w:tc>
          <w:tcPr>
            <w:tcW w:type="dxa" w:w="2376"/>
            <w:tcMar>
              <w:top w:w="75" w:type="dxa"/>
              <w:bottom w:w="75" w:type="dxa"/>
              <w:left w:w="95" w:type="dxa"/>
              <w:right w:w="95" w:type="dxa"/>
            </w:tcMar>
            <w:vAlign w:val="center"/>
            <w:shd w:fill="FFFFFF"/>
          </w:tcPr>
          <w:p>
            <w:pPr>
              <w:spacing w:after="40" w:line="252" w:lineRule="auto"/>
            </w:pPr>
            <w:r>
              <w:rPr>
                <w:sz w:val="19"/>
              </w:rPr>
              <w:t>Configure and test email</w:t>
            </w:r>
          </w:p>
        </w:tc>
        <w:tc>
          <w:tcPr>
            <w:tcW w:type="dxa" w:w="7632"/>
            <w:tcMar>
              <w:top w:w="75" w:type="dxa"/>
              <w:bottom w:w="75" w:type="dxa"/>
              <w:left w:w="95" w:type="dxa"/>
              <w:right w:w="95" w:type="dxa"/>
            </w:tcMar>
            <w:vAlign w:val="center"/>
            <w:shd w:fill="FFFFFF"/>
          </w:tcPr>
          <w:p>
            <w:pPr>
              <w:spacing w:after="40" w:line="252" w:lineRule="auto"/>
            </w:pPr>
            <w:r>
              <w:rPr>
                <w:sz w:val="19"/>
              </w:rPr>
              <w:t>Save SMTP on the sender. Send a test, check sent status and confirm receipt.</w:t>
            </w:r>
          </w:p>
        </w:tc>
      </w:tr>
    </w:tbl>
    <w:p>
      <w:pPr>
        <w:spacing w:after="40"/>
      </w:pPr>
    </w:p>
    <w:p>
      <w:r>
        <w:t>Pairing codes are private, valid for one hour and authorize one join. Setup shows the code printed at installation; Create / replace code invalidates it. Keep all members online during directory changes. After pairing, use Appearance for both logos and Email design for subjects and content. Save shared changes on the current alert sender.</w:t>
      </w:r>
    </w:p>
    <w:p>
      <w:pPr>
        <w:pStyle w:val="Heading1"/>
        <w:pageBreakBefore/>
      </w:pPr>
      <w:r>
        <w:rPr>
          <w:color w:val="000000"/>
        </w:rPr>
        <w:t>Network settings and troubleshooting</w:t>
      </w:r>
    </w:p>
    <w:p>
      <w:pPr>
        <w:pStyle w:val="Heading2"/>
      </w:pPr>
      <w:r>
        <w:rPr>
          <w:color w:val="000000"/>
        </w:rPr>
        <w:t>One HTTPS port for the entire monitor</w:t>
      </w:r>
    </w:p>
    <w:p>
      <w:r>
        <w:t>The dashboard, pairing, peer checks and alert coordination share TCP 8282. No separate internal listener, redirect port or Nginx service is installed. The monitor runs as the aivid-health user without a privileged-port capability.</w:t>
      </w:r>
    </w:p>
    <w:p>
      <w:r>
        <w:t>If 8282 is occupied on the selected address, installation reports the conflict. Ask your administrator to free that port before retrying. The installer does not select another port or stop an unrelated dashboard. Other dashboards can continue using their own ports.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736"/>
        <w:gridCol w:w="7272"/>
      </w:tblGrid>
      <w:tr>
        <w:trPr>
          <w:tblHeader/>
          <w:cantSplit/>
        </w:trPr>
        <w:tc>
          <w:tcPr>
            <w:tcW w:type="dxa" w:w="2736"/>
            <w:tcMar>
              <w:top w:w="75" w:type="dxa"/>
              <w:bottom w:w="75" w:type="dxa"/>
              <w:left w:w="95" w:type="dxa"/>
              <w:right w:w="95" w:type="dxa"/>
            </w:tcMar>
            <w:vAlign w:val="center"/>
            <w:shd w:fill="253E4D"/>
          </w:tcPr>
          <w:p>
            <w:pPr>
              <w:spacing w:after="40" w:line="252" w:lineRule="auto"/>
            </w:pPr>
            <w:r>
              <w:rPr>
                <w:b/>
                <w:color w:val="FFFFFF"/>
                <w:sz w:val="19"/>
              </w:rPr>
              <w:t>Traffic</w:t>
            </w:r>
          </w:p>
        </w:tc>
        <w:tc>
          <w:tcPr>
            <w:tcW w:type="dxa" w:w="7272"/>
            <w:tcMar>
              <w:top w:w="75" w:type="dxa"/>
              <w:bottom w:w="75" w:type="dxa"/>
              <w:left w:w="95" w:type="dxa"/>
              <w:right w:w="95" w:type="dxa"/>
            </w:tcMar>
            <w:vAlign w:val="center"/>
            <w:shd w:fill="253E4D"/>
          </w:tcPr>
          <w:p>
            <w:pPr>
              <w:spacing w:after="40" w:line="252" w:lineRule="auto"/>
            </w:pPr>
            <w:r>
              <w:rPr>
                <w:b/>
                <w:color w:val="FFFFFF"/>
                <w:sz w:val="19"/>
              </w:rPr>
              <w:t>Required access</w:t>
            </w:r>
          </w:p>
        </w:tc>
      </w:tr>
      <w:tr>
        <w:trPr>
          <w:cantSplit/>
        </w:trPr>
        <w:tc>
          <w:tcPr>
            <w:tcW w:type="dxa" w:w="2736"/>
            <w:tcMar>
              <w:top w:w="75" w:type="dxa"/>
              <w:bottom w:w="75" w:type="dxa"/>
              <w:left w:w="95" w:type="dxa"/>
              <w:right w:w="95" w:type="dxa"/>
            </w:tcMar>
            <w:vAlign w:val="center"/>
            <w:shd w:fill="FFFFFF"/>
          </w:tcPr>
          <w:p>
            <w:pPr>
              <w:spacing w:after="40" w:line="252" w:lineRule="auto"/>
            </w:pPr>
            <w:r>
              <w:rPr>
                <w:sz w:val="19"/>
              </w:rPr>
              <w:t>Peer HTTPS and dashboard</w:t>
            </w:r>
          </w:p>
        </w:tc>
        <w:tc>
          <w:tcPr>
            <w:tcW w:type="dxa" w:w="7272"/>
            <w:tcMar>
              <w:top w:w="75" w:type="dxa"/>
              <w:bottom w:w="75" w:type="dxa"/>
              <w:left w:w="95" w:type="dxa"/>
              <w:right w:w="95" w:type="dxa"/>
            </w:tcMar>
            <w:vAlign w:val="center"/>
            <w:shd w:fill="FFFFFF"/>
          </w:tcPr>
          <w:p>
            <w:pPr>
              <w:spacing w:after="40" w:line="252" w:lineRule="auto"/>
            </w:pPr>
            <w:r>
              <w:rPr>
                <w:sz w:val="19"/>
              </w:rPr>
              <w:t>Inbound TCP 8282 from peer IPs and administrator devices. Outbound TCP 8282 to every peer. No other monitor listener.</w:t>
            </w:r>
          </w:p>
        </w:tc>
      </w:tr>
      <w:tr>
        <w:trPr>
          <w:cantSplit/>
        </w:trPr>
        <w:tc>
          <w:tcPr>
            <w:tcW w:type="dxa" w:w="2736"/>
            <w:tcMar>
              <w:top w:w="75" w:type="dxa"/>
              <w:bottom w:w="75" w:type="dxa"/>
              <w:left w:w="95" w:type="dxa"/>
              <w:right w:w="95" w:type="dxa"/>
            </w:tcMar>
            <w:vAlign w:val="center"/>
            <w:shd w:fill="F2F5F7"/>
          </w:tcPr>
          <w:p>
            <w:pPr>
              <w:spacing w:after="40" w:line="252" w:lineRule="auto"/>
            </w:pPr>
            <w:r>
              <w:rPr>
                <w:sz w:val="19"/>
              </w:rPr>
              <w:t>Public forwarding</w:t>
            </w:r>
          </w:p>
        </w:tc>
        <w:tc>
          <w:tcPr>
            <w:tcW w:type="dxa" w:w="7272"/>
            <w:tcMar>
              <w:top w:w="75" w:type="dxa"/>
              <w:bottom w:w="75" w:type="dxa"/>
              <w:left w:w="95" w:type="dxa"/>
              <w:right w:w="95" w:type="dxa"/>
            </w:tcMar>
            <w:vAlign w:val="center"/>
            <w:shd w:fill="F2F5F7"/>
          </w:tcPr>
          <w:p>
            <w:pPr>
              <w:spacing w:after="40" w:line="252" w:lineRule="auto"/>
            </w:pPr>
            <w:r>
              <w:rPr>
                <w:sz w:val="19"/>
              </w:rPr>
              <w:t>Forward public TCP 8282 to TCP 8282 on the right server. Firewall and NAT rules are administrator-managed.</w:t>
            </w:r>
          </w:p>
        </w:tc>
      </w:tr>
      <w:tr>
        <w:trPr>
          <w:cantSplit/>
        </w:trPr>
        <w:tc>
          <w:tcPr>
            <w:tcW w:type="dxa" w:w="2736"/>
            <w:tcMar>
              <w:top w:w="75" w:type="dxa"/>
              <w:bottom w:w="75" w:type="dxa"/>
              <w:left w:w="95" w:type="dxa"/>
              <w:right w:w="95" w:type="dxa"/>
            </w:tcMar>
            <w:vAlign w:val="center"/>
            <w:shd w:fill="FFFFFF"/>
          </w:tcPr>
          <w:p>
            <w:pPr>
              <w:spacing w:after="40" w:line="252" w:lineRule="auto"/>
            </w:pPr>
            <w:r>
              <w:rPr>
                <w:sz w:val="19"/>
              </w:rPr>
              <w:t>SMTP</w:t>
            </w:r>
          </w:p>
        </w:tc>
        <w:tc>
          <w:tcPr>
            <w:tcW w:type="dxa" w:w="7272"/>
            <w:tcMar>
              <w:top w:w="75" w:type="dxa"/>
              <w:bottom w:w="75" w:type="dxa"/>
              <w:left w:w="95" w:type="dxa"/>
              <w:right w:w="95" w:type="dxa"/>
            </w:tcMar>
            <w:vAlign w:val="center"/>
            <w:shd w:fill="FFFFFF"/>
          </w:tcPr>
          <w:p>
            <w:pPr>
              <w:spacing w:after="40" w:line="252" w:lineRule="auto"/>
            </w:pPr>
            <w:r>
              <w:rPr>
                <w:sz w:val="19"/>
              </w:rPr>
              <w:t>Outbound from every monitor to the chosen SMTP host and port, commonly 587 or 465.</w:t>
            </w:r>
          </w:p>
        </w:tc>
      </w:tr>
    </w:tbl>
    <w:p>
      <w:pPr>
        <w:spacing w:after="40"/>
      </w:pPr>
    </w:p>
    <w:p>
      <w:pPr>
        <w:pStyle w:val="Heading2"/>
      </w:pPr>
      <w:r>
        <w:rPr>
          <w:color w:val="000000"/>
        </w:rPr>
        <w:t>Common setup messages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808"/>
        <w:gridCol w:w="7200"/>
      </w:tblGrid>
      <w:tr>
        <w:trPr>
          <w:tblHeader/>
          <w:cantSplit/>
        </w:trPr>
        <w:tc>
          <w:tcPr>
            <w:tcW w:type="dxa" w:w="2808"/>
            <w:tcMar>
              <w:top w:w="75" w:type="dxa"/>
              <w:bottom w:w="75" w:type="dxa"/>
              <w:left w:w="95" w:type="dxa"/>
              <w:right w:w="95" w:type="dxa"/>
            </w:tcMar>
            <w:vAlign w:val="center"/>
            <w:shd w:fill="253E4D"/>
          </w:tcPr>
          <w:p>
            <w:pPr>
              <w:spacing w:after="40" w:line="252" w:lineRule="auto"/>
            </w:pPr>
            <w:r>
              <w:rPr>
                <w:b/>
                <w:color w:val="FFFFFF"/>
                <w:sz w:val="19"/>
              </w:rPr>
              <w:t>Symptom</w:t>
            </w:r>
          </w:p>
        </w:tc>
        <w:tc>
          <w:tcPr>
            <w:tcW w:type="dxa" w:w="7200"/>
            <w:tcMar>
              <w:top w:w="75" w:type="dxa"/>
              <w:bottom w:w="75" w:type="dxa"/>
              <w:left w:w="95" w:type="dxa"/>
              <w:right w:w="95" w:type="dxa"/>
            </w:tcMar>
            <w:vAlign w:val="center"/>
            <w:shd w:fill="253E4D"/>
          </w:tcPr>
          <w:p>
            <w:pPr>
              <w:spacing w:after="40" w:line="252" w:lineRule="auto"/>
            </w:pPr>
            <w:r>
              <w:rPr>
                <w:b/>
                <w:color w:val="FFFFFF"/>
                <w:sz w:val="19"/>
              </w:rPr>
              <w:t>Action</w:t>
            </w:r>
          </w:p>
        </w:tc>
      </w:tr>
      <w:tr>
        <w:trPr>
          <w:cantSplit/>
        </w:trPr>
        <w:tc>
          <w:tcPr>
            <w:tcW w:type="dxa" w:w="2808"/>
            <w:tcMar>
              <w:top w:w="75" w:type="dxa"/>
              <w:bottom w:w="75" w:type="dxa"/>
              <w:left w:w="95" w:type="dxa"/>
              <w:right w:w="95" w:type="dxa"/>
            </w:tcMar>
            <w:vAlign w:val="center"/>
            <w:shd w:fill="FFFFFF"/>
          </w:tcPr>
          <w:p>
            <w:pPr>
              <w:spacing w:after="40" w:line="252" w:lineRule="auto"/>
            </w:pPr>
            <w:r>
              <w:t>203/EXEC or LICENSE mode error</w:t>
            </w:r>
          </w:p>
        </w:tc>
        <w:tc>
          <w:tcPr>
            <w:tcW w:type="dxa" w:w="7200"/>
            <w:tcMar>
              <w:top w:w="75" w:type="dxa"/>
              <w:bottom w:w="75" w:type="dxa"/>
              <w:left w:w="95" w:type="dxa"/>
              <w:right w:w="95" w:type="dxa"/>
            </w:tcMar>
            <w:vAlign w:val="center"/>
            <w:shd w:fill="FFFFFF"/>
          </w:tcPr>
          <w:p>
            <w:pPr>
              <w:spacing w:after="40" w:line="252" w:lineRule="auto"/>
            </w:pPr>
            <w:r>
              <w:t>Run this updated installer. It corrects permissions without chmod 777; an existing service group is reused.</w:t>
            </w:r>
          </w:p>
        </w:tc>
      </w:tr>
      <w:tr>
        <w:trPr>
          <w:cantSplit/>
        </w:trPr>
        <w:tc>
          <w:tcPr>
            <w:tcW w:type="dxa" w:w="2808"/>
            <w:tcMar>
              <w:top w:w="75" w:type="dxa"/>
              <w:bottom w:w="75" w:type="dxa"/>
              <w:left w:w="95" w:type="dxa"/>
              <w:right w:w="95" w:type="dxa"/>
            </w:tcMar>
            <w:vAlign w:val="center"/>
            <w:shd w:fill="F2F5F7"/>
          </w:tcPr>
          <w:p>
            <w:pPr>
              <w:spacing w:after="40" w:line="252" w:lineRule="auto"/>
            </w:pPr>
            <w:r>
              <w:rPr>
                <w:sz w:val="19"/>
              </w:rPr>
              <w:t>Port unavailable</w:t>
            </w:r>
          </w:p>
        </w:tc>
        <w:tc>
          <w:tcPr>
            <w:tcW w:type="dxa" w:w="7200"/>
            <w:tcMar>
              <w:top w:w="75" w:type="dxa"/>
              <w:bottom w:w="75" w:type="dxa"/>
              <w:left w:w="95" w:type="dxa"/>
              <w:right w:w="95" w:type="dxa"/>
            </w:tcMar>
            <w:vAlign w:val="center"/>
            <w:shd w:fill="F2F5F7"/>
          </w:tcPr>
          <w:p>
            <w:pPr>
              <w:spacing w:after="40" w:line="252" w:lineRule="auto"/>
            </w:pPr>
            <w:r>
              <w:rPr>
                <w:sz w:val="19"/>
              </w:rPr>
              <w:t>Ask your administrator to free TCP 8282 on the selected address, then retry. No automatic alternate port.</w:t>
            </w:r>
          </w:p>
        </w:tc>
      </w:tr>
      <w:tr>
        <w:trPr>
          <w:cantSplit/>
        </w:trPr>
        <w:tc>
          <w:tcPr>
            <w:tcW w:type="dxa" w:w="2808"/>
            <w:tcMar>
              <w:top w:w="75" w:type="dxa"/>
              <w:bottom w:w="75" w:type="dxa"/>
              <w:left w:w="95" w:type="dxa"/>
              <w:right w:w="95" w:type="dxa"/>
            </w:tcMar>
            <w:vAlign w:val="center"/>
            <w:shd w:fill="FFFFFF"/>
          </w:tcPr>
          <w:p>
            <w:pPr>
              <w:spacing w:after="40" w:line="252" w:lineRule="auto"/>
            </w:pPr>
            <w:r>
              <w:rPr>
                <w:sz w:val="19"/>
              </w:rPr>
              <w:t>Pairing code rejected</w:t>
            </w:r>
          </w:p>
        </w:tc>
        <w:tc>
          <w:tcPr>
            <w:tcW w:type="dxa" w:w="7200"/>
            <w:tcMar>
              <w:top w:w="75" w:type="dxa"/>
              <w:bottom w:w="75" w:type="dxa"/>
              <w:left w:w="95" w:type="dxa"/>
              <w:right w:w="95" w:type="dxa"/>
            </w:tcMar>
            <w:vAlign w:val="center"/>
            <w:shd w:fill="FFFFFF"/>
          </w:tcPr>
          <w:p>
            <w:pPr>
              <w:spacing w:after="40" w:line="252" w:lineRule="auto"/>
            </w:pPr>
            <w:r>
              <w:t>Upgrade both servers to this build. Create a fresh code in Setup with a reachable HTTPS address on 8282.</w:t>
            </w:r>
          </w:p>
        </w:tc>
      </w:tr>
      <w:tr>
        <w:trPr>
          <w:cantSplit/>
        </w:trPr>
        <w:tc>
          <w:tcPr>
            <w:tcW w:type="dxa" w:w="2808"/>
            <w:tcMar>
              <w:top w:w="75" w:type="dxa"/>
              <w:bottom w:w="75" w:type="dxa"/>
              <w:left w:w="95" w:type="dxa"/>
              <w:right w:w="95" w:type="dxa"/>
            </w:tcMar>
            <w:vAlign w:val="center"/>
            <w:shd w:fill="F2F5F7"/>
          </w:tcPr>
          <w:p>
            <w:pPr>
              <w:spacing w:after="40" w:line="252" w:lineRule="auto"/>
            </w:pPr>
            <w:r>
              <w:rPr>
                <w:sz w:val="19"/>
              </w:rPr>
              <w:t>TLS or identity mismatch</w:t>
            </w:r>
          </w:p>
        </w:tc>
        <w:tc>
          <w:tcPr>
            <w:tcW w:type="dxa" w:w="7200"/>
            <w:tcMar>
              <w:top w:w="75" w:type="dxa"/>
              <w:bottom w:w="75" w:type="dxa"/>
              <w:left w:w="95" w:type="dxa"/>
              <w:right w:w="95" w:type="dxa"/>
            </w:tcMar>
            <w:vAlign w:val="center"/>
            <w:shd w:fill="F2F5F7"/>
          </w:tcPr>
          <w:p>
            <w:pPr>
              <w:spacing w:after="40" w:line="252" w:lineRule="auto"/>
            </w:pPr>
            <w:r>
              <w:rPr>
                <w:sz w:val="19"/>
              </w:rPr>
              <w:t>Verify server address, certificate and clock. Keep the identity check enabled.</w:t>
            </w:r>
          </w:p>
        </w:tc>
      </w:tr>
      <w:tr>
        <w:trPr>
          <w:cantSplit/>
        </w:trPr>
        <w:tc>
          <w:tcPr>
            <w:tcW w:type="dxa" w:w="2808"/>
            <w:tcMar>
              <w:top w:w="75" w:type="dxa"/>
              <w:bottom w:w="75" w:type="dxa"/>
              <w:left w:w="95" w:type="dxa"/>
              <w:right w:w="95" w:type="dxa"/>
            </w:tcMar>
            <w:vAlign w:val="center"/>
            <w:shd w:fill="FFFFFF"/>
          </w:tcPr>
          <w:p>
            <w:pPr>
              <w:spacing w:after="40" w:line="252" w:lineRule="auto"/>
            </w:pPr>
            <w:r>
              <w:rPr>
                <w:sz w:val="19"/>
              </w:rPr>
              <w:t>Configuration pending</w:t>
            </w:r>
          </w:p>
        </w:tc>
        <w:tc>
          <w:tcPr>
            <w:tcW w:type="dxa" w:w="7200"/>
            <w:tcMar>
              <w:top w:w="75" w:type="dxa"/>
              <w:bottom w:w="75" w:type="dxa"/>
              <w:left w:w="95" w:type="dxa"/>
              <w:right w:w="95" w:type="dxa"/>
            </w:tcMar>
            <w:vAlign w:val="center"/>
            <w:shd w:fill="FFFFFF"/>
          </w:tcPr>
          <w:p>
            <w:pPr>
              <w:spacing w:after="40" w:line="252" w:lineRule="auto"/>
            </w:pPr>
            <w:r>
              <w:rPr>
                <w:sz w:val="19"/>
              </w:rPr>
              <w:t>Restore every member and the coordinator; the saved change resumes.</w:t>
            </w:r>
          </w:p>
        </w:tc>
      </w:tr>
      <w:tr>
        <w:trPr>
          <w:cantSplit/>
        </w:trPr>
        <w:tc>
          <w:tcPr>
            <w:tcW w:type="dxa" w:w="2808"/>
            <w:tcMar>
              <w:top w:w="75" w:type="dxa"/>
              <w:bottom w:w="75" w:type="dxa"/>
              <w:left w:w="95" w:type="dxa"/>
              <w:right w:w="95" w:type="dxa"/>
            </w:tcMar>
            <w:vAlign w:val="center"/>
            <w:shd w:fill="F2F5F7"/>
          </w:tcPr>
          <w:p>
            <w:pPr>
              <w:spacing w:after="40" w:line="252" w:lineRule="auto"/>
            </w:pPr>
            <w:r>
              <w:rPr>
                <w:sz w:val="19"/>
              </w:rPr>
              <w:t>SMTP retry or uncertain</w:t>
            </w:r>
          </w:p>
        </w:tc>
        <w:tc>
          <w:tcPr>
            <w:tcW w:type="dxa" w:w="7200"/>
            <w:tcMar>
              <w:top w:w="75" w:type="dxa"/>
              <w:bottom w:w="75" w:type="dxa"/>
              <w:left w:w="95" w:type="dxa"/>
              <w:right w:w="95" w:type="dxa"/>
            </w:tcMar>
            <w:vAlign w:val="center"/>
            <w:shd w:fill="F2F5F7"/>
          </w:tcPr>
          <w:p>
            <w:pPr>
              <w:spacing w:after="40" w:line="252" w:lineRule="auto"/>
            </w:pPr>
            <w:r>
              <w:rPr>
                <w:sz w:val="19"/>
              </w:rPr>
              <w:t>Check relay access and credentials. Check the mailbox before reviewing uncertain delivery.</w:t>
            </w:r>
          </w:p>
        </w:tc>
      </w:tr>
    </w:tbl>
    <w:p>
      <w:pPr>
        <w:spacing w:after="40"/>
      </w:pPr>
    </w:p>
    <w:p>
      <w:pPr>
        <w:pStyle w:val="Heading1"/>
        <w:pageBreakBefore/>
      </w:pPr>
      <w:r>
        <w:rPr>
          <w:color w:val="000000"/>
        </w:rPr>
        <w:t>Maintenance and deployment acceptance</w:t>
      </w:r>
    </w:p>
    <w:p>
      <w:pPr>
        <w:pStyle w:val="Heading2"/>
      </w:pPr>
      <w:r>
        <w:rPr>
          <w:color w:val="000000"/>
        </w:rPr>
        <w:t>Service controls</w:t>
      </w:r>
    </w:p>
    <w:p>
      <w:pPr>
        <w:keepLines/>
        <w:spacing w:before="80" w:after="200" w:line="252" w:lineRule="auto"/>
      </w:pPr>
      <w:r>
        <w:rPr>
          <w:rFonts w:ascii="DejaVu Sans Mono" w:hAnsi="DejaVu Sans Mono"/>
          <w:sz w:val="17"/>
        </w:rPr>
        <w:t>sudo aivid-healthctl status</w:t>
      </w:r>
      <w:r>
        <w:rPr>
          <w:rFonts w:ascii="DejaVu Sans Mono" w:hAnsi="DejaVu Sans Mono"/>
          <w:sz w:val="17"/>
        </w:rPr>
        <w:br/>
        <w:t>sudo aivid-healthctl restart</w:t>
      </w:r>
      <w:r>
        <w:rPr>
          <w:rFonts w:ascii="DejaVu Sans Mono" w:hAnsi="DejaVu Sans Mono"/>
          <w:sz w:val="17"/>
        </w:rPr>
        <w:br/>
        <w:t>sudo aivid-healthctl logs</w:t>
      </w:r>
      <w:r>
        <w:rPr>
          <w:rFonts w:ascii="DejaVu Sans Mono" w:hAnsi="DejaVu Sans Mono"/>
          <w:sz w:val="17"/>
        </w:rPr>
        <w:br/>
        <w:t>sudo aivid-monitor reset-password</w:t>
      </w:r>
    </w:p>
    <w:p>
      <w:r>
        <w:t>Monitor data is saved automatically in /opt/aivid-healthmonitor/data; fresh setup backups are in /opt/aivid-healthmonitor/setup. Application releases remain in /opt/aivid-health and base configuration in /etc/aivid-health. Existing databases migrate during upgrade, with the old directory retained. Protect backups of the data, configuration and setup keys.</w:t>
      </w:r>
    </w:p>
    <w:p>
      <w:pPr>
        <w:pStyle w:val="Heading2"/>
      </w:pPr>
      <w:r>
        <w:rPr>
          <w:color w:val="000000"/>
        </w:rPr>
        <w:t>Install an update</w:t>
      </w:r>
    </w:p>
    <w:p>
      <w:r>
        <w:t>Back up the monitor configuration, database and setup keys. Finish pending directory changes, then install this new build on every member, one server at a time. Start with standby monitors and update the current alert sender last. Wait for each server to reconnect before continuing. With two members, alerting pauses while either is unavailable. Peer addresses, certificates, history, SMTP settings, branding and logins are retained. Do not reset or delete monitor data for this update. Wait for all members before editing shared settings.</w:t>
      </w:r>
    </w:p>
    <w:p>
      <w:pPr/>
      <w:r>
        <w:t>After each update, run sudo aivid-healthctl status and confirm the server reconnects. Refresh the browser with Ctrl+Shift+R. The footer must show Health Monitor 1.1.0 and the sidebar must show Incidents. Check Open and Closed / recovered, then confirm the open count matches Overview.</w:t>
      </w:r>
    </w:p>
    <w:p>
      <w:pPr/>
      <w:r>
        <w:t>Older notifications are grouped using the existing incident state. New incidents receive a stable lifecycle identity. Escalations preserve the start time, and a recurrence opens a new incident. The upgrade does not replay old notifications or change thresholds.</w:t>
      </w:r>
    </w:p>
    <w:p>
      <w:pPr>
        <w:pStyle w:val="Heading2"/>
      </w:pPr>
      <w:r>
        <w:rPr>
          <w:color w:val="000000"/>
        </w:rPr>
        <w:t>Validate once on your real servers</w:t>
      </w:r>
    </w:p>
    <w:p>
      <w:r>
        <w:t>Confirm resources and server names, then save SMTP settings and send a test email. Check the subject, both brands and the Alert sender name. With three monitors, test only the Health Monitor service in a maintenance window: stop aivid-health.service on one server, leave its other software running, and check that the sender records one Open offline incident and sends an email. Start aivid-health.service again and verify that the same incident moves to Closed / recovered. A service outage means the monitor endpoint is unreachable; it does not prove the whole host is powered off.</w:t>
      </w:r>
    </w:p>
    <w:p>
      <w:r>
        <w:t>Peer checks default to 10 seconds; confirmed outages need three failed probes and two observers. Resource collection defaults to 30 seconds, GPU queries to 60 seconds, and local history to at least 60 seconds. Leases last 45 seconds. Allow about a minute for handover. Unreachable does not prove a host has lost power.</w:t>
      </w:r>
    </w:p>
    <w:p>
      <w:pPr>
        <w:pStyle w:val="Heading2"/>
      </w:pPr>
      <w:r>
        <w:rPr>
          <w:color w:val="000000"/>
        </w:rPr>
        <w:t>Limits to understand</w:t>
      </w:r>
    </w:p>
    <w:p>
      <w:r>
        <w:t>Email needs a strict majority: 1 of 1, 2 of 2 or 3, and 3 of 4 or 5. One monitor cannot report its own total failure; two cannot alert with one down. An external observer is needed for whole-site or majority loss. This build supports adding and editing servers; planned removal is not a dashboard operation. SMTP cannot guarantee exactly-once inbox delivery.</w:t>
      </w:r>
    </w:p>
    <w:p>
      <w:r>
        <w:t>Certificates expire after 825 days; arrange renewal and coordinated trust updates. Host systemd startup, physical GPU hardware, production SMTP and public TCP 8282 routing require site checks. See the separate verification report for automated test coverage.</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AIVID Health Monitor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AIVID Health Monitor Installation Manual</dc:title>
  <dc:subject/>
  <dc:creator>AIVID</dc:creator>
  <cp:keywords/>
  <dc:description>Release 1.1.0-20261009.incidents1</dc:description>
  <cp:lastModifiedBy/>
  <cp:revision>1</cp:revision>
  <dcterms:created xsi:type="dcterms:W3CDTF">2013-12-23T23:15:00Z</dcterms:created>
  <dcterms:modified xsi:type="dcterms:W3CDTF">2013-12-23T23:15:00Z</dcterms:modified>
  <cp:category/>
</cp:coreProperties>
</file>