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ageBreakBefore w:val="0"/>
      </w:pPr>
      <w:r>
        <w:rPr>
          <w:b/>
          <w:sz w:val="30"/>
        </w:rPr>
        <w:t>AIVID</w:t>
      </w:r>
    </w:p>
    <w:p>
      <w:pPr>
        <w:pStyle w:val="Title"/>
        <w:pageBreakBefore w:val="0"/>
      </w:pPr>
      <w:r>
        <w:rPr>
          <w:color w:val="000000"/>
        </w:rPr>
        <w:t>AIVID Health Monitor User Manual</w:t>
      </w:r>
    </w:p>
    <w:p>
      <w:pPr>
        <w:pStyle w:val="Subtitle"/>
        <w:pageBreakBefore w:val="0"/>
      </w:pPr>
      <w:r>
        <w:rPr>
          <w:color w:val="000000"/>
        </w:rPr>
        <w:t>Configure servers and use the health dashboard</w:t>
      </w:r>
    </w:p>
    <w:p>
      <w:pPr>
        <w:pageBreakBefore w:val="0"/>
      </w:pPr>
      <w:r>
        <w:t>Version 1.1.0  |  Build 20261009.incidents1  |  9 October 2026</w:t>
      </w:r>
    </w:p>
    <w:p>
      <w:pPr>
        <w:pageBreakBefore w:val="0"/>
      </w:pPr>
      <w:r>
        <w:t>Use any member dashboard to view cluster health. Save shared email settings and server-directory changes on the current Alert sender dashboard. Local disks are detected automatically. Configure GPU behavior and the collection interval on the affected server’s dashboard.</w:t>
      </w:r>
    </w:p>
    <w:p>
      <w:pPr>
        <w:pStyle w:val="Heading1"/>
        <w:pageBreakBefore w:val="0"/>
      </w:pPr>
      <w:r>
        <w:rPr>
          <w:color w:val="000000"/>
        </w:rPr>
        <w:t>Sign in</w:t>
      </w:r>
    </w:p>
    <w:p>
      <w:pPr>
        <w:pageBreakBefore w:val="0"/>
      </w:pPr>
      <w:r>
        <w:t>Open https://SERVER_IP:8282 and sign in with your chosen login ID and password. Existing installations keep their login. An older generated initial password must be changed in Account. Your administrator establishes certificate trust. Dashboard, pairing and peer communication share port 8282.</w:t>
      </w:r>
    </w:p>
    <w:p>
      <w:pPr>
        <w:pStyle w:val="Heading1"/>
        <w:pageBreakBefore w:val="0"/>
      </w:pPr>
      <w:r>
        <w:rPr>
          <w:color w:val="000000"/>
        </w:rPr>
        <w:t>Complete the Setup page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op w:val="single" w:sz="4" w:color="D9D9D9"/>
          <w:left w:val="single" w:sz="4" w:color="D9D9D9"/>
          <w:bottom w:val="single" w:sz="4" w:color="D9D9D9"/>
          <w:right w:val="single" w:sz="4" w:color="D9D9D9"/>
          <w:insideH w:val="single" w:sz="4" w:color="D9D9D9"/>
          <w:insideV w:val="single" w:sz="4" w:color="D9D9D9"/>
        </w:tblBorders>
      </w:tblPr>
      <w:tblGrid>
        <w:gridCol w:w="2592"/>
        <w:gridCol w:w="7416"/>
      </w:tblGrid>
      <w:tr>
        <w:trPr>
          <w:tblHeader/>
          <w:cantSplit/>
        </w:trPr>
        <w:tc>
          <w:tcPr>
            <w:tcW w:type="dxa" w:w="2592"/>
            <w:tcMar>
              <w:top w:w="75" w:type="dxa"/>
              <w:bottom w:w="75" w:type="dxa"/>
              <w:left w:w="95" w:type="dxa"/>
              <w:right w:w="95" w:type="dxa"/>
            </w:tcMar>
            <w:vAlign w:val="center"/>
            <w:shd w:fill="253E4D"/>
          </w:tcPr>
          <w:p>
            <w:pPr>
              <w:spacing w:after="40" w:line="252" w:lineRule="auto"/>
            </w:pPr>
            <w:r>
              <w:rPr>
                <w:b/>
                <w:color w:val="FFFFFF"/>
                <w:sz w:val="19"/>
              </w:rPr>
              <w:t>Step</w:t>
            </w:r>
          </w:p>
        </w:tc>
        <w:tc>
          <w:tcPr>
            <w:tcW w:type="dxa" w:w="7416"/>
            <w:tcMar>
              <w:top w:w="75" w:type="dxa"/>
              <w:bottom w:w="75" w:type="dxa"/>
              <w:left w:w="95" w:type="dxa"/>
              <w:right w:w="95" w:type="dxa"/>
            </w:tcMar>
            <w:vAlign w:val="center"/>
            <w:shd w:fill="253E4D"/>
          </w:tcPr>
          <w:p>
            <w:pPr>
              <w:spacing w:after="40" w:line="252" w:lineRule="auto"/>
            </w:pPr>
            <w:r>
              <w:rPr>
                <w:b/>
                <w:color w:val="FFFFFF"/>
                <w:sz w:val="19"/>
              </w:rPr>
              <w:t>Action</w:t>
            </w:r>
          </w:p>
        </w:tc>
      </w:tr>
      <w:tr>
        <w:trPr>
          <w:cantSplit/>
        </w:trPr>
        <w:tc>
          <w:tcPr>
            <w:tcW w:type="dxa" w:w="2592"/>
            <w:tcMar>
              <w:top w:w="75" w:type="dxa"/>
              <w:bottom w:w="75" w:type="dxa"/>
              <w:left w:w="95" w:type="dxa"/>
              <w:right w:w="95" w:type="dxa"/>
            </w:tcMar>
            <w:vAlign w:val="center"/>
            <w:shd w:fill="FFFFFF"/>
          </w:tcPr>
          <w:p>
            <w:pPr>
              <w:spacing w:after="40" w:line="252" w:lineRule="auto"/>
            </w:pPr>
            <w:r>
              <w:rPr>
                <w:sz w:val="19"/>
              </w:rPr>
              <w:t>1 Monitor this server</w:t>
            </w:r>
          </w:p>
        </w:tc>
        <w:tc>
          <w:tcPr>
            <w:tcW w:type="dxa" w:w="7416"/>
            <w:tcMar>
              <w:top w:w="75" w:type="dxa"/>
              <w:bottom w:w="75" w:type="dxa"/>
              <w:left w:w="95" w:type="dxa"/>
              <w:right w:w="95" w:type="dxa"/>
            </w:tcMar>
            <w:vAlign w:val="center"/>
            <w:shd w:fill="FFFFFF"/>
          </w:tcPr>
          <w:p>
            <w:pPr>
              <w:spacing w:after="40" w:line="252" w:lineRule="auto"/>
            </w:pPr>
            <w:r>
              <w:t>Disks are automatic. Set GPU-required behavior and collection interval in Setup.</w:t>
            </w:r>
          </w:p>
        </w:tc>
      </w:tr>
      <w:tr>
        <w:trPr>
          <w:cantSplit/>
        </w:trPr>
        <w:tc>
          <w:tcPr>
            <w:tcW w:type="dxa" w:w="2592"/>
            <w:tcMar>
              <w:top w:w="75" w:type="dxa"/>
              <w:bottom w:w="75" w:type="dxa"/>
              <w:left w:w="95" w:type="dxa"/>
              <w:right w:w="95" w:type="dxa"/>
            </w:tcMar>
            <w:vAlign w:val="center"/>
            <w:shd w:fill="F2F5F7"/>
          </w:tcPr>
          <w:p>
            <w:pPr>
              <w:spacing w:after="40" w:line="252" w:lineRule="auto"/>
            </w:pPr>
            <w:r>
              <w:rPr>
                <w:sz w:val="19"/>
              </w:rPr>
              <w:t>2 Register more servers</w:t>
            </w:r>
          </w:p>
        </w:tc>
        <w:tc>
          <w:tcPr>
            <w:tcW w:type="dxa" w:w="7416"/>
            <w:tcMar>
              <w:top w:w="75" w:type="dxa"/>
              <w:bottom w:w="75" w:type="dxa"/>
              <w:left w:w="95" w:type="dxa"/>
              <w:right w:w="95" w:type="dxa"/>
            </w:tcMar>
            <w:vAlign w:val="center"/>
            <w:shd w:fill="F2F5F7"/>
          </w:tcPr>
          <w:p>
            <w:pPr>
              <w:spacing w:after="40" w:line="252" w:lineRule="auto"/>
            </w:pPr>
            <w:r>
              <w:t>Copy its pairing code from the installer or Setup, then add it on the sender. Priority may be left blank.</w:t>
            </w:r>
          </w:p>
        </w:tc>
      </w:tr>
      <w:tr>
        <w:trPr>
          <w:cantSplit/>
        </w:trPr>
        <w:tc>
          <w:tcPr>
            <w:tcW w:type="dxa" w:w="2592"/>
            <w:tcMar>
              <w:top w:w="75" w:type="dxa"/>
              <w:bottom w:w="75" w:type="dxa"/>
              <w:left w:w="95" w:type="dxa"/>
              <w:right w:w="95" w:type="dxa"/>
            </w:tcMar>
            <w:vAlign w:val="center"/>
            <w:shd w:fill="FFFFFF"/>
          </w:tcPr>
          <w:p>
            <w:pPr>
              <w:spacing w:after="40" w:line="252" w:lineRule="auto"/>
            </w:pPr>
            <w:r>
              <w:rPr>
                <w:sz w:val="19"/>
              </w:rPr>
              <w:t>3 Enable and test email</w:t>
            </w:r>
          </w:p>
        </w:tc>
        <w:tc>
          <w:tcPr>
            <w:tcW w:type="dxa" w:w="7416"/>
            <w:tcMar>
              <w:top w:w="75" w:type="dxa"/>
              <w:bottom w:w="75" w:type="dxa"/>
              <w:left w:w="95" w:type="dxa"/>
              <w:right w:w="95" w:type="dxa"/>
            </w:tcMar>
            <w:vAlign w:val="center"/>
            <w:shd w:fill="FFFFFF"/>
          </w:tcPr>
          <w:p>
            <w:pPr>
              <w:spacing w:after="40" w:line="252" w:lineRule="auto"/>
            </w:pPr>
            <w:r>
              <w:rPr>
                <w:sz w:val="19"/>
              </w:rPr>
              <w:t>Save SMTP settings on the sender, send a test and check the inbox.</w:t>
            </w:r>
          </w:p>
        </w:tc>
      </w:tr>
    </w:tbl>
    <w:p>
      <w:pPr>
        <w:pageBreakBefore w:val="0"/>
        <w:spacing w:after="40"/>
      </w:pPr>
    </w:p>
    <w:p>
      <w:pPr>
        <w:pageBreakBefore w:val="0"/>
      </w:pPr>
      <w:r>
        <w:t>Setup shows the same active pairing code printed during installation. Paste the new server’s code into Add another server on the alert sender. If needed, set its reachable peer address and select Create / replace code. Codes expire in one hour; replacing a code invalidates the old one. Keep it private.</w:t>
      </w:r>
    </w:p>
    <w:p>
      <w:pPr>
        <w:pStyle w:val="Heading1"/>
        <w:pageBreakBefore w:val="0"/>
      </w:pPr>
      <w:r>
        <w:rPr>
          <w:color w:val="000000"/>
        </w:rPr>
        <w:t>Understand the Overview page</w:t>
      </w:r>
    </w:p>
    <w:p>
      <w:pPr>
        <w:pageBreakBefore w:val="0"/>
      </w:pPr>
      <w:r>
        <w:t>Systems online shows connected monitors. Open incidents counts unresolved resource or availability issues. Select View all to open the incident list. Alert sender uses the configured server name, also shown in email. Email delivery counts messages awaiting delivery or review, or shows Off. Its count is separate from open incidents. Server cards display CPU, memory, disk and GPU data; the chart shows recent CPU and memory history.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op w:val="single" w:sz="4" w:color="D9D9D9"/>
          <w:left w:val="single" w:sz="4" w:color="D9D9D9"/>
          <w:bottom w:val="single" w:sz="4" w:color="D9D9D9"/>
          <w:right w:val="single" w:sz="4" w:color="D9D9D9"/>
          <w:insideH w:val="single" w:sz="4" w:color="D9D9D9"/>
          <w:insideV w:val="single" w:sz="4" w:color="D9D9D9"/>
        </w:tblBorders>
      </w:tblPr>
      <w:tblGrid>
        <w:gridCol w:w="2664"/>
        <w:gridCol w:w="7344"/>
      </w:tblGrid>
      <w:tr>
        <w:trPr>
          <w:tblHeader/>
          <w:cantSplit/>
        </w:trPr>
        <w:tc>
          <w:tcPr>
            <w:tcW w:type="dxa" w:w="2664"/>
            <w:tcMar>
              <w:top w:w="75" w:type="dxa"/>
              <w:bottom w:w="75" w:type="dxa"/>
              <w:left w:w="95" w:type="dxa"/>
              <w:right w:w="95" w:type="dxa"/>
            </w:tcMar>
            <w:vAlign w:val="center"/>
            <w:shd w:fill="253E4D"/>
          </w:tcPr>
          <w:p>
            <w:pPr>
              <w:spacing w:after="40" w:line="252" w:lineRule="auto"/>
            </w:pPr>
            <w:r>
              <w:rPr>
                <w:b/>
                <w:color w:val="FFFFFF"/>
                <w:sz w:val="19"/>
              </w:rPr>
              <w:t>Status</w:t>
            </w:r>
          </w:p>
        </w:tc>
        <w:tc>
          <w:tcPr>
            <w:tcW w:type="dxa" w:w="7344"/>
            <w:tcMar>
              <w:top w:w="75" w:type="dxa"/>
              <w:bottom w:w="75" w:type="dxa"/>
              <w:left w:w="95" w:type="dxa"/>
              <w:right w:w="95" w:type="dxa"/>
            </w:tcMar>
            <w:vAlign w:val="center"/>
            <w:shd w:fill="253E4D"/>
          </w:tcPr>
          <w:p>
            <w:pPr>
              <w:spacing w:after="40" w:line="252" w:lineRule="auto"/>
            </w:pPr>
            <w:r>
              <w:rPr>
                <w:b/>
                <w:color w:val="FFFFFF"/>
                <w:sz w:val="19"/>
              </w:rPr>
              <w:t>Meaning</w:t>
            </w:r>
          </w:p>
        </w:tc>
      </w:tr>
      <w:tr>
        <w:trPr>
          <w:cantSplit/>
        </w:trPr>
        <w:tc>
          <w:tcPr>
            <w:tcW w:type="dxa" w:w="2664"/>
            <w:tcMar>
              <w:top w:w="75" w:type="dxa"/>
              <w:bottom w:w="75" w:type="dxa"/>
              <w:left w:w="95" w:type="dxa"/>
              <w:right w:w="95" w:type="dxa"/>
            </w:tcMar>
            <w:vAlign w:val="center"/>
            <w:shd w:fill="FFFFFF"/>
          </w:tcPr>
          <w:p>
            <w:pPr>
              <w:spacing w:after="40" w:line="252" w:lineRule="auto"/>
            </w:pPr>
            <w:r>
              <w:rPr>
                <w:sz w:val="19"/>
              </w:rPr>
              <w:t>Online</w:t>
            </w:r>
          </w:p>
        </w:tc>
        <w:tc>
          <w:tcPr>
            <w:tcW w:type="dxa" w:w="7344"/>
            <w:tcMar>
              <w:top w:w="75" w:type="dxa"/>
              <w:bottom w:w="75" w:type="dxa"/>
              <w:left w:w="95" w:type="dxa"/>
              <w:right w:w="95" w:type="dxa"/>
            </w:tcMar>
            <w:vAlign w:val="center"/>
            <w:shd w:fill="FFFFFF"/>
          </w:tcPr>
          <w:p>
            <w:pPr>
              <w:spacing w:after="40" w:line="252" w:lineRule="auto"/>
            </w:pPr>
            <w:r>
              <w:rPr>
                <w:sz w:val="19"/>
              </w:rPr>
              <w:t>A recent authenticated health check succeeded.</w:t>
            </w:r>
          </w:p>
        </w:tc>
      </w:tr>
      <w:tr>
        <w:trPr>
          <w:cantSplit/>
        </w:trPr>
        <w:tc>
          <w:tcPr>
            <w:tcW w:type="dxa" w:w="2664"/>
            <w:tcMar>
              <w:top w:w="75" w:type="dxa"/>
              <w:bottom w:w="75" w:type="dxa"/>
              <w:left w:w="95" w:type="dxa"/>
              <w:right w:w="95" w:type="dxa"/>
            </w:tcMar>
            <w:vAlign w:val="center"/>
            <w:shd w:fill="F2F5F7"/>
          </w:tcPr>
          <w:p>
            <w:pPr>
              <w:spacing w:after="40" w:line="252" w:lineRule="auto"/>
            </w:pPr>
            <w:r>
              <w:rPr>
                <w:sz w:val="19"/>
              </w:rPr>
              <w:t>Starting or unreachable</w:t>
            </w:r>
          </w:p>
        </w:tc>
        <w:tc>
          <w:tcPr>
            <w:tcW w:type="dxa" w:w="7344"/>
            <w:tcMar>
              <w:top w:w="75" w:type="dxa"/>
              <w:bottom w:w="75" w:type="dxa"/>
              <w:left w:w="95" w:type="dxa"/>
              <w:right w:w="95" w:type="dxa"/>
            </w:tcMar>
            <w:vAlign w:val="center"/>
            <w:shd w:fill="F2F5F7"/>
          </w:tcPr>
          <w:p>
            <w:pPr>
              <w:spacing w:after="40" w:line="252" w:lineRule="auto"/>
            </w:pPr>
            <w:r>
              <w:rPr>
                <w:sz w:val="19"/>
              </w:rPr>
              <w:t>The monitor is starting or not responding; investigate service, host and network.</w:t>
            </w:r>
          </w:p>
        </w:tc>
      </w:tr>
      <w:tr>
        <w:trPr>
          <w:cantSplit/>
        </w:trPr>
        <w:tc>
          <w:tcPr>
            <w:tcW w:type="dxa" w:w="2664"/>
            <w:tcMar>
              <w:top w:w="75" w:type="dxa"/>
              <w:bottom w:w="75" w:type="dxa"/>
              <w:left w:w="95" w:type="dxa"/>
              <w:right w:w="95" w:type="dxa"/>
            </w:tcMar>
            <w:vAlign w:val="center"/>
            <w:shd w:fill="FFFFFF"/>
          </w:tcPr>
          <w:p>
            <w:pPr>
              <w:spacing w:after="40" w:line="252" w:lineRule="auto"/>
            </w:pPr>
            <w:r>
              <w:rPr>
                <w:sz w:val="19"/>
              </w:rPr>
              <w:t>Path issue</w:t>
            </w:r>
          </w:p>
        </w:tc>
        <w:tc>
          <w:tcPr>
            <w:tcW w:type="dxa" w:w="7344"/>
            <w:tcMar>
              <w:top w:w="75" w:type="dxa"/>
              <w:bottom w:w="75" w:type="dxa"/>
              <w:left w:w="95" w:type="dxa"/>
              <w:right w:w="95" w:type="dxa"/>
            </w:tcMar>
            <w:vAlign w:val="center"/>
            <w:shd w:fill="FFFFFF"/>
          </w:tcPr>
          <w:p>
            <w:pPr>
              <w:spacing w:after="40" w:line="252" w:lineRule="auto"/>
            </w:pPr>
            <w:r>
              <w:rPr>
                <w:sz w:val="19"/>
              </w:rPr>
              <w:t>Observers disagree about reachability; investigate the network path.</w:t>
            </w:r>
          </w:p>
        </w:tc>
      </w:tr>
      <w:tr>
        <w:trPr>
          <w:cantSplit/>
        </w:trPr>
        <w:tc>
          <w:tcPr>
            <w:tcW w:type="dxa" w:w="2664"/>
            <w:tcMar>
              <w:top w:w="75" w:type="dxa"/>
              <w:bottom w:w="75" w:type="dxa"/>
              <w:left w:w="95" w:type="dxa"/>
              <w:right w:w="95" w:type="dxa"/>
            </w:tcMar>
            <w:vAlign w:val="center"/>
            <w:shd w:fill="F2F5F7"/>
          </w:tcPr>
          <w:p>
            <w:pPr>
              <w:spacing w:after="40" w:line="252" w:lineRule="auto"/>
            </w:pPr>
            <w:r>
              <w:rPr>
                <w:sz w:val="19"/>
              </w:rPr>
              <w:t>Last recorded values</w:t>
            </w:r>
          </w:p>
        </w:tc>
        <w:tc>
          <w:tcPr>
            <w:tcW w:type="dxa" w:w="7344"/>
            <w:tcMar>
              <w:top w:w="75" w:type="dxa"/>
              <w:bottom w:w="75" w:type="dxa"/>
              <w:left w:w="95" w:type="dxa"/>
              <w:right w:w="95" w:type="dxa"/>
            </w:tcMar>
            <w:vAlign w:val="center"/>
            <w:shd w:fill="F2F5F7"/>
          </w:tcPr>
          <w:p>
            <w:pPr>
              <w:spacing w:after="40" w:line="252" w:lineRule="auto"/>
            </w:pPr>
            <w:r>
              <w:rPr>
                <w:sz w:val="19"/>
              </w:rPr>
              <w:t>Displayed readings are stale; wait for a successful live check.</w:t>
            </w:r>
          </w:p>
        </w:tc>
      </w:tr>
    </w:tbl>
    <w:p>
      <w:pPr>
        <w:pageBreakBefore w:val="0"/>
        <w:spacing w:after="40"/>
      </w:pPr>
    </w:p>
    <w:p>
      <w:pPr>
        <w:pStyle w:val="Heading1"/>
        <w:pageBreakBefore w:val="0"/>
      </w:pPr>
      <w:r>
        <w:rPr>
          <w:color w:val="000000"/>
        </w:rPr>
        <w:t>Manage incidents</w:t>
      </w:r>
    </w:p>
    <w:p>
      <w:pPr>
        <w:pageBreakBefore w:val="0"/>
      </w:pPr>
      <w:r>
        <w:t>Open shows issues awaiting confirmed recovery. A sent email does not close an incident. Closed / recovered shows confirmed recoveries from the last 90 days. All incidents combines these categories and identifies incomplete older history. Email delivery contains individual notifications and test emails.</w:t>
      </w:r>
    </w:p>
    <w:p>
      <w:pPr>
        <w:pageBreakBefore w:val="0"/>
      </w:pPr>
      <w:r>
        <w:t>Use Server, Severity and Search, then select Apply filters. Clear removes the filters. Counts on the category buttons cover all retained incidents; the result count describes the filtered list. Use Previous and Next for longer lists.</w:t>
      </w:r>
    </w:p>
    <w:p>
      <w:pPr>
        <w:pageBreakBefore w:val="0"/>
      </w:pPr>
      <w:r>
        <w:t>Each incident shows the server, resource, status, severity, raised time, recovery time and duration. View details expands the last evaluated value, last check and notification timeline. An escalation keeps the original incident and start time. A recurrence after recovery creates a new incident. Closed rows show peak severity.</w:t>
      </w:r>
    </w:p>
    <w:p>
      <w:pPr>
        <w:pageBreakBefore w:val="0"/>
      </w:pPr>
      <w:r>
        <w:t>Recovery requires healthy observations under the configured recovery rules. A missing GPU reading, unreachable peer or loss of the communicating majority cannot count as recovery. Open incidents remain visible while awaiting fresh evidence. Incomplete retained history is labelled explicitly; unknown times are not invented.</w:t>
      </w:r>
    </w:p>
    <w:p>
      <w:pPr>
        <w:pageBreakBefore w:val="0"/>
      </w:pPr>
      <w:r>
        <w:t>Review uncertain delivery in the recipient mailbox or relay logs. Dismiss notification stops that notification from being sent again; it does not close or recover the incident. Pending recovery emails remain visible in Email delivery even when the incident is already closed.</w:t>
      </w:r>
    </w:p>
    <w:p>
      <w:pPr>
        <w:pStyle w:val="Heading1"/>
        <w:pageBreakBefore w:val="0"/>
      </w:pPr>
      <w:r>
        <w:rPr>
          <w:color w:val="000000"/>
        </w:rPr>
        <w:t>Email and alert behavior</w:t>
      </w:r>
    </w:p>
    <w:p>
      <w:pPr>
        <w:pStyle w:val="Heading2"/>
        <w:pageBreakBefore w:val="0"/>
      </w:pPr>
      <w:r>
        <w:rPr>
          <w:color w:val="000000"/>
        </w:rPr>
        <w:t>SMTP settings</w:t>
      </w:r>
    </w:p>
    <w:p>
      <w:pPr>
        <w:pageBreakBefore w:val="0"/>
      </w:pPr>
      <w:r>
        <w:t>Use STARTTLS, commonly port 587, or TLS, commonly port 465, as directed by your mail administrator. Certificate checks remain enabled. Plain relay mode is for an approved internal relay without authentication. Authorize every monitor source IP at the relay so failover can send.</w:t>
      </w:r>
    </w:p>
    <w:p>
      <w:pPr>
        <w:pageBreakBefore w:val="0"/>
      </w:pPr>
      <w:r>
        <w:t>Separate recipient addresses with commas. A blank SMTP password preserves the saved password. Settings require a majority of registered monitors. Open the current alert sender’s address from the Setup server table if you are on a standby dashboard.</w:t>
      </w:r>
    </w:p>
    <w:p>
      <w:pPr>
        <w:pStyle w:val="Heading2"/>
        <w:pageBreakBefore w:val="0"/>
      </w:pPr>
      <w:r>
        <w:rPr>
          <w:color w:val="000000"/>
        </w:rPr>
        <w:t>Delivery status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op w:val="single" w:sz="4" w:color="D9D9D9"/>
          <w:left w:val="single" w:sz="4" w:color="D9D9D9"/>
          <w:bottom w:val="single" w:sz="4" w:color="D9D9D9"/>
          <w:right w:val="single" w:sz="4" w:color="D9D9D9"/>
          <w:insideH w:val="single" w:sz="4" w:color="D9D9D9"/>
          <w:insideV w:val="single" w:sz="4" w:color="D9D9D9"/>
        </w:tblBorders>
      </w:tblPr>
      <w:tblGrid>
        <w:gridCol w:w="2160"/>
        <w:gridCol w:w="7848"/>
      </w:tblGrid>
      <w:tr>
        <w:trPr>
          <w:tblHeader/>
          <w:cantSplit/>
        </w:trPr>
        <w:tc>
          <w:tcPr>
            <w:tcW w:type="dxa" w:w="2160"/>
            <w:tcMar>
              <w:top w:w="75" w:type="dxa"/>
              <w:bottom w:w="75" w:type="dxa"/>
              <w:left w:w="95" w:type="dxa"/>
              <w:right w:w="95" w:type="dxa"/>
            </w:tcMar>
            <w:vAlign w:val="center"/>
            <w:shd w:fill="253E4D"/>
          </w:tcPr>
          <w:p>
            <w:pPr>
              <w:spacing w:after="40" w:line="252" w:lineRule="auto"/>
            </w:pPr>
            <w:r>
              <w:rPr>
                <w:b/>
                <w:color w:val="FFFFFF"/>
                <w:sz w:val="19"/>
              </w:rPr>
              <w:t>Status</w:t>
            </w:r>
          </w:p>
        </w:tc>
        <w:tc>
          <w:tcPr>
            <w:tcW w:type="dxa" w:w="7848"/>
            <w:tcMar>
              <w:top w:w="75" w:type="dxa"/>
              <w:bottom w:w="75" w:type="dxa"/>
              <w:left w:w="95" w:type="dxa"/>
              <w:right w:w="95" w:type="dxa"/>
            </w:tcMar>
            <w:vAlign w:val="center"/>
            <w:shd w:fill="253E4D"/>
          </w:tcPr>
          <w:p>
            <w:pPr>
              <w:spacing w:after="40" w:line="252" w:lineRule="auto"/>
            </w:pPr>
            <w:r>
              <w:rPr>
                <w:b/>
                <w:color w:val="FFFFFF"/>
                <w:sz w:val="19"/>
              </w:rPr>
              <w:t>Meaning and action</w:t>
            </w:r>
          </w:p>
        </w:tc>
      </w:tr>
      <w:tr>
        <w:trPr>
          <w:cantSplit/>
        </w:trPr>
        <w:tc>
          <w:tcPr>
            <w:tcW w:type="dxa" w:w="2160"/>
            <w:tcMar>
              <w:top w:w="75" w:type="dxa"/>
              <w:bottom w:w="75" w:type="dxa"/>
              <w:left w:w="95" w:type="dxa"/>
              <w:right w:w="95" w:type="dxa"/>
            </w:tcMar>
            <w:vAlign w:val="center"/>
            <w:shd w:fill="FFFFFF"/>
          </w:tcPr>
          <w:p>
            <w:pPr>
              <w:spacing w:after="40" w:line="252" w:lineRule="auto"/>
            </w:pPr>
            <w:r>
              <w:rPr>
                <w:sz w:val="19"/>
              </w:rPr>
              <w:t>Pending or sending</w:t>
            </w:r>
          </w:p>
        </w:tc>
        <w:tc>
          <w:tcPr>
            <w:tcW w:type="dxa" w:w="7848"/>
            <w:tcMar>
              <w:top w:w="75" w:type="dxa"/>
              <w:bottom w:w="75" w:type="dxa"/>
              <w:left w:w="95" w:type="dxa"/>
              <w:right w:w="95" w:type="dxa"/>
            </w:tcMar>
            <w:vAlign w:val="center"/>
            <w:shd w:fill="FFFFFF"/>
          </w:tcPr>
          <w:p>
            <w:pPr>
              <w:spacing w:after="40" w:line="252" w:lineRule="auto"/>
            </w:pPr>
            <w:r>
              <w:rPr>
                <w:sz w:val="19"/>
              </w:rPr>
              <w:t>The notification is waiting or being submitted to SMTP.</w:t>
            </w:r>
          </w:p>
        </w:tc>
      </w:tr>
      <w:tr>
        <w:trPr>
          <w:cantSplit/>
        </w:trPr>
        <w:tc>
          <w:tcPr>
            <w:tcW w:type="dxa" w:w="2160"/>
            <w:tcMar>
              <w:top w:w="75" w:type="dxa"/>
              <w:bottom w:w="75" w:type="dxa"/>
              <w:left w:w="95" w:type="dxa"/>
              <w:right w:w="95" w:type="dxa"/>
            </w:tcMar>
            <w:vAlign w:val="center"/>
            <w:shd w:fill="F2F5F7"/>
          </w:tcPr>
          <w:p>
            <w:pPr>
              <w:spacing w:after="40" w:line="252" w:lineRule="auto"/>
            </w:pPr>
            <w:r>
              <w:rPr>
                <w:sz w:val="19"/>
              </w:rPr>
              <w:t>Sent</w:t>
            </w:r>
          </w:p>
        </w:tc>
        <w:tc>
          <w:tcPr>
            <w:tcW w:type="dxa" w:w="7848"/>
            <w:tcMar>
              <w:top w:w="75" w:type="dxa"/>
              <w:bottom w:w="75" w:type="dxa"/>
              <w:left w:w="95" w:type="dxa"/>
              <w:right w:w="95" w:type="dxa"/>
            </w:tcMar>
            <w:vAlign w:val="center"/>
            <w:shd w:fill="F2F5F7"/>
          </w:tcPr>
          <w:p>
            <w:pPr>
              <w:spacing w:after="40" w:line="252" w:lineRule="auto"/>
            </w:pPr>
            <w:r>
              <w:rPr>
                <w:sz w:val="19"/>
              </w:rPr>
              <w:t>SMTP accepted the message. Check the inbox or relay logs if it is missing.</w:t>
            </w:r>
          </w:p>
        </w:tc>
      </w:tr>
      <w:tr>
        <w:trPr>
          <w:cantSplit/>
        </w:trPr>
        <w:tc>
          <w:tcPr>
            <w:tcW w:type="dxa" w:w="2160"/>
            <w:tcMar>
              <w:top w:w="75" w:type="dxa"/>
              <w:bottom w:w="75" w:type="dxa"/>
              <w:left w:w="95" w:type="dxa"/>
              <w:right w:w="95" w:type="dxa"/>
            </w:tcMar>
            <w:vAlign w:val="center"/>
            <w:shd w:fill="FFFFFF"/>
          </w:tcPr>
          <w:p>
            <w:pPr>
              <w:spacing w:after="40" w:line="252" w:lineRule="auto"/>
            </w:pPr>
            <w:r>
              <w:rPr>
                <w:sz w:val="19"/>
              </w:rPr>
              <w:t>Retry</w:t>
            </w:r>
          </w:p>
        </w:tc>
        <w:tc>
          <w:tcPr>
            <w:tcW w:type="dxa" w:w="7848"/>
            <w:tcMar>
              <w:top w:w="75" w:type="dxa"/>
              <w:bottom w:w="75" w:type="dxa"/>
              <w:left w:w="95" w:type="dxa"/>
              <w:right w:w="95" w:type="dxa"/>
            </w:tcMar>
            <w:vAlign w:val="center"/>
            <w:shd w:fill="FFFFFF"/>
          </w:tcPr>
          <w:p>
            <w:pPr>
              <w:spacing w:after="40" w:line="252" w:lineRule="auto"/>
            </w:pPr>
            <w:r>
              <w:rPr>
                <w:sz w:val="19"/>
              </w:rPr>
              <w:t>A confirmed SMTP failure will retry with increasing delay. Check server, login, TLS and sender permissions.</w:t>
            </w:r>
          </w:p>
        </w:tc>
      </w:tr>
      <w:tr>
        <w:trPr>
          <w:cantSplit/>
        </w:trPr>
        <w:tc>
          <w:tcPr>
            <w:tcW w:type="dxa" w:w="2160"/>
            <w:tcMar>
              <w:top w:w="75" w:type="dxa"/>
              <w:bottom w:w="75" w:type="dxa"/>
              <w:left w:w="95" w:type="dxa"/>
              <w:right w:w="95" w:type="dxa"/>
            </w:tcMar>
            <w:vAlign w:val="center"/>
            <w:shd w:fill="F2F5F7"/>
          </w:tcPr>
          <w:p>
            <w:pPr>
              <w:spacing w:after="40" w:line="252" w:lineRule="auto"/>
            </w:pPr>
            <w:r>
              <w:rPr>
                <w:sz w:val="19"/>
              </w:rPr>
              <w:t>Uncertain</w:t>
            </w:r>
          </w:p>
        </w:tc>
        <w:tc>
          <w:tcPr>
            <w:tcW w:type="dxa" w:w="7848"/>
            <w:tcMar>
              <w:top w:w="75" w:type="dxa"/>
              <w:bottom w:w="75" w:type="dxa"/>
              <w:left w:w="95" w:type="dxa"/>
              <w:right w:w="95" w:type="dxa"/>
            </w:tcMar>
            <w:vAlign w:val="center"/>
            <w:shd w:fill="F2F5F7"/>
          </w:tcPr>
          <w:p>
            <w:r>
              <w:t>SMTP acceptance could not be confirmed. Automatic resend is paused. Check the mailbox or relay logs before dismissing the notification.</w:t>
            </w:r>
          </w:p>
        </w:tc>
      </w:tr>
      <w:tr>
        <w:trPr>
          <w:cantSplit/>
        </w:trPr>
        <w:tc>
          <w:tcPr>
            <w:tcW w:type="dxa" w:w="2160"/>
            <w:tcMar>
              <w:top w:w="75" w:type="dxa"/>
              <w:bottom w:w="75" w:type="dxa"/>
              <w:left w:w="95" w:type="dxa"/>
              <w:right w:w="95" w:type="dxa"/>
            </w:tcMar>
            <w:vAlign w:val="center"/>
            <w:shd w:fill="FFFFFF"/>
          </w:tcPr>
          <w:p>
            <w:r>
              <w:t>Dismissed</w:t>
            </w:r>
          </w:p>
        </w:tc>
        <w:tc>
          <w:tcPr>
            <w:tcW w:type="dxa" w:w="7848"/>
            <w:tcMar>
              <w:top w:w="75" w:type="dxa"/>
              <w:bottom w:w="75" w:type="dxa"/>
              <w:left w:w="95" w:type="dxa"/>
              <w:right w:w="95" w:type="dxa"/>
            </w:tcMar>
            <w:vAlign w:val="center"/>
            <w:shd w:fill="FFFFFF"/>
          </w:tcPr>
          <w:p>
            <w:r>
              <w:t>The administrator dismissed this notification without another send. Incident status is unchanged.</w:t>
            </w:r>
          </w:p>
        </w:tc>
      </w:tr>
    </w:tbl>
    <w:p>
      <w:pPr>
        <w:pageBreakBefore w:val="0"/>
        <w:spacing w:after="40"/>
      </w:pPr>
    </w:p>
    <w:p>
      <w:pPr>
        <w:pStyle w:val="Heading2"/>
        <w:pageBreakBefore w:val="0"/>
      </w:pPr>
      <w:r>
        <w:rPr>
          <w:color w:val="000000"/>
        </w:rPr>
        <w:t>Which server sends</w:t>
      </w:r>
    </w:p>
    <w:p>
      <w:pPr>
        <w:pageBreakBefore w:val="0"/>
      </w:pPr>
      <w:r>
        <w:t>Leave priorities blank to use registration order. Optional numbered priorities take precedence, lowest number first; each number must be unique. Only the elected sender emails alerts. With three automatically ordered servers, if server 1 goes offline, server 2 sends and server 3 does not duplicate it. A majority must communicate before any sender can act.</w:t>
      </w:r>
    </w:p>
    <w:p>
      <w:pPr>
        <w:pageBreakBefore w:val="0"/>
      </w:pPr>
      <w:r>
        <w:t>A confirmed outage is emailed once by the selected sender. Recovery produces a separate message. Resource incidents can produce an additional message if severity increases. A connection break during SMTP submission may require manual review; exact-once delivery to an inbox cannot be guaranteed by SMTP.</w:t>
      </w:r>
    </w:p>
    <w:p>
      <w:pPr>
        <w:pStyle w:val="Heading1"/>
        <w:pageBreakBefore w:val="0"/>
      </w:pPr>
      <w:r>
        <w:rPr>
          <w:color w:val="000000"/>
        </w:rPr>
        <w:t>Resource thresholds and routine checks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op w:val="single" w:sz="4" w:color="D9D9D9"/>
          <w:left w:val="single" w:sz="4" w:color="D9D9D9"/>
          <w:bottom w:val="single" w:sz="4" w:color="D9D9D9"/>
          <w:right w:val="single" w:sz="4" w:color="D9D9D9"/>
          <w:insideH w:val="single" w:sz="4" w:color="D9D9D9"/>
          <w:insideV w:val="single" w:sz="4" w:color="D9D9D9"/>
        </w:tblBorders>
      </w:tblPr>
      <w:tblGrid>
        <w:gridCol w:w="5400"/>
        <w:gridCol w:w="2304"/>
        <w:gridCol w:w="2304"/>
      </w:tblGrid>
      <w:tr>
        <w:trPr>
          <w:tblHeader/>
          <w:cantSplit/>
        </w:trPr>
        <w:tc>
          <w:tcPr>
            <w:tcW w:type="dxa" w:w="5400"/>
            <w:tcMar>
              <w:top w:w="75" w:type="dxa"/>
              <w:bottom w:w="75" w:type="dxa"/>
              <w:left w:w="95" w:type="dxa"/>
              <w:right w:w="95" w:type="dxa"/>
            </w:tcMar>
            <w:vAlign w:val="center"/>
            <w:shd w:fill="253E4D"/>
          </w:tcPr>
          <w:p>
            <w:pPr>
              <w:spacing w:after="40" w:line="252" w:lineRule="auto"/>
            </w:pPr>
            <w:r>
              <w:rPr>
                <w:b/>
                <w:color w:val="FFFFFF"/>
                <w:sz w:val="19"/>
              </w:rPr>
              <w:t>Resource</w:t>
            </w:r>
          </w:p>
        </w:tc>
        <w:tc>
          <w:tcPr>
            <w:tcW w:type="dxa" w:w="2304"/>
            <w:tcMar>
              <w:top w:w="75" w:type="dxa"/>
              <w:bottom w:w="75" w:type="dxa"/>
              <w:left w:w="95" w:type="dxa"/>
              <w:right w:w="95" w:type="dxa"/>
            </w:tcMar>
            <w:vAlign w:val="center"/>
            <w:shd w:fill="253E4D"/>
          </w:tcPr>
          <w:p>
            <w:pPr>
              <w:spacing w:after="40" w:line="252" w:lineRule="auto"/>
            </w:pPr>
            <w:r>
              <w:rPr>
                <w:b/>
                <w:color w:val="FFFFFF"/>
                <w:sz w:val="19"/>
              </w:rPr>
              <w:t>Warning</w:t>
            </w:r>
          </w:p>
        </w:tc>
        <w:tc>
          <w:tcPr>
            <w:tcW w:type="dxa" w:w="2304"/>
            <w:tcMar>
              <w:top w:w="75" w:type="dxa"/>
              <w:bottom w:w="75" w:type="dxa"/>
              <w:left w:w="95" w:type="dxa"/>
              <w:right w:w="95" w:type="dxa"/>
            </w:tcMar>
            <w:vAlign w:val="center"/>
            <w:shd w:fill="253E4D"/>
          </w:tcPr>
          <w:p>
            <w:pPr>
              <w:spacing w:after="40" w:line="252" w:lineRule="auto"/>
            </w:pPr>
            <w:r>
              <w:rPr>
                <w:b/>
                <w:color w:val="FFFFFF"/>
                <w:sz w:val="19"/>
              </w:rPr>
              <w:t>Critical</w:t>
            </w:r>
          </w:p>
        </w:tc>
      </w:tr>
      <w:tr>
        <w:trPr>
          <w:cantSplit/>
        </w:trPr>
        <w:tc>
          <w:tcPr>
            <w:tcW w:type="dxa" w:w="5400"/>
            <w:tcMar>
              <w:top w:w="75" w:type="dxa"/>
              <w:bottom w:w="75" w:type="dxa"/>
              <w:left w:w="95" w:type="dxa"/>
              <w:right w:w="95" w:type="dxa"/>
            </w:tcMar>
            <w:vAlign w:val="center"/>
            <w:shd w:fill="FFFFFF"/>
          </w:tcPr>
          <w:p>
            <w:pPr>
              <w:spacing w:after="40" w:line="252" w:lineRule="auto"/>
            </w:pPr>
            <w:r>
              <w:rPr>
                <w:sz w:val="19"/>
              </w:rPr>
              <w:t>CPU</w:t>
            </w:r>
          </w:p>
        </w:tc>
        <w:tc>
          <w:tcPr>
            <w:tcW w:type="dxa" w:w="2304"/>
            <w:tcMar>
              <w:top w:w="75" w:type="dxa"/>
              <w:bottom w:w="75" w:type="dxa"/>
              <w:left w:w="95" w:type="dxa"/>
              <w:right w:w="95" w:type="dxa"/>
            </w:tcMar>
            <w:vAlign w:val="center"/>
            <w:shd w:fill="FFFFFF"/>
          </w:tcPr>
          <w:p>
            <w:pPr>
              <w:spacing w:after="40" w:line="252" w:lineRule="auto"/>
            </w:pPr>
            <w:r>
              <w:rPr>
                <w:sz w:val="19"/>
              </w:rPr>
              <w:t>85%</w:t>
            </w:r>
          </w:p>
        </w:tc>
        <w:tc>
          <w:tcPr>
            <w:tcW w:type="dxa" w:w="2304"/>
            <w:tcMar>
              <w:top w:w="75" w:type="dxa"/>
              <w:bottom w:w="75" w:type="dxa"/>
              <w:left w:w="95" w:type="dxa"/>
              <w:right w:w="95" w:type="dxa"/>
            </w:tcMar>
            <w:vAlign w:val="center"/>
            <w:shd w:fill="FFFFFF"/>
          </w:tcPr>
          <w:p>
            <w:pPr>
              <w:spacing w:after="40" w:line="252" w:lineRule="auto"/>
            </w:pPr>
            <w:r>
              <w:rPr>
                <w:sz w:val="19"/>
              </w:rPr>
              <w:t>95%</w:t>
            </w:r>
          </w:p>
        </w:tc>
      </w:tr>
      <w:tr>
        <w:trPr>
          <w:cantSplit/>
        </w:trPr>
        <w:tc>
          <w:tcPr>
            <w:tcW w:type="dxa" w:w="5400"/>
            <w:tcMar>
              <w:top w:w="75" w:type="dxa"/>
              <w:bottom w:w="75" w:type="dxa"/>
              <w:left w:w="95" w:type="dxa"/>
              <w:right w:w="95" w:type="dxa"/>
            </w:tcMar>
            <w:vAlign w:val="center"/>
            <w:shd w:fill="F2F5F7"/>
          </w:tcPr>
          <w:p>
            <w:pPr>
              <w:spacing w:after="40" w:line="252" w:lineRule="auto"/>
            </w:pPr>
            <w:r>
              <w:rPr>
                <w:sz w:val="19"/>
              </w:rPr>
              <w:t>Memory</w:t>
            </w:r>
          </w:p>
        </w:tc>
        <w:tc>
          <w:tcPr>
            <w:tcW w:type="dxa" w:w="2304"/>
            <w:tcMar>
              <w:top w:w="75" w:type="dxa"/>
              <w:bottom w:w="75" w:type="dxa"/>
              <w:left w:w="95" w:type="dxa"/>
              <w:right w:w="95" w:type="dxa"/>
            </w:tcMar>
            <w:vAlign w:val="center"/>
            <w:shd w:fill="F2F5F7"/>
          </w:tcPr>
          <w:p>
            <w:pPr>
              <w:spacing w:after="40" w:line="252" w:lineRule="auto"/>
            </w:pPr>
            <w:r>
              <w:rPr>
                <w:sz w:val="19"/>
              </w:rPr>
              <w:t>85%</w:t>
            </w:r>
          </w:p>
        </w:tc>
        <w:tc>
          <w:tcPr>
            <w:tcW w:type="dxa" w:w="2304"/>
            <w:tcMar>
              <w:top w:w="75" w:type="dxa"/>
              <w:bottom w:w="75" w:type="dxa"/>
              <w:left w:w="95" w:type="dxa"/>
              <w:right w:w="95" w:type="dxa"/>
            </w:tcMar>
            <w:vAlign w:val="center"/>
            <w:shd w:fill="F2F5F7"/>
          </w:tcPr>
          <w:p>
            <w:pPr>
              <w:spacing w:after="40" w:line="252" w:lineRule="auto"/>
            </w:pPr>
            <w:r>
              <w:rPr>
                <w:sz w:val="19"/>
              </w:rPr>
              <w:t>95%</w:t>
            </w:r>
          </w:p>
        </w:tc>
      </w:tr>
      <w:tr>
        <w:trPr>
          <w:cantSplit/>
        </w:trPr>
        <w:tc>
          <w:tcPr>
            <w:tcW w:type="dxa" w:w="5400"/>
            <w:tcMar>
              <w:top w:w="75" w:type="dxa"/>
              <w:bottom w:w="75" w:type="dxa"/>
              <w:left w:w="95" w:type="dxa"/>
              <w:right w:w="95" w:type="dxa"/>
            </w:tcMar>
            <w:vAlign w:val="center"/>
            <w:shd w:fill="FFFFFF"/>
          </w:tcPr>
          <w:p>
            <w:pPr>
              <w:spacing w:after="40" w:line="252" w:lineRule="auto"/>
            </w:pPr>
            <w:r>
              <w:rPr>
                <w:sz w:val="19"/>
              </w:rPr>
              <w:t>Disk</w:t>
            </w:r>
          </w:p>
        </w:tc>
        <w:tc>
          <w:tcPr>
            <w:tcW w:type="dxa" w:w="2304"/>
            <w:tcMar>
              <w:top w:w="75" w:type="dxa"/>
              <w:bottom w:w="75" w:type="dxa"/>
              <w:left w:w="95" w:type="dxa"/>
              <w:right w:w="95" w:type="dxa"/>
            </w:tcMar>
            <w:vAlign w:val="center"/>
            <w:shd w:fill="FFFFFF"/>
          </w:tcPr>
          <w:p>
            <w:pPr>
              <w:spacing w:after="40" w:line="252" w:lineRule="auto"/>
            </w:pPr>
            <w:r>
              <w:rPr>
                <w:sz w:val="19"/>
              </w:rPr>
              <w:t>85%</w:t>
            </w:r>
          </w:p>
        </w:tc>
        <w:tc>
          <w:tcPr>
            <w:tcW w:type="dxa" w:w="2304"/>
            <w:tcMar>
              <w:top w:w="75" w:type="dxa"/>
              <w:bottom w:w="75" w:type="dxa"/>
              <w:left w:w="95" w:type="dxa"/>
              <w:right w:w="95" w:type="dxa"/>
            </w:tcMar>
            <w:vAlign w:val="center"/>
            <w:shd w:fill="FFFFFF"/>
          </w:tcPr>
          <w:p>
            <w:pPr>
              <w:spacing w:after="40" w:line="252" w:lineRule="auto"/>
            </w:pPr>
            <w:r>
              <w:rPr>
                <w:sz w:val="19"/>
              </w:rPr>
              <w:t>95%</w:t>
            </w:r>
          </w:p>
        </w:tc>
      </w:tr>
      <w:tr>
        <w:trPr>
          <w:cantSplit/>
        </w:trPr>
        <w:tc>
          <w:tcPr>
            <w:tcW w:type="dxa" w:w="5400"/>
            <w:tcMar>
              <w:top w:w="75" w:type="dxa"/>
              <w:bottom w:w="75" w:type="dxa"/>
              <w:left w:w="95" w:type="dxa"/>
              <w:right w:w="95" w:type="dxa"/>
            </w:tcMar>
            <w:vAlign w:val="center"/>
            <w:shd w:fill="F2F5F7"/>
          </w:tcPr>
          <w:p>
            <w:pPr>
              <w:spacing w:after="40" w:line="252" w:lineRule="auto"/>
            </w:pPr>
            <w:r>
              <w:rPr>
                <w:sz w:val="19"/>
              </w:rPr>
              <w:t>GPU utilization</w:t>
            </w:r>
          </w:p>
        </w:tc>
        <w:tc>
          <w:tcPr>
            <w:tcW w:type="dxa" w:w="2304"/>
            <w:tcMar>
              <w:top w:w="75" w:type="dxa"/>
              <w:bottom w:w="75" w:type="dxa"/>
              <w:left w:w="95" w:type="dxa"/>
              <w:right w:w="95" w:type="dxa"/>
            </w:tcMar>
            <w:vAlign w:val="center"/>
            <w:shd w:fill="F2F5F7"/>
          </w:tcPr>
          <w:p>
            <w:pPr>
              <w:spacing w:after="40" w:line="252" w:lineRule="auto"/>
            </w:pPr>
            <w:r>
              <w:rPr>
                <w:sz w:val="19"/>
              </w:rPr>
              <w:t>95%</w:t>
            </w:r>
          </w:p>
        </w:tc>
        <w:tc>
          <w:tcPr>
            <w:tcW w:type="dxa" w:w="2304"/>
            <w:tcMar>
              <w:top w:w="75" w:type="dxa"/>
              <w:bottom w:w="75" w:type="dxa"/>
              <w:left w:w="95" w:type="dxa"/>
              <w:right w:w="95" w:type="dxa"/>
            </w:tcMar>
            <w:vAlign w:val="center"/>
            <w:shd w:fill="F2F5F7"/>
          </w:tcPr>
          <w:p>
            <w:pPr>
              <w:spacing w:after="40" w:line="252" w:lineRule="auto"/>
            </w:pPr>
            <w:r>
              <w:rPr>
                <w:sz w:val="19"/>
              </w:rPr>
              <w:t>99%</w:t>
            </w:r>
          </w:p>
        </w:tc>
      </w:tr>
      <w:tr>
        <w:trPr>
          <w:cantSplit/>
        </w:trPr>
        <w:tc>
          <w:tcPr>
            <w:tcW w:type="dxa" w:w="5400"/>
            <w:tcMar>
              <w:top w:w="75" w:type="dxa"/>
              <w:bottom w:w="75" w:type="dxa"/>
              <w:left w:w="95" w:type="dxa"/>
              <w:right w:w="95" w:type="dxa"/>
            </w:tcMar>
            <w:vAlign w:val="center"/>
            <w:shd w:fill="FFFFFF"/>
          </w:tcPr>
          <w:p>
            <w:pPr>
              <w:spacing w:after="40" w:line="252" w:lineRule="auto"/>
            </w:pPr>
            <w:r>
              <w:rPr>
                <w:sz w:val="19"/>
              </w:rPr>
              <w:t>GPU memory</w:t>
            </w:r>
          </w:p>
        </w:tc>
        <w:tc>
          <w:tcPr>
            <w:tcW w:type="dxa" w:w="2304"/>
            <w:tcMar>
              <w:top w:w="75" w:type="dxa"/>
              <w:bottom w:w="75" w:type="dxa"/>
              <w:left w:w="95" w:type="dxa"/>
              <w:right w:w="95" w:type="dxa"/>
            </w:tcMar>
            <w:vAlign w:val="center"/>
            <w:shd w:fill="FFFFFF"/>
          </w:tcPr>
          <w:p>
            <w:pPr>
              <w:spacing w:after="40" w:line="252" w:lineRule="auto"/>
            </w:pPr>
            <w:r>
              <w:rPr>
                <w:sz w:val="19"/>
              </w:rPr>
              <w:t>90%</w:t>
            </w:r>
          </w:p>
        </w:tc>
        <w:tc>
          <w:tcPr>
            <w:tcW w:type="dxa" w:w="2304"/>
            <w:tcMar>
              <w:top w:w="75" w:type="dxa"/>
              <w:bottom w:w="75" w:type="dxa"/>
              <w:left w:w="95" w:type="dxa"/>
              <w:right w:w="95" w:type="dxa"/>
            </w:tcMar>
            <w:vAlign w:val="center"/>
            <w:shd w:fill="FFFFFF"/>
          </w:tcPr>
          <w:p>
            <w:pPr>
              <w:spacing w:after="40" w:line="252" w:lineRule="auto"/>
            </w:pPr>
            <w:r>
              <w:rPr>
                <w:sz w:val="19"/>
              </w:rPr>
              <w:t>98%</w:t>
            </w:r>
          </w:p>
        </w:tc>
      </w:tr>
      <w:tr>
        <w:trPr>
          <w:cantSplit/>
        </w:trPr>
        <w:tc>
          <w:tcPr>
            <w:tcW w:type="dxa" w:w="5400"/>
            <w:tcMar>
              <w:top w:w="75" w:type="dxa"/>
              <w:bottom w:w="75" w:type="dxa"/>
              <w:left w:w="95" w:type="dxa"/>
              <w:right w:w="95" w:type="dxa"/>
            </w:tcMar>
            <w:vAlign w:val="center"/>
            <w:shd w:fill="F2F5F7"/>
          </w:tcPr>
          <w:p>
            <w:pPr>
              <w:spacing w:after="40" w:line="252" w:lineRule="auto"/>
            </w:pPr>
            <w:r>
              <w:rPr>
                <w:sz w:val="19"/>
              </w:rPr>
              <w:t>GPU temperature</w:t>
            </w:r>
          </w:p>
        </w:tc>
        <w:tc>
          <w:tcPr>
            <w:tcW w:type="dxa" w:w="2304"/>
            <w:tcMar>
              <w:top w:w="75" w:type="dxa"/>
              <w:bottom w:w="75" w:type="dxa"/>
              <w:left w:w="95" w:type="dxa"/>
              <w:right w:w="95" w:type="dxa"/>
            </w:tcMar>
            <w:vAlign w:val="center"/>
            <w:shd w:fill="F2F5F7"/>
          </w:tcPr>
          <w:p>
            <w:pPr>
              <w:spacing w:after="40" w:line="252" w:lineRule="auto"/>
            </w:pPr>
            <w:r>
              <w:rPr>
                <w:sz w:val="19"/>
              </w:rPr>
              <w:t>80 C</w:t>
            </w:r>
          </w:p>
        </w:tc>
        <w:tc>
          <w:tcPr>
            <w:tcW w:type="dxa" w:w="2304"/>
            <w:tcMar>
              <w:top w:w="75" w:type="dxa"/>
              <w:bottom w:w="75" w:type="dxa"/>
              <w:left w:w="95" w:type="dxa"/>
              <w:right w:w="95" w:type="dxa"/>
            </w:tcMar>
            <w:vAlign w:val="center"/>
            <w:shd w:fill="F2F5F7"/>
          </w:tcPr>
          <w:p>
            <w:pPr>
              <w:spacing w:after="40" w:line="252" w:lineRule="auto"/>
            </w:pPr>
            <w:r>
              <w:rPr>
                <w:sz w:val="19"/>
              </w:rPr>
              <w:t>90 C</w:t>
            </w:r>
          </w:p>
        </w:tc>
      </w:tr>
    </w:tbl>
    <w:p>
      <w:pPr>
        <w:pageBreakBefore w:val="0"/>
        <w:spacing w:after="40"/>
      </w:pPr>
    </w:p>
    <w:p>
      <w:pPr>
        <w:pageBreakBefore w:val="0"/>
      </w:pPr>
      <w:r>
        <w:t>Defaults require three collected samples before a resource alert, then two healthy samples and a five-point margin for recovery. With memory warning at 85%, recovery requires below 80%. Default collection is 30 seconds; GPU readings refresh once per minute. Adjust thresholds for normal workload; sustained high GPU utilization can be expected during inference.</w:t>
      </w:r>
    </w:p>
    <w:p>
      <w:pPr>
        <w:pStyle w:val="Heading2"/>
        <w:pageBreakBefore w:val="0"/>
      </w:pPr>
      <w:r>
        <w:rPr>
          <w:color w:val="000000"/>
        </w:rPr>
        <w:t>Daily checks</w:t>
      </w:r>
    </w:p>
    <w:p>
      <w:pPr>
        <w:pageBreakBefore w:val="0"/>
      </w:pPr>
      <w:r>
        <w:t>Check that registered servers are online, an alert sender is selected, email is enabled, and no notifications are uncertain or repeatedly retrying. Review disk space and GPU sensor errors. One standalone monitor can alert on resources, but cannot email after its own complete failure. Two monitors pause email with one offline.</w:t>
      </w:r>
    </w:p>
    <w:p>
      <w:pPr>
        <w:pStyle w:val="Heading2"/>
        <w:pageBreakBefore w:val="0"/>
      </w:pPr>
      <w:r>
        <w:rPr>
          <w:color w:val="000000"/>
        </w:rPr>
        <w:t>Account and support</w:t>
      </w:r>
    </w:p>
    <w:p>
      <w:pPr>
        <w:pageBreakBefore w:val="0"/>
      </w:pPr>
      <w:r>
        <w:t>Account changes the local password and signs out all sessions; the login ID stays the same. There is no minimum length, including an empty password; the maximum is 256 characters. Short passwords also work during installation and sudo aivid-monitor reset-password. Use Appearance to edit the shared logos and names.</w:t>
      </w:r>
    </w:p>
    <w:p>
      <w:pPr>
        <w:pageBreakBefore w:val="0"/>
      </w:pPr>
      <w:r>
        <w:t>Setup saves GPU-required behavior and a 10–300 second collection interval without restarting. Disk paths need no configuration; local disks are detected automatically and monitor data is stored under /opt/aivid-healthmonitor/data. Edit names, addresses and optional priorities on the sender. All members must be online; interrupted changes resume from saved state.</w:t>
      </w:r>
    </w:p>
    <w:p>
      <w:pPr>
        <w:pageBreakBefore w:val="0"/>
      </w:pPr>
      <w:r>
        <w:t>This build allows 1–32 members and supports adding or editing them. Planned server removal and certificate rotation require an administrator-managed migration. Use a maintenance window for failure tests. Dashboard operations do not modify workloads, GPU drivers, firewall rules or NAT.</w:t>
      </w:r>
    </w:p>
    <w:p>
      <w:pPr>
        <w:pageBreakBefore w:val="0"/>
      </w:pPr>
      <w:r/>
    </w:p>
    <w:p>
      <w:pPr>
        <w:pStyle w:val="Heading1"/>
        <w:pageBreakBefore w:val="0"/>
      </w:pPr>
      <w:r>
        <w:rPr>
          <w:color w:val="000000"/>
        </w:rPr>
        <w:t>Branding and email design</w:t>
      </w:r>
    </w:p>
    <w:p>
      <w:pPr>
        <w:pageBreakBefore w:val="0"/>
      </w:pPr>
      <w:r>
        <w:t>Open the current alert sender dashboard to save these shared settings. The sender is shown by its server name in Overview and Server setup. A standby dashboard can preview changes; saving requires the elected sender and a communicating majority.</w:t>
      </w:r>
    </w:p>
    <w:p>
      <w:pPr>
        <w:pStyle w:val="Heading2"/>
        <w:pageBreakBefore w:val="0"/>
      </w:pPr>
      <w:r>
        <w:rPr>
          <w:color w:val="000000"/>
        </w:rPr>
        <w:t>Set the two dashboard logos</w:t>
      </w:r>
    </w:p>
    <w:p>
      <w:pPr>
        <w:pageBreakBefore w:val="0"/>
      </w:pPr>
      <w:r>
        <w:t>In Appearance, the AIVID identity is on the left and the customer identity is on the right. Edit either display name and choose a PNG, JPEG or WebP logo up to 5 MB. Images are resized in your browser to at most 800 × 300 pixels and 256 KB. Select Save appearance. Both brands appear on the login page, dashboard and email.</w:t>
      </w:r>
    </w:p>
    <w:p>
      <w:pPr>
        <w:pageBreakBefore w:val="0"/>
      </w:pPr>
      <w:r>
        <w:t>Restore AIVID logo returns to the supplied original SVG. Remove customer logo displays the customer name instead. Save after either action. The original AIVID logo uses a PNG copy inside emails for mail-client compatibility. Changes replicate so a failover sender uses the same branding. An old local logo up to 256 KB is retained; upload larger legacy logos again in Appearance.</w:t>
      </w:r>
    </w:p>
    <w:p>
      <w:pPr>
        <w:pStyle w:val="Heading2"/>
        <w:pageBreakBefore w:val="0"/>
      </w:pPr>
      <w:r>
        <w:rPr>
          <w:color w:val="000000"/>
        </w:rPr>
        <w:t>Customize subjects and messages</w:t>
      </w:r>
    </w:p>
    <w:p>
      <w:pPr>
        <w:pageBreakBefore w:val="0"/>
      </w:pPr>
      <w:r>
        <w:t>In Email design, edit separate subjects for server offline, recovery, resource alerts and test emails. Edit the heading, message body, footer and accent color. Text is placed into the HTML layout automatically; raw HTML is displayed as text. Offline is red and recovery is green. Each message also includes a plain-text version and embedded logos.</w:t>
      </w:r>
    </w:p>
    <w:p>
      <w:pPr>
        <w:pageBreakBefore w:val="0"/>
      </w:pPr>
      <w:r>
        <w:t>Use placeholders such as {server_name}, {sender_name}, {status}, {severity}, {metric}, {details}, {observed_at}, {customer_name}, {vendor_name}, {action}, {title} and {dashboard_url}. The editor lists all supported placeholders. Subjects must be one line, at most 200 characters; the body supports 4,000 and footer 500 characters.</w:t>
      </w:r>
    </w:p>
    <w:p>
      <w:pPr>
        <w:pStyle w:val="Heading2"/>
        <w:pageBreakBefore w:val="0"/>
      </w:pPr>
      <w:r>
        <w:rPr>
          <w:color w:val="000000"/>
        </w:rPr>
        <w:t>Preview and verify an email</w:t>
      </w:r>
    </w:p>
    <w:p>
      <w:pPr>
        <w:pageBreakBefore w:val="0"/>
      </w:pPr>
      <w:r>
        <w:t>Choose Server offline, Critical resource, Recovery or Email test, then select Update preview. The preview uses the local server name and does not send mail. Select Save email design to apply your changes. Restore defaults only changes the editor until you save. Use Email and thresholds → Send test email to verify the saved design through your SMTP relay.</w:t>
      </w:r>
    </w:p>
    <w:p>
      <w:pPr>
        <w:pageBreakBefore w:val="0"/>
      </w:pPr>
      <w:r>
        <w:t>Alert priority remains in Server setup. Leave it blank for registration order or assign unique numbers, lowest first. With three servers, when server 1 goes offline, server 2 sends and server 3 stays on standby. A confirmed outage requires two independent observers. Loss of the majority pauses sending to prevent competing senders. Email timestamps use UTC; dashboard timestamps use the browser timezone.</w:t>
      </w:r>
    </w:p>
    <w:sectPr w:rsidR="00FC693F" w:rsidRPr="0006063C" w:rsidSect="00034616">
      <w:footerReference w:type="default" r:id="rId9"/>
      <w:pgSz w:w="12240" w:h="15840"/>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E78"/>
        <w:sz w:val="16"/>
      </w:rPr>
      <w:t xml:space="preserve">AIVID Health Monitor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00000"/>
      <w:sz w:val="34"/>
      <w:szCs w:val="28"/>
      <w:u w:val="none"/>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40"/>
      <w:contextualSpacing/>
    </w:pPr>
    <w:rPr>
      <w:rFonts w:asciiTheme="majorHAnsi" w:eastAsiaTheme="majorEastAsia" w:hAnsiTheme="majorHAnsi" w:cstheme="majorBidi" w:ascii="Calibri" w:hAnsi="Calibri"/>
      <w:color w:val="000000"/>
      <w:spacing w:val="5"/>
      <w:kern w:val="28"/>
      <w:sz w:val="52"/>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AIVID Health Monitor User Manual</dc:title>
  <dc:subject/>
  <dc:creator>AIVID</dc:creator>
  <cp:keywords/>
  <dc:description>Release 1.1.0-20261009.incidents1</dc:description>
  <cp:lastModifiedBy/>
  <cp:revision>1</cp:revision>
  <dcterms:created xsi:type="dcterms:W3CDTF">2013-12-23T23:15:00Z</dcterms:created>
  <dcterms:modified xsi:type="dcterms:W3CDTF">2013-12-23T23:15:00Z</dcterms:modified>
  <cp:category/>
</cp:coreProperties>
</file>