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Intelligent Enterprise Operations Platform</w:t>
      </w:r>
    </w:p>
    <w:p>
      <w:pPr>
        <w:jc w:val="center"/>
      </w:pPr>
      <w:r>
        <w:rPr>
          <w:color w:val="2E75B6"/>
          <w:sz w:val="28"/>
          <w:szCs w:val="28"/>
        </w:rPr>
        <w:t xml:space="preserve">Product Blueprint: User Stories, Research Gaps, DB Schema,</w:t>
      </w:r>
    </w:p>
    <w:p>
      <w:pPr>
        <w:jc w:val="center"/>
      </w:pPr>
      <w:r>
        <w:rPr>
          <w:color w:val="2E75B6"/>
          <w:sz w:val="28"/>
          <w:szCs w:val="28"/>
        </w:rPr>
        <w:t xml:space="preserve">External Services, Project Structure, AI Integration &amp; Product Services</w:t>
      </w:r>
    </w:p>
    <w:p>
      <w:r>
        <w:t xml:space="preserve"/>
      </w:r>
    </w:p>
    <w:p>
      <w:pPr>
        <w:jc w:val="center"/>
      </w:pPr>
      <w:r>
        <w:rPr>
          <w:color w:val="888888"/>
          <w:sz w:val="22"/>
          <w:szCs w:val="22"/>
        </w:rPr>
        <w:t xml:space="preserve">Jaipur Ecosystem  |  DPDP Compliant  |  GCP + Qdrant + Hybrid RAG  | 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User Stories</w:t>
      </w:r>
    </w:p>
    <w:p>
      <w:r>
        <w:rPr>
          <w:sz w:val="24"/>
          <w:szCs w:val="24"/>
        </w:rPr>
        <w:t xml:space="preserve">Stories are derived from the four IEOP personas: Strategic Executive, Operations Manager, Frontline Employee, and Systems Administrator. Each story follows the format: As a [persona], I want [capability], so that [outcome].</w:t>
      </w:r>
    </w:p>
    <w:p>
      <w:r>
        <w:t xml:space="preserve"/>
      </w:r>
    </w:p>
    <w:p>
      <w:pPr>
        <w:pStyle w:val="Heading2"/>
      </w:pPr>
      <w:r>
        <w:t xml:space="preserve">1.1 Strategic Executive</w:t>
      </w:r>
    </w:p>
    <w:p>
      <w:pPr>
        <w:spacing w:before="160" w:after="40"/>
      </w:pPr>
      <w:r>
        <w:rPr>
          <w:b/>
          <w:bCs/>
          <w:color w:val="185FA5"/>
          <w:sz w:val="24"/>
          <w:szCs w:val="24"/>
        </w:rPr>
        <w:t xml:space="preserve">[US-001] </w:t>
      </w:r>
      <w:r>
        <w:rPr>
          <w:b/>
          <w:bCs/>
          <w:sz w:val="24"/>
          <w:szCs w:val="24"/>
        </w:rPr>
        <w:t xml:space="preserve">Natural Language Operational Dashboard</w:t>
      </w:r>
      <w:r>
        <w:rPr>
          <w:color w:val="888888"/>
          <w:sz w:val="22"/>
          <w:szCs w:val="22"/>
        </w:rPr>
        <w:t xml:space="preserve">  [HIGH]</w:t>
      </w:r>
    </w:p>
    <w:p>
      <w:r>
        <w:rPr>
          <w:sz w:val="23"/>
          <w:szCs w:val="23"/>
        </w:rPr>
        <w:t xml:space="preserve">As a Strategic Executive, I want to query complex multi-variable organisational data in plain language, so that I can generate predictive forecasts without needing technical skills.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 </w:t>
      </w:r>
      <w:r>
        <w:rPr>
          <w:color w:val="444444"/>
          <w:sz w:val="22"/>
          <w:szCs w:val="22"/>
        </w:rPr>
        <w:t xml:space="preserve">System returns synthesised summary with citations within 3s · Supports follow-up context across turns · Exports to PDF</w:t>
      </w:r>
    </w:p>
    <w:p>
      <w:pPr>
        <w:spacing w:before="160" w:after="40"/>
      </w:pPr>
      <w:r>
        <w:rPr>
          <w:b/>
          <w:bCs/>
          <w:color w:val="185FA5"/>
          <w:sz w:val="24"/>
          <w:szCs w:val="24"/>
        </w:rPr>
        <w:t xml:space="preserve">[US-002] </w:t>
      </w:r>
      <w:r>
        <w:rPr>
          <w:b/>
          <w:bCs/>
          <w:sz w:val="24"/>
          <w:szCs w:val="24"/>
        </w:rPr>
        <w:t xml:space="preserve">Identify Operational Bottlenecks</w:t>
      </w:r>
      <w:r>
        <w:rPr>
          <w:color w:val="888888"/>
          <w:sz w:val="22"/>
          <w:szCs w:val="22"/>
        </w:rPr>
        <w:t xml:space="preserve">  [HIGH]</w:t>
      </w:r>
    </w:p>
    <w:p>
      <w:r>
        <w:rPr>
          <w:sz w:val="23"/>
          <w:szCs w:val="23"/>
        </w:rPr>
        <w:t xml:space="preserve">As a Strategic Executive, I want to have the AI surface anomalies across departmental metrics automatically, so that I can make informed strategic decisions proactively.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 </w:t>
      </w:r>
      <w:r>
        <w:rPr>
          <w:color w:val="444444"/>
          <w:sz w:val="22"/>
          <w:szCs w:val="22"/>
        </w:rPr>
        <w:t xml:space="preserve">Anomaly alerts appear on dashboard · Each alert links to source data · Severity scoring visible</w:t>
      </w:r>
    </w:p>
    <w:p>
      <w:pPr>
        <w:pStyle w:val="Heading2"/>
      </w:pPr>
      <w:r>
        <w:t xml:space="preserve">1.2 Operations Manager</w:t>
      </w:r>
    </w:p>
    <w:p>
      <w:pPr>
        <w:spacing w:before="160" w:after="40"/>
      </w:pPr>
      <w:r>
        <w:rPr>
          <w:b/>
          <w:bCs/>
          <w:color w:val="185FA5"/>
          <w:sz w:val="24"/>
          <w:szCs w:val="24"/>
        </w:rPr>
        <w:t xml:space="preserve">[US-003] </w:t>
      </w:r>
      <w:r>
        <w:rPr>
          <w:b/>
          <w:bCs/>
          <w:sz w:val="24"/>
          <w:szCs w:val="24"/>
        </w:rPr>
        <w:t xml:space="preserve">Hybrid Data Grid with AI Copilot</w:t>
      </w:r>
      <w:r>
        <w:rPr>
          <w:color w:val="888888"/>
          <w:sz w:val="22"/>
          <w:szCs w:val="22"/>
        </w:rPr>
        <w:t xml:space="preserve">  [MEDIUM]</w:t>
      </w:r>
    </w:p>
    <w:p>
      <w:r>
        <w:rPr>
          <w:sz w:val="23"/>
          <w:szCs w:val="23"/>
        </w:rPr>
        <w:t xml:space="preserve">As a Operations Manager, I want to use a hybrid interface blending traditional data grids with generative AI assistance, so that I can analyse departmental metrics and route tasks efficiently.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 </w:t>
      </w:r>
      <w:r>
        <w:rPr>
          <w:color w:val="444444"/>
          <w:sz w:val="22"/>
          <w:szCs w:val="22"/>
        </w:rPr>
        <w:t xml:space="preserve">Grid and chat panels co-exist · AI highlights anomalies inline · Workflow can be triggered from grid row</w:t>
      </w:r>
    </w:p>
    <w:p>
      <w:pPr>
        <w:spacing w:before="160" w:after="40"/>
      </w:pPr>
      <w:r>
        <w:rPr>
          <w:b/>
          <w:bCs/>
          <w:color w:val="185FA5"/>
          <w:sz w:val="24"/>
          <w:szCs w:val="24"/>
        </w:rPr>
        <w:t xml:space="preserve">[US-004] </w:t>
      </w:r>
      <w:r>
        <w:rPr>
          <w:b/>
          <w:bCs/>
          <w:sz w:val="24"/>
          <w:szCs w:val="24"/>
        </w:rPr>
        <w:t xml:space="preserve">Automated Workflow Orchestration</w:t>
      </w:r>
      <w:r>
        <w:rPr>
          <w:color w:val="888888"/>
          <w:sz w:val="22"/>
          <w:szCs w:val="22"/>
        </w:rPr>
        <w:t xml:space="preserve">  [HIGH]</w:t>
      </w:r>
    </w:p>
    <w:p>
      <w:r>
        <w:rPr>
          <w:sz w:val="23"/>
          <w:szCs w:val="23"/>
        </w:rPr>
        <w:t xml:space="preserve">As a Operations Manager, I want to trigger multi-step automated workflows via a single command, so that repetitive digital tasks are handled without manual intervention.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 </w:t>
      </w:r>
      <w:r>
        <w:rPr>
          <w:color w:val="444444"/>
          <w:sz w:val="22"/>
          <w:szCs w:val="22"/>
        </w:rPr>
        <w:t xml:space="preserve">Workflow stages visible in real time · HITL gate pauses high-stakes actions · Rollback available within 24h</w:t>
      </w:r>
    </w:p>
    <w:p>
      <w:pPr>
        <w:pStyle w:val="Heading2"/>
      </w:pPr>
      <w:r>
        <w:t xml:space="preserve">1.3 Frontline Employee</w:t>
      </w:r>
    </w:p>
    <w:p>
      <w:pPr>
        <w:spacing w:before="160" w:after="40"/>
      </w:pPr>
      <w:r>
        <w:rPr>
          <w:b/>
          <w:bCs/>
          <w:color w:val="185FA5"/>
          <w:sz w:val="24"/>
          <w:szCs w:val="24"/>
        </w:rPr>
        <w:t xml:space="preserve">[US-005] </w:t>
      </w:r>
      <w:r>
        <w:rPr>
          <w:b/>
          <w:bCs/>
          <w:sz w:val="24"/>
          <w:szCs w:val="24"/>
        </w:rPr>
        <w:t xml:space="preserve">Mobile Knowledge Retrieval</w:t>
      </w:r>
      <w:r>
        <w:rPr>
          <w:color w:val="888888"/>
          <w:sz w:val="22"/>
          <w:szCs w:val="22"/>
        </w:rPr>
        <w:t xml:space="preserve">  [MEDIUM]</w:t>
      </w:r>
    </w:p>
    <w:p>
      <w:r>
        <w:rPr>
          <w:sz w:val="23"/>
          <w:szCs w:val="23"/>
        </w:rPr>
        <w:t xml:space="preserve">As a Frontline Employee, I want to query SOPs and compliance manuals from my phone in plain language, so that I can resolve issues on the floor without escalating.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 </w:t>
      </w:r>
      <w:r>
        <w:rPr>
          <w:color w:val="444444"/>
          <w:sz w:val="22"/>
          <w:szCs w:val="22"/>
        </w:rPr>
        <w:t xml:space="preserve">P95 response under 100ms · Answer includes source document link · Works offline for cached docs</w:t>
      </w:r>
    </w:p>
    <w:p>
      <w:pPr>
        <w:spacing w:before="160" w:after="40"/>
      </w:pPr>
      <w:r>
        <w:rPr>
          <w:b/>
          <w:bCs/>
          <w:color w:val="185FA5"/>
          <w:sz w:val="24"/>
          <w:szCs w:val="24"/>
        </w:rPr>
        <w:t xml:space="preserve">[US-006] </w:t>
      </w:r>
      <w:r>
        <w:rPr>
          <w:b/>
          <w:bCs/>
          <w:sz w:val="24"/>
          <w:szCs w:val="24"/>
        </w:rPr>
        <w:t xml:space="preserve">Guided Data Entry Assistance</w:t>
      </w:r>
      <w:r>
        <w:rPr>
          <w:color w:val="888888"/>
          <w:sz w:val="22"/>
          <w:szCs w:val="22"/>
        </w:rPr>
        <w:t xml:space="preserve">  [MEDIUM]</w:t>
      </w:r>
    </w:p>
    <w:p>
      <w:r>
        <w:rPr>
          <w:sz w:val="23"/>
          <w:szCs w:val="23"/>
        </w:rPr>
        <w:t xml:space="preserve">As a Frontline Employee, I want to have the AI pre-fill form fields based on context, so that data entry errors are reduced and onboarding time is shortened.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 </w:t>
      </w:r>
      <w:r>
        <w:rPr>
          <w:color w:val="444444"/>
          <w:sz w:val="22"/>
          <w:szCs w:val="22"/>
        </w:rPr>
        <w:t xml:space="preserve">AI suggestions shown inline · User can accept / modify / reject · All entries auditable</w:t>
      </w:r>
    </w:p>
    <w:p>
      <w:pPr>
        <w:pStyle w:val="Heading2"/>
      </w:pPr>
      <w:r>
        <w:t xml:space="preserve">1.4 Systems Administrator</w:t>
      </w:r>
    </w:p>
    <w:p>
      <w:pPr>
        <w:spacing w:before="160" w:after="40"/>
      </w:pPr>
      <w:r>
        <w:rPr>
          <w:b/>
          <w:bCs/>
          <w:color w:val="185FA5"/>
          <w:sz w:val="24"/>
          <w:szCs w:val="24"/>
        </w:rPr>
        <w:t xml:space="preserve">[US-007] </w:t>
      </w:r>
      <w:r>
        <w:rPr>
          <w:b/>
          <w:bCs/>
          <w:sz w:val="24"/>
          <w:szCs w:val="24"/>
        </w:rPr>
        <w:t xml:space="preserve">RBAC and Audit Trail Management</w:t>
      </w:r>
      <w:r>
        <w:rPr>
          <w:color w:val="888888"/>
          <w:sz w:val="22"/>
          <w:szCs w:val="22"/>
        </w:rPr>
        <w:t xml:space="preserve">  [CRITICAL]</w:t>
      </w:r>
    </w:p>
    <w:p>
      <w:r>
        <w:rPr>
          <w:sz w:val="23"/>
          <w:szCs w:val="23"/>
        </w:rPr>
        <w:t xml:space="preserve">As a Systems Administrator, I want to manage role-based access controls and view full audit trails, so that the platform remains compliant with the DPDP Act 2023.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 </w:t>
      </w:r>
      <w:r>
        <w:rPr>
          <w:color w:val="444444"/>
          <w:sz w:val="22"/>
          <w:szCs w:val="22"/>
        </w:rPr>
        <w:t xml:space="preserve">Role changes logged with timestamp · DSAR erasure propagates to vector DB · Data breach notification within 72h</w:t>
      </w:r>
    </w:p>
    <w:p>
      <w:pPr>
        <w:spacing w:before="160" w:after="40"/>
      </w:pPr>
      <w:r>
        <w:rPr>
          <w:b/>
          <w:bCs/>
          <w:color w:val="185FA5"/>
          <w:sz w:val="24"/>
          <w:szCs w:val="24"/>
        </w:rPr>
        <w:t xml:space="preserve">[US-008] </w:t>
      </w:r>
      <w:r>
        <w:rPr>
          <w:b/>
          <w:bCs/>
          <w:sz w:val="24"/>
          <w:szCs w:val="24"/>
        </w:rPr>
        <w:t xml:space="preserve">LLM Token Consumption Monitoring</w:t>
      </w:r>
      <w:r>
        <w:rPr>
          <w:color w:val="888888"/>
          <w:sz w:val="22"/>
          <w:szCs w:val="22"/>
        </w:rPr>
        <w:t xml:space="preserve">  [HIGH]</w:t>
      </w:r>
    </w:p>
    <w:p>
      <w:r>
        <w:rPr>
          <w:sz w:val="23"/>
          <w:szCs w:val="23"/>
        </w:rPr>
        <w:t xml:space="preserve">As a Systems Administrator, I want to see granular dashboards showing API token usage by model and feature, so that budget overruns are caught before they occur.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 </w:t>
      </w:r>
      <w:r>
        <w:rPr>
          <w:color w:val="444444"/>
          <w:sz w:val="22"/>
          <w:szCs w:val="22"/>
        </w:rPr>
        <w:t xml:space="preserve">Daily / weekly / monthly charts · Cost alerts at configurable thresholds · Per-feature breakdown</w:t>
      </w:r>
    </w:p>
    <w:p>
      <w:r>
        <w:t xml:space="preserve"/>
      </w:r>
    </w:p>
    <w:p>
      <w:pPr>
        <w:pStyle w:val="Heading1"/>
      </w:pPr>
      <w:r>
        <w:t xml:space="preserve">2. Research Gaps</w:t>
      </w:r>
    </w:p>
    <w:p>
      <w:r>
        <w:rPr>
          <w:sz w:val="24"/>
          <w:szCs w:val="24"/>
        </w:rPr>
        <w:t xml:space="preserve">Before development can commence in earnest, the following open questions must be resolved. Each gap blocks a specific set of downstream architectural decisions. Gaps are ordered by urgency.</w:t>
      </w:r>
    </w:p>
    <w:p>
      <w:r>
        <w:t xml:space="preserve"/>
      </w:r>
    </w:p>
    <w:p>
      <w:pPr>
        <w:pStyle w:val="Heading2"/>
      </w:pPr>
      <w:r>
        <w:t xml:space="preserve">2.1 Core Product Vertical  [BLOCKER]</w:t>
      </w:r>
    </w:p>
    <w:p>
      <w:r>
        <w:rPr>
          <w:sz w:val="24"/>
          <w:szCs w:val="24"/>
        </w:rPr>
        <w:t xml:space="preserve">The foundational product concept document is currently inaccessible. The target industry (fintech, healthcare, logistics, legal, etc.) must be confirmed before domain-specific user flows, compliance requirements, and integration targets can be defined.</w:t>
      </w:r>
    </w:p>
    <w:p>
      <w:r>
        <w:rPr>
          <w:b/>
          <w:bCs/>
          <w:sz w:val="24"/>
          <w:szCs w:val="24"/>
        </w:rPr>
        <w:t xml:space="preserve">Blocked by this gap: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PRD finalisation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Competitor analysis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Domain-specific data model design</w:t>
      </w:r>
    </w:p>
    <w:p>
      <w:r>
        <w:rPr>
          <w:b/>
          <w:bCs/>
          <w:sz w:val="24"/>
          <w:szCs w:val="24"/>
        </w:rPr>
        <w:t xml:space="preserve">Resolution action: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Stakeholder interview to share product concept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Define the 1–2 primary use cases in a half-day workshop</w:t>
      </w:r>
    </w:p>
    <w:p>
      <w:r>
        <w:t xml:space="preserve"/>
      </w:r>
    </w:p>
    <w:p>
      <w:pPr>
        <w:pStyle w:val="Heading2"/>
      </w:pPr>
      <w:r>
        <w:t xml:space="preserve">2.2 Primary Data Ingestion Types  [BLOCKER]</w:t>
      </w:r>
    </w:p>
    <w:p>
      <w:r>
        <w:rPr>
          <w:sz w:val="24"/>
          <w:szCs w:val="24"/>
        </w:rPr>
        <w:t xml:space="preserve">The RAG pipeline architecture differs significantly depending on whether the platform primarily processes structured tabular data (CSV/SQL), unstructured documents (PDFs, audio transcripts), or multimodal inputs (images, video). This determines the embedding pipeline and chunking strategy.</w:t>
      </w:r>
    </w:p>
    <w:p>
      <w:r>
        <w:rPr>
          <w:b/>
          <w:bCs/>
          <w:sz w:val="24"/>
          <w:szCs w:val="24"/>
        </w:rPr>
        <w:t xml:space="preserve">Blocked by this gap: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RAG pipeline design and chunking strategy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Embedding model selection (text vs. multimodal)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Vector DB collection structure</w:t>
      </w:r>
    </w:p>
    <w:p>
      <w:r>
        <w:rPr>
          <w:b/>
          <w:bCs/>
          <w:sz w:val="24"/>
          <w:szCs w:val="24"/>
        </w:rPr>
        <w:t xml:space="preserve">Resolution action: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Data audit of existing organisational assets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Prototype ingestion for two representative data types</w:t>
      </w:r>
    </w:p>
    <w:p>
      <w:r>
        <w:t xml:space="preserve"/>
      </w:r>
    </w:p>
    <w:p>
      <w:pPr>
        <w:pStyle w:val="Heading2"/>
      </w:pPr>
      <w:r>
        <w:t xml:space="preserve">2.3 Monetisation Model  [HIGH PRIORITY]</w:t>
      </w:r>
    </w:p>
    <w:p>
      <w:r>
        <w:rPr>
          <w:sz w:val="24"/>
          <w:szCs w:val="24"/>
        </w:rPr>
        <w:t xml:space="preserve">Multi-tenant B2B SaaS vs. internal enterprise tool requires fundamentally different data isolation architecture, tenancy schemas, and billing infrastructure. This decision affects the database partitioning strategy from day one.</w:t>
      </w:r>
    </w:p>
    <w:p>
      <w:r>
        <w:rPr>
          <w:b/>
          <w:bCs/>
          <w:sz w:val="24"/>
          <w:szCs w:val="24"/>
        </w:rPr>
        <w:t xml:space="preserve">Blocked by this gap: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Multi-tenancy schema design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Billing service implementation</w:t>
      </w:r>
    </w:p>
    <w:p>
      <w:r>
        <w:rPr>
          <w:b/>
          <w:bCs/>
          <w:sz w:val="24"/>
          <w:szCs w:val="24"/>
        </w:rPr>
        <w:t xml:space="preserve">Resolution action: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Revenue model workshop with founders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Identify 3 pilot customers for validation</w:t>
      </w:r>
    </w:p>
    <w:p>
      <w:r>
        <w:t xml:space="preserve"/>
      </w:r>
    </w:p>
    <w:p>
      <w:pPr>
        <w:pStyle w:val="Heading2"/>
      </w:pPr>
      <w:r>
        <w:t xml:space="preserve">2.4 Legacy System Integrations  [HIGH PRIORITY]</w:t>
      </w:r>
    </w:p>
    <w:p>
      <w:r>
        <w:rPr>
          <w:sz w:val="24"/>
          <w:szCs w:val="24"/>
        </w:rPr>
        <w:t xml:space="preserve">Required integrations with Salesforce, SAP, banking APIs, or proprietary ERPs shape the API gateway design and authentication strategy. OAuth vs. API key vs. SSO flows each require separate implementation tracks.</w:t>
      </w:r>
    </w:p>
    <w:p>
      <w:r>
        <w:rPr>
          <w:b/>
          <w:bCs/>
          <w:sz w:val="24"/>
          <w:szCs w:val="24"/>
        </w:rPr>
        <w:t xml:space="preserve">Resolution action: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Integration requirements workshop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Catalogue existing third-party contracts and API access</w:t>
      </w:r>
    </w:p>
    <w:p>
      <w:r>
        <w:t xml:space="preserve"/>
      </w:r>
    </w:p>
    <w:p>
      <w:pPr>
        <w:pStyle w:val="Heading2"/>
      </w:pPr>
      <w:r>
        <w:t xml:space="preserve">2.5 Expected Query Volume at Launch  [MEDIUM]</w:t>
      </w:r>
    </w:p>
    <w:p>
      <w:r>
        <w:rPr>
          <w:sz w:val="24"/>
          <w:szCs w:val="24"/>
        </w:rPr>
        <w:t xml:space="preserve">The RAG vs. fine-tuning cost crossover occurs at approximately 50,000 queries/day. Without a volume estimate, the hybrid architecture cannot be calibrated and the LLM routing budget cannot be projected.</w:t>
      </w:r>
    </w:p>
    <w:p>
      <w:r>
        <w:rPr>
          <w:b/>
          <w:bCs/>
          <w:sz w:val="24"/>
          <w:szCs w:val="24"/>
        </w:rPr>
        <w:t xml:space="preserve">Resolution action: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Capacity planning based on pilot customer headcount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Load test prototype at 3 volume tiers</w:t>
      </w:r>
    </w:p>
    <w:p>
      <w:r>
        <w:t xml:space="preserve"/>
      </w:r>
    </w:p>
    <w:p>
      <w:pPr>
        <w:pStyle w:val="Heading1"/>
      </w:pPr>
      <w:r>
        <w:t xml:space="preserve">3. Database Schema</w:t>
      </w:r>
    </w:p>
    <w:p>
      <w:r>
        <w:rPr>
          <w:sz w:val="24"/>
          <w:szCs w:val="24"/>
        </w:rPr>
        <w:t xml:space="preserve">Relational core on PostgreSQL (GCP Cloud SQL). Vector store on Qdrant Cloud. DPDP compliance embedded at the schema level — all PII fields are tokenised at rest and linked to ConsentRecords.</w:t>
      </w:r>
    </w:p>
    <w:p>
      <w:r>
        <w:t xml:space="preserve"/>
      </w:r>
    </w:p>
    <w:p>
      <w:pPr>
        <w:pStyle w:val="Heading2"/>
      </w:pPr>
      <w: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/ Constraint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FK → Tenants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Tenant reference for multi-tenancy isolation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— UNIQUE per 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PII — cryptographically tokenised at 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executive | ops_manager | frontline | sysadmin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FK → ConsentRecords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DPDP mandatory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ISO 8601 UTC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deleted_at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TIMESTAMPTZ —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Soft delete — triggers DSAR erasure pipeline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ConsentRecords  [DPDP Compliance]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/ Constraint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Consent record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FK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feature_scope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Granular scopes: ai_processing, analytics,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granted_at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 of consent grant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revoked_at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TIMESTAMPTZ —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Null if active. Setting triggers DSAR erasure.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ip_hash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Cryptographic hash of IP — audit 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Policy version number at time of consent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Documents (Knowledge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/ Constraint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FK → Tenants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Tenant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Human-readable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storage_path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GCS bucket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ingestion_status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pending | chunking | embedding | indexed |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chunk_count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 of Qdrant vectors for this document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pii_redacted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DPDP: must be TRUE before LLM API submission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Queries &amp; AI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/ Constraint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Query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FK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Issuing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query_text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Anonymised before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model_used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e.g. gemini-3-flash / gpt-4.1-mini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tokens_in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 token count — billing audit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tokens_out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Output token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citation_ids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document chunk references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latency_ms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End-to-end response time in milliseconds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3.5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/ Constraint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 run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initiated_by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FK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who triggered the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queued | running | awaiting_hitl | completed |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steps_json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Ordered sub-task definitions with 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hitl_required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TRUE for financial / DB mutation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UUID — FK —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Human authoriser — null until approved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TIMESTAMPTZ —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Null until workflow finishes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External Services</w:t>
      </w:r>
    </w:p>
    <w:p>
      <w:r>
        <w:rPr>
          <w:sz w:val="24"/>
          <w:szCs w:val="24"/>
        </w:rPr>
        <w:t xml:space="preserve">All PII must pass through the anonymisation pipeline (Microsoft Presidio) before reaching any external LLM API. Services are grouped by function.</w:t>
      </w:r>
    </w:p>
    <w:p>
      <w:r>
        <w:t xml:space="preserve"/>
      </w:r>
    </w:p>
    <w:p>
      <w:pPr>
        <w:pStyle w:val="Heading2"/>
      </w:pPr>
      <w:r>
        <w:t xml:space="preserve">4.1 AI &amp; LLM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  <w:gridCol w:w="1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Gemini API (Vertex AI)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LLM — Gemini 3.1 Pro (complex reasoning), Gemini 3 Flash (standard), Flash-Lite (routing)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OpenAI API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o3 for multi-step logic, GPT-4.1-mini + context caching for standard queries, Realtime API for live interfaces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text-embedding-3-large (OpenAI)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Converts document chunks to 1536-dimensional vectors for Qdrant ingestion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Utility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Vector &amp; Data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Est. Monthly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Qdrant Cloud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vector DB — sub-40ms P95 latency, HNSW indexing, managed cloud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$120–$250 (10M vectors)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PostgreSQL — GCP Cloud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Relational core: users, consent, workflows, billing. Managed HA instance.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~$80–$150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Cloud Storage (GCS)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Raw document storage, audit logs, export artefacts, model artefacts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~$20–$50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Redis — GCP Memorystore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Semantic query cache — reduces repeated RAG pipeline calls by 30–45%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~$30–$60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Cloud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Cloud Platform (GCP)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cloud — GKE for containers, Cloud Run for serverless scaling, Vertex AI for ML 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Pub/Sub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Async event bus for document ingestion pipeline and workflow orchestration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Secret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keys, database credentials, cryptographic tokens stored securely at rest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Auth,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DPDP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Auth / Auth0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JWT-based authentication, SSO (Google / Microsoft), MFA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Identity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Microsoft Presidio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PII detection and redaction / tokenisation before any LLM API call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MANDATORY — DPDP barrier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Secret Manager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Secure credential storage with IAM-based access control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Secrets management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4.5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Cloud Monitoring + Logging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Infrastructure metrics, error rates, latency histograms, uptime SLA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LangSmith / LangFuse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LLM trace logging, per-query token cost tracking, hallucination auditing, prompt versioning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Project Structure &amp; TDD Build Sequence</w:t>
      </w:r>
    </w:p>
    <w:p>
      <w:r>
        <w:rPr>
          <w:sz w:val="24"/>
          <w:szCs w:val="24"/>
        </w:rPr>
        <w:t xml:space="preserve">Monorepo architecture. The build sequence follows strict TDD: tests are written before implementation. Backend services are built and stabilised before frontend development begins.</w:t>
      </w:r>
    </w:p>
    <w:p>
      <w:r>
        <w:t xml:space="preserve"/>
      </w:r>
    </w:p>
    <w:p>
      <w:pPr>
        <w:pStyle w:val="Heading2"/>
      </w:pPr>
      <w:r>
        <w:t xml:space="preserve">5.1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backend/app/api/v1/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/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route handlers — auth, documents, queries, workflows,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backend/app/services/rag/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/ LangChain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RAG pipeline: embedding, retrieval, reranking,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backend/app/services/ingestion/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/ Presidio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 ingest: parse, redact, chunk, embed,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backend/app/services/consent/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DPDP consent manager, DSAR erasure propagation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backend/app/services/orchestration/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Agentic task decomposition, HITL gates, 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backend/app/db/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SQLAlchemy / Alembic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ORM models and Alembic database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backend/app/tests/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Unit, integration, and E2E test suites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frontend/web/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 14 /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dashboard — chat, data grids, workflow panels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frontend/mobile/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 / Dart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Mobile app — knowledge retrieval, task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frontend/shared/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Shared types, API client, constants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TDD Build Phases</w:t>
      </w:r>
    </w:p>
    <w:p>
      <w:pPr>
        <w:pStyle w:val="Heading3"/>
      </w:pPr>
      <w:r>
        <w:t xml:space="preserve">Phase 1 — Auth &amp; DB Models</w:t>
      </w:r>
    </w:p>
    <w:p>
      <w:r>
        <w:rPr>
          <w:sz w:val="24"/>
          <w:szCs w:val="24"/>
        </w:rPr>
        <w:t xml:space="preserve">Write tests for JWT validation, RBAC middleware, user CRUD, and ConsentRecord creation. Implement until all tests pass. Run Alembic migrations against a test PostgreSQL instance.</w:t>
      </w:r>
    </w:p>
    <w:p>
      <w:pPr>
        <w:pStyle w:val="Heading3"/>
      </w:pPr>
      <w:r>
        <w:t xml:space="preserve">Phase 2 — Ingestion Pipeline</w:t>
      </w:r>
    </w:p>
    <w:p>
      <w:r>
        <w:rPr>
          <w:sz w:val="24"/>
          <w:szCs w:val="24"/>
        </w:rPr>
        <w:t xml:space="preserve">Test: document upload trigger → Presidio PII redaction → semantic chunking → embedding API call → Qdrant upsert. Mock external APIs in unit tests. Integration tests run against a Qdrant test container via Docker Compose.</w:t>
      </w:r>
    </w:p>
    <w:p>
      <w:pPr>
        <w:pStyle w:val="Heading3"/>
      </w:pPr>
      <w:r>
        <w:t xml:space="preserve">Phase 3 — RAG Query Service</w:t>
      </w:r>
    </w:p>
    <w:p>
      <w:r>
        <w:rPr>
          <w:sz w:val="24"/>
          <w:szCs w:val="24"/>
        </w:rPr>
        <w:t xml:space="preserve">Test: user query → Redis cache check → vector embedding → Qdrant ANN search → cross-encoder reranking → LLM routing decision → grounded generation → citation mapping. Parameterised tests cover each supported LLM model. Load test targets 500 concurrent queries at P95 under 3 seconds.</w:t>
      </w:r>
    </w:p>
    <w:p>
      <w:pPr>
        <w:pStyle w:val="Heading3"/>
      </w:pPr>
      <w:r>
        <w:t xml:space="preserve">Phase 4 — Workflow Orchestration</w:t>
      </w:r>
    </w:p>
    <w:p>
      <w:r>
        <w:rPr>
          <w:sz w:val="24"/>
          <w:szCs w:val="24"/>
        </w:rPr>
        <w:t xml:space="preserve">Test: multi-step task decomposition, sub-task execution, HITL gate pause/resume, rollback to previous state. State machine assertions validate each transition. E2E tests use the GCP Pub/Sub emulator for full pipeline simulation.</w:t>
      </w:r>
    </w:p>
    <w:p>
      <w:pPr>
        <w:pStyle w:val="Heading3"/>
      </w:pPr>
      <w:r>
        <w:t xml:space="preserve">Phase 5 — Frontend Web (Next.js)</w:t>
      </w:r>
    </w:p>
    <w:p>
      <w:r>
        <w:rPr>
          <w:sz w:val="24"/>
          <w:szCs w:val="24"/>
        </w:rPr>
        <w:t xml:space="preserve">Component tests using React Testing Library and Jest. Covers: chat interface, data grid anomaly highlighting, workflow status panels. All API calls mocked with MSW (Mock Service Worker). Accessibility tests via jest-axe.</w:t>
      </w:r>
    </w:p>
    <w:p>
      <w:pPr>
        <w:pStyle w:val="Heading3"/>
      </w:pPr>
      <w:r>
        <w:t xml:space="preserve">Phase 6 — Frontend Mobile (Flutter)</w:t>
      </w:r>
    </w:p>
    <w:p>
      <w:r>
        <w:rPr>
          <w:sz w:val="24"/>
          <w:szCs w:val="24"/>
        </w:rPr>
        <w:t xml:space="preserve">Widget tests for the knowledge retrieval screen, offline document cache behaviour, and push notification rendering for HITL approval requests.</w:t>
      </w:r>
    </w:p>
    <w:p>
      <w:r>
        <w:t xml:space="preserve"/>
      </w:r>
    </w:p>
    <w:p>
      <w:pPr>
        <w:pStyle w:val="Heading1"/>
      </w:pPr>
      <w:r>
        <w:t xml:space="preserve">6. AI Integration Strategy</w:t>
      </w:r>
    </w:p>
    <w:p>
      <w:r>
        <w:rPr>
          <w:sz w:val="24"/>
          <w:szCs w:val="24"/>
        </w:rPr>
        <w:t xml:space="preserve">Hybrid architecture: Retrieval-Augmented Generation (RAG) for dynamic knowledge access combined with LoRA fine-tuning for structural / routing tasks. PII anonymisation via Presidio is mandatory before any data leaves the private perimeter.</w:t>
      </w:r>
    </w:p>
    <w:p>
      <w:r>
        <w:t xml:space="preserve"/>
      </w:r>
    </w:p>
    <w:p>
      <w:pPr>
        <w:pStyle w:val="Heading2"/>
      </w:pPr>
      <w:r>
        <w:t xml:space="preserve">6.1 Document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Upload to GCS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 lands in Cloud Storage bucket. Pub/Sub event triggers ingestion worker (Cloud Run job).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PII Redaction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Microsoft Presidio strips / tokenises all personal identifiers — DPDP mandatory before text processing.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Semantic Chunking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split into 512-token chunks with 128-token overlap. Metadata preserved: doc_id, page number, section heading.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Embedding Generation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text-embedding-3-large converts each chunk to a 1536-dimensional vector. Batched at 100 chunks per API call for cost efficiency.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Qdrant Upsert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Vectors + metadata inserted. HNSW index updated. Document status updated to 'indexed' in PostgreSQL.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Query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Semantic Cache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Redis hash of query checked first. Cache hit returns response immediately — no LLM call. Typical hit rate 30–45% post-warmup.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Query Embedding + ANN 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query embedded. Top-K (k=8) semantically relevant chunks retrieved from Qdrant in under 50ms.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Reranking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Retrieved chunks re-scored by a cross-encoder model. Bottom 3 chunks pruned to reduce context window bloat.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LLM Routing 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Complexity classifier routes to: Flash-Lite (simple), Gemini Flash / GPT-4.1-mini (standard), Gemini Pro / o3 (complex multi-document). Budget-aware.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Grounded Generation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LLM generates answer strictly from the provided context chunks. Every claim mapped to a source chunk ID — hallucination mitigated.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LoRA Fine-Tuning Plan</w:t>
      </w:r>
    </w:p>
    <w:p>
      <w:r>
        <w:rPr>
          <w:sz w:val="24"/>
          <w:szCs w:val="24"/>
        </w:rPr>
        <w:t xml:space="preserve">Applied to smaller models for structural tasks only. Factual knowledge lives in Qdrant — fine-tuning is not used to encode facts.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Base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Training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Est. Cost (INR)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Query complexity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Flash-Lite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5,000 labelled queries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₹2–4 Lakhs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Output format standardiser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GPT-4.1-mini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3,000 input/output pairs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₹1–2 Lakhs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Domain tone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10,000 enterprise samples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₹5–8 Lakhs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6.4 LLM Routing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8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Query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Routed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Input Cost/1M tokens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Cached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Background classification, routing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2.5 Flash-Lite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conversational queries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GPT-4.1-mini / Gemini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$0.40–$0.50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Complex multi-document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3.1 Pro / OpenAI o3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$2.00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live conversation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OpenAI Realtime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$4.00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Product Services</w:t>
      </w:r>
    </w:p>
    <w:p>
      <w:r>
        <w:rPr>
          <w:sz w:val="24"/>
          <w:szCs w:val="24"/>
        </w:rPr>
        <w:t xml:space="preserve">Seven microservices, each independently deployable on GKE. Each service owns its data slice and communicates via REST internally and Pub/Sub for async events.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Availability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FastAPI + Firebase 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 issuance, RBAC enforcement, SSO, MFA. Gateway for all authenticated requests.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Ingestion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+ Presidio + Pub/Sub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 upload, PII redaction, semantic chunking, embedding, Qdrant indexing. Fully async.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Query Service (RAG)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FastAPI + LangChain + 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Semantic cache, vector search, LLM routing, grounded generation, citation assembly.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 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state machine + Pub/Sub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Agentic task decomposition, sub-task execution, HITL gate management, rollback capability.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Consent &amp; DPDP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FastAPI + PostgreSQL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source of truth for user permissions. DSAR erasure across SQL and Qdrant vectors.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Analytics &amp;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FastAPI + BigQuery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 consumption tracking, latency histograms, cost alerts, SysAdmin dashboards.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FastAPI + Firebase Cloud Messaging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Push, email, in-app alerts for HITL approvals, data breach notifications, SLA breaches.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7.1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Vector search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100ms P95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Qdrant query time — measured in Query Service traces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End-to-end AI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1.5–3.0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pipeline trace from query receipt to streaming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 service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Cloud Monitoring SLA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feature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Dependent on LLM API SLAs — monitored via LangFuse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DSAR erasure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72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Consent Service audit log — DPDP legal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breach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72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DPDP Act Section 8 — DPBI and affected principals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Development Cost Summary (Jaipur Ecosystem)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Estimated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 Infrastructure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 web, Flutter mobile, REST/GraphQL API, 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3–4 months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$25,000–$40,000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Ingestion pipeline, Qdrant, LLM API integration, semantic caching, LoRA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2–3 months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$20,000–$35,000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DPDP Compliance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Consent Manager, Presidio pipeline, DSAR automation, tokenisation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1–2 months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$10,000–$15,000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Year 1 Operations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hosting, vector DB, CI/CD tooling, LLM API reserves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Ongoing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$5,000–$10,000/yr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V1 Launch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production-ready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6–9 months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$60,000–$100,000</w:t>
            </w:r>
          </w:p>
        </w:tc>
      </w:tr>
    </w:tbl>
    <w:p>
      <w:r>
        <w:t xml:space="preserve"/>
      </w:r>
    </w:p>
    <w:p>
      <w:r>
        <w:rPr>
          <w:sz w:val="24"/>
          <w:szCs w:val="24"/>
        </w:rPr>
        <w:t xml:space="preserve">This total can be substantially offset by registering on the iStart Rajasthan portal and pursuing the Bhamashah Techno Fund, which offers non-dilutive grants of up to ₹60 Lakhs (approximately $72,000) at Silver QRate status — effectively covering 80–100% of the projected development cost.</w:t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20"/>
        <w:szCs w:val="20"/>
      </w:rPr>
      <w:t xml:space="preserve">Intelligent Enterprise Operations Platform — Jaipur Development Initiative 2026  |  Page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20"/>
        <w:szCs w:val="20"/>
      </w:rPr>
      <w:t xml:space="preserve">IEOP Product Blueprint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2026-03-14T20:57:23.304Z</dcterms:created>
  <dcterms:modified xsi:type="dcterms:W3CDTF">2026-03-14T20:57:23.305Z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