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6B3A1F"/>
          <w:sz w:val="30"/>
          <w:szCs w:val="30"/>
        </w:rPr>
        <w:t xml:space="preserve">KHURANA &amp; KHURANA</w:t>
      </w:r>
    </w:p>
    <w:p>
      <w:pPr>
        <w:spacing w:after="40"/>
        <w:jc w:val="center"/>
      </w:pPr>
      <w:r>
        <w:rPr>
          <w:b/>
          <w:bCs/>
          <w:color w:val="6B3A1F"/>
          <w:sz w:val="16"/>
          <w:szCs w:val="16"/>
        </w:rPr>
        <w:t xml:space="preserve">ADVOCATES AND IP ATTORNEYS</w:t>
      </w:r>
    </w:p>
    <w:p>
      <w:pPr>
        <w:pBdr>
          <w:bottom w:val="single" w:color="000000" w:sz="4"/>
        </w:pBdr>
        <w:spacing w:after="20"/>
        <w:jc w:val="center"/>
      </w:pPr>
      <w:r>
        <w:rPr>
          <w:sz w:val="16"/>
          <w:szCs w:val="16"/>
        </w:rPr>
        <w:t xml:space="preserve">E-13, UPSIDC Site-IV, Kasna Road, Greater Noida - 201308, India</w:t>
      </w:r>
    </w:p>
    <w:p>
      <w:pPr>
        <w:spacing w:after="20"/>
        <w:jc w:val="center"/>
      </w:pPr>
      <w:r>
        <w:rPr>
          <w:sz w:val="16"/>
          <w:szCs w:val="16"/>
        </w:rPr>
        <w:t xml:space="preserve">Phone: +91.120.4296878 | Website: www.khuranaandkhurana.com  www.iiprd.com</w:t>
      </w:r>
    </w:p>
    <w:p>
      <w:pPr>
        <w:spacing w:after="20"/>
        <w:jc w:val="center"/>
      </w:pPr>
      <w:r>
        <w:rPr>
          <w:sz w:val="16"/>
          <w:szCs w:val="16"/>
        </w:rPr>
        <w:t xml:space="preserve">Email: info@khuranaandkhuraana.com | iiprd@iiprd.com</w:t>
      </w:r>
    </w:p>
    <w:p>
      <w:pPr>
        <w:spacing w:after="20"/>
        <w:jc w:val="center"/>
      </w:pPr>
      <w:r>
        <w:rPr>
          <w:sz w:val="15"/>
          <w:szCs w:val="15"/>
        </w:rPr>
        <w:t xml:space="preserve">Indian Offices: Noida | New Delhi | Bangalore | Mumbai | Pune | Hyderabad | Jalandhar | Chennai</w:t>
      </w:r>
    </w:p>
    <w:p>
      <w:pPr>
        <w:pBdr>
          <w:bottom w:val="single" w:color="000000" w:sz="6"/>
        </w:pBdr>
        <w:spacing w:after="200"/>
        <w:jc w:val="center"/>
      </w:pPr>
      <w:r>
        <w:rPr>
          <w:sz w:val="15"/>
          <w:szCs w:val="15"/>
        </w:rPr>
        <w:t xml:space="preserve">International Offices: US | Bangladesh | Sri Lanka | Malaysia | Vietnam | Myanmar | Nepal | Malaysia</w:t>
      </w:r>
    </w:p>
    <w:p>
      <w:pPr>
        <w:spacing w:after="300"/>
        <w:jc w:val="center"/>
      </w:pPr>
      <w:r>
        <w:rPr>
          <w:b/>
          <w:bCs/>
          <w:sz w:val="26"/>
          <w:szCs w:val="26"/>
        </w:rPr>
        <w:t xml:space="preserve">INVENTIVE DISCLOSURE - CONFIDENTIAL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50"/>
        <w:gridCol w:w="9656"/>
      </w:tblGrid>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1.</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Title of the Invention</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bCs/>
                <w:i w:val="false"/>
                <w:iCs w:val="false"/>
                <w:sz w:val="21"/>
                <w:szCs w:val="21"/>
              </w:rPr>
              <w:t xml:space="preserve">A Passive, Self-Tuning Vibration Absorber for Suppression of Pathological Hand Tremor</w:t>
            </w:r>
          </w:p>
          <w:p>
            <w:pPr>
              <w:spacing w:after="100"/>
            </w:pPr>
            <w:r>
              <w:rPr>
                <w:b w:val="false"/>
                <w:bCs w:val="false"/>
                <w:i w:val="false"/>
                <w:iCs w:val="false"/>
                <w:sz w:val="21"/>
                <w:szCs w:val="21"/>
              </w:rPr>
              <w:t xml:space="preserve">(Working title used during development: "Passive Self-Tuning Tremor Absorber")</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2.</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What is the Technical Field of Invention?</w:t>
            </w:r>
          </w:p>
          <w:p>
            <w:r>
              <w:rPr>
                <w:i/>
                <w:iCs/>
                <w:sz w:val="19"/>
                <w:szCs w:val="19"/>
              </w:rPr>
              <w:t xml:space="preserve">(Should include Problem and Solution statement and general purpose in relation with your invention)</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val="false"/>
                <w:bCs w:val="false"/>
                <w:i w:val="false"/>
                <w:iCs w:val="false"/>
                <w:sz w:val="21"/>
                <w:szCs w:val="21"/>
              </w:rPr>
              <w:t xml:space="preserve">Field: Mechanical vibration control / wearable assistive medical devices — specifically passive dynamic vibration absorbers (tuned mass dampers) for pathological hand tremor. Relevant classification anchors: IPC/CPC F16F7/104 (resiliently-mounted inertia-member vibration dampers), A61H, A61F5/01.</w:t>
            </w:r>
          </w:p>
          <w:p>
            <w:pPr>
              <w:spacing w:after="100"/>
            </w:pPr>
            <w:r>
              <w:rPr>
                <w:b/>
                <w:bCs/>
                <w:sz w:val="21"/>
                <w:szCs w:val="21"/>
              </w:rPr>
              <w:t xml:space="preserve">Problem: </w:t>
            </w:r>
            <w:r>
              <w:rPr>
                <w:sz w:val="21"/>
                <w:szCs w:val="21"/>
              </w:rPr>
              <w:t xml:space="preserve">Essential tremor (ET) and Parkinson's disease (PD) tremor affect tens of millions of people worldwide and impair everyday tasks such as eating, writing and holding objects. Drugs and deep-brain stimulation carry significant side effects. Existing mechanical wearables fall into two families: (a) ACTIVE devices (motors, sensors and control laws) that are effective but bulky, expensive, complex and battery-dependent; and (b) PASSIVE tuned-mass-damper (TMD) devices that are light, cheap and batteryless but work only in a narrow band around one frequency, and published passive tremor bracelets can only be retuned manually (e.g. by moving a screw), so the device is mistuned most of the time because tremor frequency varies between patients and shifts with task (rest vs postural vs kinetic).</w:t>
            </w:r>
          </w:p>
          <w:p>
            <w:pPr>
              <w:spacing w:after="100"/>
            </w:pPr>
            <w:r>
              <w:rPr>
                <w:b/>
                <w:bCs/>
                <w:sz w:val="21"/>
                <w:szCs w:val="21"/>
              </w:rPr>
              <w:t xml:space="preserve">Solution: </w:t>
            </w:r>
            <w:r>
              <w:rPr>
                <w:sz w:val="21"/>
                <w:szCs w:val="21"/>
              </w:rPr>
              <w:t xml:space="preserve">A purely mechanical, batteryless, sensorless, control-law-free self-tuning vibration absorber. A proof mass on a compliant element (cantilever/spring) is mounted on a wrist/forearm cuff. The mass is carried on a track with deliberately asymmetric (direction-dependent) damping, so that when the absorber is mistuned, residual oscillation causes the mass to migrate ("walk") along the track until the absorber's resonant frequency matches the instantaneous tremor frequency, at which point the residual motion collapses and the mass stops — a passive mechanical feedback loop, conceptually analogous to a centrifugal governor.</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3.</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Search Terms</w:t>
            </w:r>
          </w:p>
          <w:p>
            <w:r>
              <w:rPr>
                <w:i/>
                <w:iCs/>
                <w:sz w:val="19"/>
                <w:szCs w:val="19"/>
              </w:rPr>
              <w:t xml:space="preserve">(Please provide key words and common industry phrases on the basis of which this invention could be connected with the prior art)</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val="false"/>
                <w:bCs w:val="false"/>
                <w:i w:val="false"/>
                <w:iCs w:val="false"/>
                <w:sz w:val="21"/>
                <w:szCs w:val="21"/>
              </w:rPr>
              <w:t xml:space="preserve">Tuned mass damper; dynamic vibration absorber (DVA); tuned vibration absorber (TVA); self-tuning / adaptive / adaptive-passive / semi-active vibration absorber; frequency-tracking absorber; whirling-beam absorber; asymmetric-damping walking mass; migrating-mass absorber; variable-stiffness cantilever; fulcrum shift; Den Hartog fixed-points; anti-resonance notch; Euler–Bernoulli cantilever stiffness (k = 3EI/L³); pathological tremor; essential tremor; Parkinsonian rest tremor; tremor-suppression orthosis; wearable tremor device; passive tremor bracelet; forearm/wrist cuff; proof mass; mass ratio.</w:t>
            </w:r>
          </w:p>
          <w:p>
            <w:pPr>
              <w:spacing w:after="100"/>
            </w:pPr>
            <w:r>
              <w:rPr>
                <w:b w:val="false"/>
                <w:bCs w:val="false"/>
                <w:i/>
                <w:iCs/>
                <w:sz w:val="21"/>
                <w:szCs w:val="21"/>
              </w:rPr>
              <w:t xml:space="preserve">Classification anchors: IPC/CPC F16F7/104; A61H; A61F5/01.</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4.</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Background of the Invention (Present state of Art)</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bCs/>
                <w:sz w:val="21"/>
                <w:szCs w:val="21"/>
              </w:rPr>
              <w:t xml:space="preserve">a. What are the present technologies that exist in the field of your invention</w:t>
            </w:r>
            <w:r>
              <w:rPr>
                <w:sz w:val="21"/>
                <w:szCs w:val="21"/>
              </w:rPr>
              <w:t xml:space="preserve"/>
            </w:r>
          </w:p>
          <w:p>
            <w:pPr>
              <w:pStyle w:val="ListParagraph"/>
              <w:numPr>
                <w:ilvl w:val="0"/>
                <w:numId w:val="1"/>
              </w:numPr>
              <w:spacing w:after="60"/>
            </w:pPr>
            <w:r>
              <w:rPr>
                <w:sz w:val="21"/>
                <w:szCs w:val="21"/>
              </w:rPr>
              <w:t xml:space="preserve">Active devices: Liftware Steady/Level (Verily Life Sciences) — motorised utensil with onboard accelerometer and control loop. GyroGlove (GyroGear) — battery-powered mechanical gyroscope glove. Steadi-Two / Steadi-3 (Steadiwear) — magnetic/non-Newtonian-fluid semi-active TMD glove. Robotic/soft tremor-suppression exoskeletons (e.g. the EU WOTAS / TREMOR projects). Cala kIQ (Cala Health) — wrist-worn transcutaneous afferent patterned stimulation (TAPS) neurostimulator (electrical, not mechanical).</w:t>
            </w:r>
          </w:p>
          <w:p>
            <w:pPr>
              <w:pStyle w:val="ListParagraph"/>
              <w:numPr>
                <w:ilvl w:val="0"/>
                <w:numId w:val="1"/>
              </w:numPr>
              <w:spacing w:after="60"/>
            </w:pPr>
            <w:r>
              <w:rPr>
                <w:sz w:val="21"/>
                <w:szCs w:val="21"/>
              </w:rPr>
              <w:t xml:space="preserve">Passive devices: fixed-tuned cantilever/inertial TMD bracelets and gloves (Hashemi et al. 2004; Gebai et al. 2021/2023; Buki et al. 2018 "Vib-bracelet"; Rudraraju &amp; Nguyen 2018; Yousef et al. 2024 multi-slot bracelet; Shah, UBC 2022 thesis / US provisional 63/487,108); weighted gloves (Readi-Steadi); particle/air dampers.</w:t>
            </w:r>
          </w:p>
          <w:p>
            <w:pPr>
              <w:spacing w:after="100"/>
            </w:pPr>
            <w:r>
              <w:rPr>
                <w:b/>
                <w:bCs/>
                <w:sz w:val="21"/>
                <w:szCs w:val="21"/>
              </w:rPr>
              <w:t xml:space="preserve">b. What are the limitations of the same?</w:t>
            </w:r>
            <w:r>
              <w:rPr>
                <w:sz w:val="21"/>
                <w:szCs w:val="21"/>
              </w:rPr>
              <w:t xml:space="preserve"/>
            </w:r>
          </w:p>
          <w:p>
            <w:pPr>
              <w:pStyle w:val="ListParagraph"/>
              <w:numPr>
                <w:ilvl w:val="0"/>
                <w:numId w:val="1"/>
              </w:numPr>
              <w:spacing w:after="60"/>
            </w:pPr>
            <w:r>
              <w:rPr>
                <w:sz w:val="21"/>
                <w:szCs w:val="21"/>
              </w:rPr>
              <w:t xml:space="preserve">Active devices: published reviews (e.g. Lora-Millán et al., Frontiers in Neurology, 2021) identify power consumption, device bulk and complexity as their central weaknesses. Systematic reviews (Fromme et al., 2019) note an active orthosis can add roughly 18% additional mass to the arm, causing fatigue and low long-term acceptance.</w:t>
            </w:r>
          </w:p>
          <w:p>
            <w:pPr>
              <w:pStyle w:val="ListParagraph"/>
              <w:numPr>
                <w:ilvl w:val="0"/>
                <w:numId w:val="1"/>
              </w:numPr>
              <w:spacing w:after="60"/>
            </w:pPr>
            <w:r>
              <w:rPr>
                <w:sz w:val="21"/>
                <w:szCs w:val="21"/>
              </w:rPr>
              <w:t xml:space="preserve">Passive devices: the core limitation is narrow-band mistuning. A classic tuned-mass absorber only cancels vibration at one frequency; published passive tremor bracelets are retuned only by manually moving a screw or selecting a discrete slot (Gebai et al.: "a new operational frequency for each position of the screw"), so the device is mistuned most of the time as tremor frequency differs between patients (PD ~4–6 Hz vs ET ~5–8 Hz) and shifts with task and stress.</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5.</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Prior Art</w:t>
            </w:r>
          </w:p>
          <w:p>
            <w:r>
              <w:rPr>
                <w:i/>
                <w:iCs/>
                <w:sz w:val="19"/>
                <w:szCs w:val="19"/>
              </w:rPr>
              <w:t xml:space="preserve">(Please provide the details of the product or process by the help of which the problem solved by the invention was tackled before this invention. Please detail prior technologies, patents, or publications relevant to this invention)</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bCs/>
                <w:i w:val="false"/>
                <w:iCs w:val="false"/>
                <w:sz w:val="21"/>
                <w:szCs w:val="21"/>
              </w:rPr>
              <w:t xml:space="preserve">Patents — passive self-tuning absorbers (non-tremor):</w:t>
            </w:r>
          </w:p>
          <w:p>
            <w:pPr>
              <w:pStyle w:val="ListParagraph"/>
              <w:numPr>
                <w:ilvl w:val="0"/>
                <w:numId w:val="1"/>
              </w:numPr>
              <w:spacing w:after="60"/>
            </w:pPr>
            <w:r>
              <w:rPr>
                <w:sz w:val="21"/>
                <w:szCs w:val="21"/>
              </w:rPr>
              <w:t xml:space="preserve">US 2,838,137 “Self Tuning Vibration Absorber” (Wallerstein, 1958) — seminal passive migrating-mass self-tuning absorber for machinery; not tremor.</w:t>
            </w:r>
          </w:p>
          <w:p>
            <w:pPr>
              <w:pStyle w:val="ListParagraph"/>
              <w:numPr>
                <w:ilvl w:val="0"/>
                <w:numId w:val="1"/>
              </w:numPr>
              <w:spacing w:after="60"/>
            </w:pPr>
            <w:r>
              <w:rPr>
                <w:sz w:val="21"/>
                <w:szCs w:val="21"/>
              </w:rPr>
              <w:t xml:space="preserve">US 6,983,833 / US 2004/0108443A1 (helicopter self-tuning vibration absorber, priority 2002) — closest mechanism art: asymmetric damping causes an orbital/whirl motion that walks a threaded mass along a bar until resonance, at 10–1,000 Hz (embodiments 10–30 Hz and 60–300 Hz). Passive, but not applied to tremor and pitched at a frequency band 2–200× above tremor.</w:t>
            </w:r>
          </w:p>
          <w:p>
            <w:pPr>
              <w:pStyle w:val="ListParagraph"/>
              <w:numPr>
                <w:ilvl w:val="0"/>
                <w:numId w:val="1"/>
              </w:numPr>
              <w:spacing w:after="60"/>
            </w:pPr>
            <w:r>
              <w:rPr>
                <w:sz w:val="21"/>
                <w:szCs w:val="21"/>
              </w:rPr>
              <w:t xml:space="preserve">US 8,044,629 and US 2010/0057260A1 — self-tuning absorbers that rely on a sensor, motor and control law — not purely passive.</w:t>
            </w:r>
          </w:p>
          <w:p>
            <w:pPr>
              <w:spacing w:after="100"/>
            </w:pPr>
            <w:r>
              <w:rPr>
                <w:b/>
                <w:bCs/>
                <w:i w:val="false"/>
                <w:iCs w:val="false"/>
                <w:sz w:val="21"/>
                <w:szCs w:val="21"/>
              </w:rPr>
              <w:t xml:space="preserve">Patents — tremor (active/gyroscopic):</w:t>
            </w:r>
          </w:p>
          <w:p>
            <w:pPr>
              <w:pStyle w:val="ListParagraph"/>
              <w:numPr>
                <w:ilvl w:val="0"/>
                <w:numId w:val="1"/>
              </w:numPr>
              <w:spacing w:after="60"/>
            </w:pPr>
            <w:r>
              <w:rPr>
                <w:sz w:val="21"/>
                <w:szCs w:val="21"/>
              </w:rPr>
              <w:t xml:space="preserve">GyroGear tremor-stabilisation family (e.g. US 12,411,009; US 12,508,199; priority to GB 1422899.3, 2014) — gyroscopic, powered, explicit control circuitry.</w:t>
            </w:r>
          </w:p>
          <w:p>
            <w:pPr>
              <w:spacing w:after="100"/>
            </w:pPr>
            <w:r>
              <w:rPr>
                <w:b/>
                <w:bCs/>
                <w:i w:val="false"/>
                <w:iCs w:val="false"/>
                <w:sz w:val="21"/>
                <w:szCs w:val="21"/>
              </w:rPr>
              <w:t xml:space="preserve">Non-patent literature — passive tremor absorbers:</w:t>
            </w:r>
          </w:p>
          <w:p>
            <w:pPr>
              <w:pStyle w:val="ListParagraph"/>
              <w:numPr>
                <w:ilvl w:val="0"/>
                <w:numId w:val="1"/>
              </w:numPr>
              <w:spacing w:after="60"/>
            </w:pPr>
            <w:r>
              <w:rPr>
                <w:sz w:val="21"/>
                <w:szCs w:val="21"/>
              </w:rPr>
              <w:t xml:space="preserve">Hashemi, Golnaraghi &amp; Patla, Med. Biol. Eng. Comput. 42:61–70 (2004) — foundational passive cantilever TMD for PD rest tremor.</w:t>
            </w:r>
          </w:p>
          <w:p>
            <w:pPr>
              <w:pStyle w:val="ListParagraph"/>
              <w:numPr>
                <w:ilvl w:val="0"/>
                <w:numId w:val="1"/>
              </w:numPr>
              <w:spacing w:after="60"/>
            </w:pPr>
            <w:r>
              <w:rPr>
                <w:sz w:val="21"/>
                <w:szCs w:val="21"/>
              </w:rPr>
              <w:t xml:space="preserve">Gebai et al., Appl. Sci. 11, 9809 (2021) — passive linear TMD, 15.7% mass ratio, 29% acceleration / 79% displacement reduction, screw-retuned; and J. Med. Eng. Technol. 47(3) (2023) — T-beam absorber, up to 80%.</w:t>
            </w:r>
          </w:p>
          <w:p>
            <w:pPr>
              <w:pStyle w:val="ListParagraph"/>
              <w:numPr>
                <w:ilvl w:val="0"/>
                <w:numId w:val="1"/>
              </w:numPr>
              <w:spacing w:after="60"/>
            </w:pPr>
            <w:r>
              <w:rPr>
                <w:sz w:val="21"/>
                <w:szCs w:val="21"/>
              </w:rPr>
              <w:t xml:space="preserve">Buki et al. (2018) — “Vib-bracelet” passive absorber, up to 85% attenuation at 4–6 Hz.</w:t>
            </w:r>
          </w:p>
          <w:p>
            <w:pPr>
              <w:pStyle w:val="ListParagraph"/>
              <w:numPr>
                <w:ilvl w:val="0"/>
                <w:numId w:val="1"/>
              </w:numPr>
              <w:spacing w:after="60"/>
            </w:pPr>
            <w:r>
              <w:rPr>
                <w:sz w:val="21"/>
                <w:szCs w:val="21"/>
              </w:rPr>
              <w:t xml:space="preserve">Rudraraju &amp; Nguyen (2018) — 530 g passive TMD (31.4% mass ratio), 70–80% reduction.</w:t>
            </w:r>
          </w:p>
          <w:p>
            <w:pPr>
              <w:pStyle w:val="ListParagraph"/>
              <w:numPr>
                <w:ilvl w:val="0"/>
                <w:numId w:val="1"/>
              </w:numPr>
              <w:spacing w:after="60"/>
            </w:pPr>
            <w:r>
              <w:rPr>
                <w:sz w:val="21"/>
                <w:szCs w:val="21"/>
              </w:rPr>
              <w:t xml:space="preserve">Yousef, Hafizh, Sassi &amp; Muthalif, J. Vibration and Control (2024) — multi-slot 3–8 Hz bracelet, up to 68% overall / 98.2% targeted suppression.</w:t>
            </w:r>
          </w:p>
          <w:p>
            <w:pPr>
              <w:pStyle w:val="ListParagraph"/>
              <w:numPr>
                <w:ilvl w:val="0"/>
                <w:numId w:val="1"/>
              </w:numPr>
              <w:spacing w:after="60"/>
            </w:pPr>
            <w:r>
              <w:rPr>
                <w:sz w:val="21"/>
                <w:szCs w:val="21"/>
              </w:rPr>
              <w:t xml:space="preserve">Shah (UBC Okanagan MASc thesis, 2022); US provisional 63/487,108 “Passive hand tremor attenuator devices and systems” — passive T/V-beam absorber, up to ~85% single-axis, broadband/omnidirectional but not a self-tuning walking mass.</w:t>
            </w:r>
          </w:p>
          <w:p>
            <w:pPr>
              <w:spacing w:after="100"/>
            </w:pPr>
            <w:r>
              <w:rPr>
                <w:b/>
                <w:bCs/>
                <w:i w:val="false"/>
                <w:iCs w:val="false"/>
                <w:sz w:val="21"/>
                <w:szCs w:val="21"/>
              </w:rPr>
              <w:t xml:space="preserve">Non-patent literature — self-tuning + tremor (closest combined art):</w:t>
            </w:r>
          </w:p>
          <w:p>
            <w:pPr>
              <w:pStyle w:val="ListParagraph"/>
              <w:numPr>
                <w:ilvl w:val="0"/>
                <w:numId w:val="1"/>
              </w:numPr>
              <w:spacing w:after="60"/>
            </w:pPr>
            <w:r>
              <w:rPr>
                <w:sz w:val="21"/>
                <w:szCs w:val="21"/>
              </w:rPr>
              <w:t xml:space="preserve">Teixeira, Bicho, Rocha &amp; Gago, IEEE ENBENG (2013) — “A self-tunable dynamic vibration absorber: Parkinson's Disease's tremor suppression.” A hydraulic system self-tunes using a control law (~50%/80% reduction, undamped/damped, bench-tested on a wood beam). Powered and control-law-based — not purely passive.</w:t>
            </w:r>
          </w:p>
          <w:p>
            <w:pPr>
              <w:spacing w:after="100"/>
            </w:pPr>
            <w:r>
              <w:rPr>
                <w:b/>
                <w:bCs/>
                <w:i w:val="false"/>
                <w:iCs w:val="false"/>
                <w:sz w:val="21"/>
                <w:szCs w:val="21"/>
              </w:rPr>
              <w:t xml:space="preserve">Non-patent literature — self-tuning mechanism theory:</w:t>
            </w:r>
          </w:p>
          <w:p>
            <w:pPr>
              <w:pStyle w:val="ListParagraph"/>
              <w:numPr>
                <w:ilvl w:val="0"/>
                <w:numId w:val="1"/>
              </w:numPr>
              <w:spacing w:after="60"/>
            </w:pPr>
            <w:r>
              <w:rPr>
                <w:sz w:val="21"/>
                <w:szCs w:val="21"/>
              </w:rPr>
              <w:t xml:space="preserve">Ivers, Wilson &amp; Margolis, ASME J. Dyn. Sys., Meas., Control 130(3):031009 (2008) — “Whirling-Beam Self-Tuning Vibration Absorber”: confirms a purely passive self-tuning absorber requiring no external power and often no control logic is achievable, with convergence demonstrated at ~33–42 Hz — i.e. genuine at machinery frequencies, not yet shown at tremor frequencies/amplitudes.</w:t>
            </w:r>
          </w:p>
          <w:p>
            <w:pPr>
              <w:pStyle w:val="ListParagraph"/>
              <w:numPr>
                <w:ilvl w:val="0"/>
                <w:numId w:val="1"/>
              </w:numPr>
              <w:spacing w:after="60"/>
            </w:pPr>
            <w:r>
              <w:rPr>
                <w:sz w:val="21"/>
                <w:szCs w:val="21"/>
              </w:rPr>
              <w:t xml:space="preserve">Den Hartog fixed-points theory (Ormondroyd &amp; Den Hartog 1928; Hahnkamm 1933; Brock 1946) — confirms the optimal tuning/damping formulas used in this project are correctly stated.</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6.</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Has the work filled a major gap in the prior art? If yes, a brief description of this gap.</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val="false"/>
                <w:bCs w:val="false"/>
                <w:i w:val="false"/>
                <w:iCs w:val="false"/>
                <w:sz w:val="21"/>
                <w:szCs w:val="21"/>
              </w:rPr>
              <w:t xml:space="preserve">Yes — a narrow but real gap. No located patent or paper describes a batteryless, sensorless, controller-free mechanical self-tuning absorber that passively tracks a drifting tremor frequency and is applied to human limb tremor. Prior art bifurcates cleanly into (a) passive but fixed/manually-retuned tremor TMDs, and (b) self-tuning but powered/control-law-based tremor DVAs (Teixeira 2013). The purely-passive self-tuning “walking” mechanism itself is known (Wallerstein 1958; helicopter absorber; whirling-beam absorber) but only in non-tremor, higher-frequency machinery contexts. The gap filled is the intersection of the three elements — passive + self-tuning + tremor — not any single element in isolation.</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7.</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What are the components of the Invention?</w:t>
            </w:r>
          </w:p>
          <w:p>
            <w:r>
              <w:rPr>
                <w:i/>
                <w:iCs/>
                <w:sz w:val="19"/>
                <w:szCs w:val="19"/>
              </w:rPr>
              <w:t xml:space="preserve">(Explain the external and internal parts/blocks/systems-subsystems/composition/steps of process of your invention)</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pStyle w:val="ListParagraph"/>
              <w:numPr>
                <w:ilvl w:val="0"/>
                <w:numId w:val="1"/>
              </w:numPr>
              <w:spacing w:after="60"/>
            </w:pPr>
            <w:r>
              <w:rPr>
                <w:sz w:val="21"/>
                <w:szCs w:val="21"/>
              </w:rPr>
              <w:t xml:space="preserve">A wrist/forearm cuff or band (3D-printed housing, PLA/PETG) configured to attach the device to the limb segment closest to the tremor source.</w:t>
            </w:r>
          </w:p>
          <w:p>
            <w:pPr>
              <w:pStyle w:val="ListParagraph"/>
              <w:numPr>
                <w:ilvl w:val="0"/>
                <w:numId w:val="1"/>
              </w:numPr>
              <w:spacing w:after="60"/>
            </w:pPr>
            <w:r>
              <w:rPr>
                <w:sz w:val="21"/>
                <w:szCs w:val="21"/>
              </w:rPr>
              <w:t xml:space="preserve">A proof mass (brass or steel slug, approx. 80–150 g in the prototype) — the secondary vibrating mass of the absorber.</w:t>
            </w:r>
          </w:p>
          <w:p>
            <w:pPr>
              <w:pStyle w:val="ListParagraph"/>
              <w:numPr>
                <w:ilvl w:val="0"/>
                <w:numId w:val="1"/>
              </w:numPr>
              <w:spacing w:after="60"/>
            </w:pPr>
            <w:r>
              <w:rPr>
                <w:sz w:val="21"/>
                <w:szCs w:val="21"/>
              </w:rPr>
              <w:t xml:space="preserve">A compliant element supporting the proof mass — a spring-steel cantilever or coil spring — which together with the proof mass defines the absorber's resonant frequency.</w:t>
            </w:r>
          </w:p>
          <w:p>
            <w:pPr>
              <w:pStyle w:val="ListParagraph"/>
              <w:numPr>
                <w:ilvl w:val="0"/>
                <w:numId w:val="1"/>
              </w:numPr>
              <w:spacing w:after="60"/>
            </w:pPr>
            <w:r>
              <w:rPr>
                <w:sz w:val="21"/>
                <w:szCs w:val="21"/>
              </w:rPr>
              <w:t xml:space="preserve">A self-tuning carriage/track assembly: the proof mass rides on a low-friction linear guide or fine lead-screw with a felt/rubber pad on one side, deliberately creating unequal (asymmetric) damping between the two travel directions.</w:t>
            </w:r>
          </w:p>
          <w:p>
            <w:pPr>
              <w:pStyle w:val="ListParagraph"/>
              <w:numPr>
                <w:ilvl w:val="0"/>
                <w:numId w:val="1"/>
              </w:numPr>
              <w:spacing w:after="60"/>
            </w:pPr>
            <w:r>
              <w:rPr>
                <w:sz w:val="21"/>
                <w:szCs w:val="21"/>
              </w:rPr>
              <w:t xml:space="preserve">No electronics, battery, sensor, or controller are present in the device itself; a test rig used only for validation (tremor-emulator shaker arm and an MPU6050 IMU) is external to the product.</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8.</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How does the Invention work?</w:t>
            </w:r>
          </w:p>
          <w:p>
            <w:r>
              <w:rPr>
                <w:i/>
                <w:iCs/>
                <w:sz w:val="19"/>
                <w:szCs w:val="19"/>
              </w:rPr>
              <w:t xml:space="preserve">(This portion deals with the working of your invention, the processes involved and the interactive actions taking place between the various components of your invention to give the desired output.)</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val="false"/>
                <w:bCs w:val="false"/>
                <w:i w:val="false"/>
                <w:iCs w:val="false"/>
                <w:sz w:val="21"/>
                <w:szCs w:val="21"/>
              </w:rPr>
              <w:t xml:space="preserve">The proof mass and compliant element form a classic tuned-mass-damper (Den Hartog dynamic vibration absorber) mounted on the wrist. The hand/forearm segment is modelled as a primary mass-spring-damper system (m₁, k₁, c₁) subjected to harmonic tremor forcing F(t) = F₀ sin(ωt); the absorber is the secondary system (m₂, k₂, c₂). When the absorber's natural frequency ω₂ = √(k₂/m₂) equals the tremor excitation frequency ω, the absorber oscillates out of phase with the limb and its reaction force cancels the tremor motion at the wrist — an anti-resonance notch (limb amplitude X₁ → 0 when ω = ω₂).</w:t>
            </w:r>
          </w:p>
          <w:p>
            <w:pPr>
              <w:spacing w:after="100"/>
            </w:pPr>
            <w:r>
              <w:rPr>
                <w:b w:val="false"/>
                <w:bCs w:val="false"/>
                <w:i w:val="false"/>
                <w:iCs w:val="false"/>
                <w:sz w:val="21"/>
                <w:szCs w:val="21"/>
              </w:rPr>
              <w:t xml:space="preserve">Because this notch is narrow, mistuning (ω₂ ≠ ω) collapses the suppression. The novel self-tuning stage corrects this passively: the effective stiffness k₂ is changed by translating the proof mass along the guide, which changes the vibrating length L of the cantilever and hence k₂ (Euler–Bernoulli: k = 3EI/L³), and therefore ω₂. Because the track has asymmetric damping in its two travel directions, residual oscillation when the device is mistuned causes the carriage to migrate (“walk”) toward the position where ω₂ matches the tremor frequency; as it approaches the tuned position the residual motion — and hence the driving force for further migration — collapses, so the carriage settles and stops automatically. No sensor measures the frequency and no controller commands a position: the physics of the coupled 2-DOF system with directional friction is itself the feedback loop, analogous to how a centrifugal governor uses the system's own state (speed) to mechanically drive a corrective action (throttle) with no external brain.</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9.</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Novelty of the Invention / Inventive Step of the Invention</w:t>
            </w:r>
          </w:p>
          <w:p>
            <w:r>
              <w:rPr>
                <w:i/>
                <w:iCs/>
                <w:sz w:val="19"/>
                <w:szCs w:val="19"/>
              </w:rPr>
              <w:t xml:space="preserve">(Please state the unique/novel aspect of your invention and how it is different and/or better than the existing technologies)</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bCs/>
                <w:sz w:val="21"/>
                <w:szCs w:val="21"/>
              </w:rPr>
              <w:t xml:space="preserve">Novelty: </w:t>
            </w:r>
            <w:r>
              <w:rPr>
                <w:sz w:val="21"/>
                <w:szCs w:val="21"/>
              </w:rPr>
              <w:t xml:space="preserve">The specific combination claimed — an asymmetric-damping walking proof mass mounted on a wrist cuff, self-tuning within a 3–8 Hz pathological-tremor band, operating without any battery, sensor or control circuitry — is not disclosed or anticipated by any single reference identified in the search conducted under Section 19.</w:t>
            </w:r>
          </w:p>
          <w:p>
            <w:pPr>
              <w:spacing w:after="100"/>
            </w:pPr>
            <w:r>
              <w:rPr>
                <w:b/>
                <w:bCs/>
                <w:sz w:val="21"/>
                <w:szCs w:val="21"/>
              </w:rPr>
              <w:t xml:space="preserve">Inventive Step: </w:t>
            </w:r>
            <w:r>
              <w:rPr>
                <w:sz w:val="21"/>
                <w:szCs w:val="21"/>
              </w:rPr>
              <w:t xml:space="preserve">The applicant combines two elements not previously combined in the art — (i) a passive, migrating-mass self-tuning absorber mechanism (as known from Wallerstein US 2,838,137, the helicopter self-tuning absorber US 6,983,833, and the whirling-beam self-tuning absorber described by Ivers, Wilson and Margolis, ASME 2008) and (ii) a wrist-worn tuned-mass-damper application to pathological hand tremor (as known from Hashemi 2004 and subsequent passive tremor bracelets). The prior-art self-tuning mechanism has been demonstrated only in machinery contexts operating at 33 Hz and above and at macroscopic excitation amplitudes; it has not been demonstrated at the 4–6 Hz frequency and sub-millimetre amplitude characteristic of pathological hand tremor. The friction-driven migration on which the mechanism depends is known in the art to require the exciting motion to exceed a minimum amplitude threshold before migration will initiate. Transfer of the mechanism to the tremor regime therefore involves a material change of operating regime rather than a routine substitution, and its operability at tremor scale is established by the applicant's analysis and is to be confirmed by prototype testing under Section 14.</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10.</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What are the advantages and improvements over the existing methods/devices?</w:t>
            </w:r>
          </w:p>
          <w:p>
            <w:r>
              <w:rPr>
                <w:i/>
                <w:iCs/>
                <w:sz w:val="19"/>
                <w:szCs w:val="19"/>
              </w:rPr>
              <w:t xml:space="preserve">(Please list advantages and improvements against closest patent and non-patent documents/products in pipeline explaining technical advancement of present invention over the existing technologies)</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pStyle w:val="ListParagraph"/>
              <w:numPr>
                <w:ilvl w:val="0"/>
                <w:numId w:val="1"/>
              </w:numPr>
              <w:spacing w:after="60"/>
            </w:pPr>
            <w:r>
              <w:rPr>
                <w:sz w:val="21"/>
                <w:szCs w:val="21"/>
              </w:rPr>
              <w:t xml:space="preserve">Vs. Teixeira et al. 2013 (closest self-tuning + tremor prior art): eliminates the hydraulic actuator, sensor and control law, yielding a truly batteryless, lighter, cheaper device with no electronics or fluid to fail, leak or maintain.</w:t>
            </w:r>
          </w:p>
          <w:p>
            <w:pPr>
              <w:pStyle w:val="ListParagraph"/>
              <w:numPr>
                <w:ilvl w:val="0"/>
                <w:numId w:val="1"/>
              </w:numPr>
              <w:spacing w:after="60"/>
            </w:pPr>
            <w:r>
              <w:rPr>
                <w:sz w:val="21"/>
                <w:szCs w:val="21"/>
              </w:rPr>
              <w:t xml:space="preserve">Vs. helicopter absorber US 6,983,833 (closest mechanism patent): adapts a 10–1,000 Hz machinery self-tuning device to the 3–8 Hz human-tremor band inside a comfortable wearable cuff — a substantial regime change requiring re-derivation of the tuning relations and, if validated, evidence the mechanism functions well outside its documented operating window.</w:t>
            </w:r>
          </w:p>
          <w:p>
            <w:pPr>
              <w:pStyle w:val="ListParagraph"/>
              <w:numPr>
                <w:ilvl w:val="0"/>
                <w:numId w:val="1"/>
              </w:numPr>
              <w:spacing w:after="60"/>
            </w:pPr>
            <w:r>
              <w:rPr>
                <w:sz w:val="21"/>
                <w:szCs w:val="21"/>
              </w:rPr>
              <w:t xml:space="preserve">Vs. fixed-tuned passive bracelets (Hashemi 2004; Gebai 2021/2023; Buki 2018; Yousef 2024): removes the need for manual screw/slot retuning; the device self-corrects when a patient's tremor frequency shifts with task or between patients, avoiding the “mistuned most of the time” limitation of published passive devices.</w:t>
            </w:r>
          </w:p>
          <w:p>
            <w:pPr>
              <w:pStyle w:val="ListParagraph"/>
              <w:numPr>
                <w:ilvl w:val="0"/>
                <w:numId w:val="1"/>
              </w:numPr>
              <w:spacing w:after="60"/>
            </w:pPr>
            <w:r>
              <w:rPr>
                <w:sz w:val="21"/>
                <w:szCs w:val="21"/>
              </w:rPr>
              <w:t xml:space="preserve">Vs. active devices (Liftware, GyroGlove, Steadiwear): no battery, no charging, silent, and potentially far lower bill-of-materials cost, with nothing electronic to fail.</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11.</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Do you have in mind other/alternative forms in which your Invention can be depicted or utilized, in addition to the one basic embodiment described above?</w:t>
            </w:r>
          </w:p>
          <w:p>
            <w:r>
              <w:rPr>
                <w:i/>
                <w:iCs/>
                <w:sz w:val="19"/>
                <w:szCs w:val="19"/>
              </w:rPr>
              <w:t xml:space="preserve">(This will lay the foundation for making your patent as broad as possible — preferred embodiments or variants.)</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pStyle w:val="ListParagraph"/>
              <w:numPr>
                <w:ilvl w:val="0"/>
                <w:numId w:val="1"/>
              </w:numPr>
              <w:spacing w:after="60"/>
            </w:pPr>
            <w:r>
              <w:rPr>
                <w:sz w:val="21"/>
                <w:szCs w:val="21"/>
              </w:rPr>
              <w:t xml:space="preserve">Compliant element as a coil spring instead of a cantilever, with the proof mass sliding to change the active coil count/effective spring rate.</w:t>
            </w:r>
          </w:p>
          <w:p>
            <w:pPr>
              <w:pStyle w:val="ListParagraph"/>
              <w:numPr>
                <w:ilvl w:val="0"/>
                <w:numId w:val="1"/>
              </w:numPr>
              <w:spacing w:after="60"/>
            </w:pPr>
            <w:r>
              <w:rPr>
                <w:sz w:val="21"/>
                <w:szCs w:val="21"/>
              </w:rPr>
              <w:t xml:space="preserve">Fulcrum-shift variant: a lever/fulcrum position is translated instead of the mass itself, achieving the same variable-stiffness effect.</w:t>
            </w:r>
          </w:p>
          <w:p>
            <w:pPr>
              <w:pStyle w:val="ListParagraph"/>
              <w:numPr>
                <w:ilvl w:val="0"/>
                <w:numId w:val="1"/>
              </w:numPr>
              <w:spacing w:after="60"/>
            </w:pPr>
            <w:r>
              <w:rPr>
                <w:sz w:val="21"/>
                <w:szCs w:val="21"/>
              </w:rPr>
              <w:t xml:space="preserve">A plurality of proof-mass/compliant-element assemblies tuned to different tremor sub-bands (e.g. rest vs postural vs kinetic tremor) mounted on one cuff.</w:t>
            </w:r>
          </w:p>
          <w:p>
            <w:pPr>
              <w:pStyle w:val="ListParagraph"/>
              <w:numPr>
                <w:ilvl w:val="0"/>
                <w:numId w:val="1"/>
              </w:numPr>
              <w:spacing w:after="60"/>
            </w:pPr>
            <w:r>
              <w:rPr>
                <w:sz w:val="21"/>
                <w:szCs w:val="21"/>
              </w:rPr>
              <w:t xml:space="preserve">Multiple assemblies arranged on non-parallel axes to suppress tremor in more than one direction simultaneously.</w:t>
            </w:r>
          </w:p>
          <w:p>
            <w:pPr>
              <w:pStyle w:val="ListParagraph"/>
              <w:numPr>
                <w:ilvl w:val="0"/>
                <w:numId w:val="1"/>
              </w:numPr>
              <w:spacing w:after="60"/>
            </w:pPr>
            <w:r>
              <w:rPr>
                <w:sz w:val="21"/>
                <w:szCs w:val="21"/>
              </w:rPr>
              <w:t xml:space="preserve">Fallback self-tuning mechanisms if pure asymmetric-damping “walking” proves too weak at low tremor energy: (a) a lower-friction lead-screw/ratchet migration mechanism; (b) a bistable/threshold-triggered discrete retune; (c) a tiny piezo-harvested nudge assist — noting this last option moves the device toward “semi-passive” and would weaken the purely-passive novelty position, so it is a last-resort fallback only.</w:t>
            </w:r>
          </w:p>
          <w:p>
            <w:pPr>
              <w:pStyle w:val="ListParagraph"/>
              <w:numPr>
                <w:ilvl w:val="0"/>
                <w:numId w:val="1"/>
              </w:numPr>
              <w:spacing w:after="60"/>
            </w:pPr>
            <w:r>
              <w:rPr>
                <w:sz w:val="21"/>
                <w:szCs w:val="21"/>
              </w:rPr>
              <w:t xml:space="preserve">Non-tremor host applications: the same passive self-tuning absorber principle could apply to any host oscillating at a slowly varying single frequency — e.g. handheld power-tool vibration, small-appliance vibration, or light structural/pipe vibration — claimed only as dependent/alternative embodiments, with the tremor application as the primary claim focus.</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12.</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Please provide final CAD images/line diagrams of the final prototype which illustrates all the essential elements of the invention.</w:t>
            </w:r>
          </w:p>
          <w:p>
            <w:r>
              <w:rPr>
                <w:i/>
                <w:iCs/>
                <w:sz w:val="19"/>
                <w:szCs w:val="19"/>
              </w:rPr>
              <w:t xml:space="preserve">(Please prepare images in two sets: one fully labelled, one without any labelling/numbering. Include relevant flow charts.)</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val="false"/>
                <w:bCs w:val="false"/>
                <w:i w:val="false"/>
                <w:iCs w:val="false"/>
                <w:sz w:val="21"/>
                <w:szCs w:val="21"/>
              </w:rPr>
              <w:t xml:space="preserve">CAD drawings and a mechanism flow chart (mistuned state → asymmetric-damping migration → tuned state → collapse of residual motion), in both labelled and unlabelled form, will be prepared upon completion of the bench prototype described in Section 14 and appended to this disclosure.</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13.</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Brief description from the researcher/inventor in his own words explaining the images/drawings.</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val="false"/>
                <w:bCs w:val="false"/>
                <w:i w:val="false"/>
                <w:iCs w:val="false"/>
                <w:sz w:val="21"/>
                <w:szCs w:val="21"/>
              </w:rPr>
              <w:t xml:space="preserve">To be provided together with the CAD drawings referenced in Section 12.</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14.</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Please give complete description including the working examples/working methodology of the invention.</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bCs/>
                <w:i w:val="false"/>
                <w:iCs w:val="false"/>
                <w:sz w:val="21"/>
                <w:szCs w:val="21"/>
              </w:rPr>
              <w:t xml:space="preserve">Governing model: 2-DOF forced vibration (limb + absorber):</w:t>
            </w:r>
          </w:p>
          <w:p>
            <w:pPr>
              <w:spacing w:after="100"/>
            </w:pPr>
            <w:r>
              <w:rPr>
                <w:b w:val="false"/>
                <w:bCs w:val="false"/>
                <w:i/>
                <w:iCs/>
                <w:sz w:val="21"/>
                <w:szCs w:val="21"/>
              </w:rPr>
              <w:t xml:space="preserve">m₁x₁'' + c₁x₁' + k₁x₁ + c₂(x₁'−x₂') + k₂(x₁−x₂) = F₀ sin(ωt)      m₂x₂'' + c₂(x₂'−x₁') + k₂(x₂−x₁) = 0</w:t>
            </w:r>
          </w:p>
          <w:p>
            <w:pPr>
              <w:spacing w:after="100"/>
            </w:pPr>
            <w:r>
              <w:rPr>
                <w:b w:val="false"/>
                <w:bCs w:val="false"/>
                <w:i w:val="false"/>
                <w:iCs w:val="false"/>
                <w:sz w:val="21"/>
                <w:szCs w:val="21"/>
              </w:rPr>
              <w:t xml:space="preserve">With absorber damping c₂ → 0, the steady-state limb amplitude is X₁k₁/F₀ = (f²−g²) / [(1+μf²−g²)(f²−g²)−μf²g²], where ω₁=√(k₁/m₁), ω₂=√(k₂/m₂), μ=m₂/m₁, g=ω/ω₁, f=ω₂/ω₁. X₁→0 exactly when g=f, i.e. ω=ω₂ — the anti-resonance notch that motivates self-tuning.</w:t>
            </w:r>
          </w:p>
          <w:p>
            <w:pPr>
              <w:spacing w:after="100"/>
            </w:pPr>
            <w:r>
              <w:rPr>
                <w:b w:val="false"/>
                <w:bCs w:val="false"/>
                <w:i w:val="false"/>
                <w:iCs w:val="false"/>
                <w:sz w:val="21"/>
                <w:szCs w:val="21"/>
              </w:rPr>
              <w:t xml:space="preserve">For a band of excitation, Den Hartog fixed-points optimal tuning: f_opt = 1/(1+μ); optimal damping ratio ζ_opt = √(3μ / [8(1+μ)³]).</w:t>
            </w:r>
          </w:p>
          <w:p>
            <w:pPr>
              <w:spacing w:after="100"/>
            </w:pPr>
            <w:r>
              <w:rPr>
                <w:b w:val="false"/>
                <w:bCs w:val="false"/>
                <w:i w:val="false"/>
                <w:iCs w:val="false"/>
                <w:sz w:val="21"/>
                <w:szCs w:val="21"/>
              </w:rPr>
              <w:t xml:space="preserve">Self-tuning kinematics: carriage position s sets the cantilever's vibrating length L(s); k₂(s) ∝ 1/L(s)³ (Euler–Bernoulli k=3EI/L³), giving an explicit map from carriage position to tuned frequency ω₂(s). Because migration (slow, ṡ) and oscillation (fast, ẋ₂, ẍ₂) are superposed on a moving carriage, a Coriolis acceleration term 2·ṡ·ω arises in the full kinematic analysis.</w:t>
            </w:r>
          </w:p>
          <w:p>
            <w:pPr>
              <w:spacing w:after="100"/>
            </w:pPr>
            <w:r>
              <w:rPr>
                <w:b w:val="false"/>
                <w:bCs w:val="false"/>
                <w:i w:val="false"/>
                <w:iCs w:val="false"/>
                <w:sz w:val="21"/>
                <w:szCs w:val="21"/>
              </w:rPr>
              <w:t xml:space="preserve">Worked sizing example: for a target frequency f = 5 Hz and proof mass m = 0.1 kg, required stiffness k = (2πf)²m ≈ 99 N/m.</w:t>
            </w:r>
          </w:p>
          <w:p>
            <w:pPr>
              <w:spacing w:after="100"/>
            </w:pPr>
            <w:r>
              <w:rPr>
                <w:b w:val="false"/>
                <w:bCs w:val="false"/>
                <w:i w:val="false"/>
                <w:iCs w:val="false"/>
                <w:sz w:val="21"/>
                <w:szCs w:val="21"/>
              </w:rPr>
              <w:t xml:space="preserve">Proposed bench validation methodology (test rig only — not part of the product): a servo/shaker “tremor emulator” replays recorded PD/ET tremor waveforms; an MPU6050 IMU on the emulator arm records acceleration with and without the device. Metric: % reduction in RMS acceleration in the tremor band, device on vs off, and across a frequency sweep to demonstrate that the carriage migrates and re-suppresses on its own. Planned tests: (1) fixed-frequency test at 5 Hz to confirm the notch; (2) frequency-sweep/step test — the make-or-break experiment for the self-tuning claim, capturing carriage position vs time; (3) mass-ratio and damping sweeps compared against the Den Hartog prediction.</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15.</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Please provide details of experiments conducted / third party validation data if any.</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val="false"/>
                <w:bCs w:val="false"/>
                <w:i w:val="false"/>
                <w:iCs w:val="false"/>
                <w:sz w:val="21"/>
                <w:szCs w:val="21"/>
              </w:rPr>
              <w:t xml:space="preserve">The governing equations of motion, the anti-resonance condition and the Den Hartog tuning relations have been derived and verified analytically. No physical prototype has yet been constructed and no experimental or third-party validation data currently exists. The frequency-sweep/step test described in Section 14 is to be conducted to establish that the self-tuning mechanism functions at tremor-scale amplitude and frequency, and its results are to be appended to this disclosure prior to conversion to a complete specification.</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16.</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Please provide details of any public disclosure done / any publication made.</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val="false"/>
                <w:bCs w:val="false"/>
                <w:i w:val="false"/>
                <w:iCs w:val="false"/>
                <w:sz w:val="21"/>
                <w:szCs w:val="21"/>
              </w:rPr>
              <w:t xml:space="preserve">The work originated as a Kinematics and Dynamics of Machines (BMEE207L) course project at VIT Chennai. To the applicants' knowledge, it has not been publicly disclosed, published, or presented outside the internal course-review process. The exact dates of any internal review presentations are to be confirmed by the applicants prior to filing.</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17.</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What is the stage/level of development of the Invention?</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bCs/>
                <w:sz w:val="21"/>
                <w:szCs w:val="21"/>
              </w:rPr>
              <w:t xml:space="preserve">a. At a basic conceptualization stage? — </w:t>
            </w:r>
            <w:r>
              <w:rPr>
                <w:sz w:val="21"/>
                <w:szCs w:val="21"/>
              </w:rPr>
              <w:t xml:space="preserve">Yes. The working principle, governing equations, anti-resonance/self-tuning theory and a bill-of-materials/prototype plan have been fully worked out on paper.</w:t>
            </w:r>
          </w:p>
          <w:p>
            <w:pPr>
              <w:spacing w:after="100"/>
            </w:pPr>
            <w:r>
              <w:rPr>
                <w:b/>
                <w:bCs/>
                <w:sz w:val="21"/>
                <w:szCs w:val="21"/>
              </w:rPr>
              <w:t xml:space="preserve">b. Completed and results validated? — </w:t>
            </w:r>
            <w:r>
              <w:rPr>
                <w:sz w:val="21"/>
                <w:szCs w:val="21"/>
              </w:rPr>
              <w:t xml:space="preserve">No. No physical prototype exists and no experiment has been run; see Sections 15 and 26.</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18.</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What are the aspects of your disclosure that you want to claim/monopolize? (Proposed Claims)</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bCs/>
                <w:i w:val="false"/>
                <w:iCs w:val="false"/>
                <w:sz w:val="21"/>
                <w:szCs w:val="21"/>
              </w:rPr>
              <w:t xml:space="preserve">Independent (device) — drafting starting point only, wording/scope to be finalised by a registered patent agent:</w:t>
            </w:r>
          </w:p>
          <w:p>
            <w:pPr>
              <w:spacing w:after="100"/>
            </w:pPr>
            <w:r>
              <w:rPr>
                <w:b w:val="false"/>
                <w:bCs w:val="false"/>
                <w:i/>
                <w:iCs/>
                <w:sz w:val="21"/>
                <w:szCs w:val="21"/>
              </w:rPr>
              <w:t xml:space="preserve">“A wearable tremor-suppression device comprising: a band configured to attach to a limb segment of a user; a proof mass supported by a compliant element such that the proof mass and compliant element together define a resonant frequency lying within a pathological-tremor frequency band; and a self-tuning mechanism arranged to translate the proof mass relative to the band so as to vary said resonant frequency, wherein the self-tuning mechanism is driven solely by tremor-induced motion of the device and operates without any external power source, electrical sensor, or control circuitry, such that the resonant frequency passively converges toward the instantaneous tremor frequency of the user.”</w:t>
            </w:r>
          </w:p>
          <w:p>
            <w:pPr>
              <w:spacing w:after="100"/>
            </w:pPr>
            <w:r>
              <w:rPr>
                <w:b/>
                <w:bCs/>
                <w:i w:val="false"/>
                <w:iCs w:val="false"/>
                <w:sz w:val="21"/>
                <w:szCs w:val="21"/>
              </w:rPr>
              <w:t xml:space="preserve">Dependent claims (examples):</w:t>
            </w:r>
          </w:p>
          <w:p>
            <w:pPr>
              <w:pStyle w:val="ListParagraph"/>
              <w:numPr>
                <w:ilvl w:val="0"/>
                <w:numId w:val="1"/>
              </w:numPr>
              <w:spacing w:after="60"/>
            </w:pPr>
            <w:r>
              <w:rPr>
                <w:sz w:val="21"/>
                <w:szCs w:val="21"/>
              </w:rPr>
              <w:t xml:space="preserve">The self-tuning mechanism comprises a carriage on a guide with asymmetric damping in opposite travel directions, causing the carriage to migrate toward a tuned position under mistuned oscillation.</w:t>
            </w:r>
          </w:p>
          <w:p>
            <w:pPr>
              <w:pStyle w:val="ListParagraph"/>
              <w:numPr>
                <w:ilvl w:val="0"/>
                <w:numId w:val="1"/>
              </w:numPr>
              <w:spacing w:after="60"/>
            </w:pPr>
            <w:r>
              <w:rPr>
                <w:sz w:val="21"/>
                <w:szCs w:val="21"/>
              </w:rPr>
              <w:t xml:space="preserve">The compliant element is a cantilever beam and translation of the proof mass changes its effective vibrating length and thereby its stiffness.</w:t>
            </w:r>
          </w:p>
          <w:p>
            <w:pPr>
              <w:pStyle w:val="ListParagraph"/>
              <w:numPr>
                <w:ilvl w:val="0"/>
                <w:numId w:val="1"/>
              </w:numPr>
              <w:spacing w:after="60"/>
            </w:pPr>
            <w:r>
              <w:rPr>
                <w:sz w:val="21"/>
                <w:szCs w:val="21"/>
              </w:rPr>
              <w:t xml:space="preserve">The pathological-tremor frequency band is between 3 Hz and 8 Hz.</w:t>
            </w:r>
          </w:p>
          <w:p>
            <w:pPr>
              <w:pStyle w:val="ListParagraph"/>
              <w:numPr>
                <w:ilvl w:val="0"/>
                <w:numId w:val="1"/>
              </w:numPr>
              <w:spacing w:after="60"/>
            </w:pPr>
            <w:r>
              <w:rPr>
                <w:sz w:val="21"/>
                <w:szCs w:val="21"/>
              </w:rPr>
              <w:t xml:space="preserve">Further comprising a damping element sized to provide fixed-points-optimal (Den Hartog) damping for a specified mass ratio.</w:t>
            </w:r>
          </w:p>
          <w:p>
            <w:pPr>
              <w:pStyle w:val="ListParagraph"/>
              <w:numPr>
                <w:ilvl w:val="0"/>
                <w:numId w:val="1"/>
              </w:numPr>
              <w:spacing w:after="60"/>
            </w:pPr>
            <w:r>
              <w:rPr>
                <w:sz w:val="21"/>
                <w:szCs w:val="21"/>
              </w:rPr>
              <w:t xml:space="preserve">A plurality of proof-mass/compliant-element assemblies tuned to different sub-bands (e.g. rest vs postural tremor).</w:t>
            </w:r>
          </w:p>
          <w:p>
            <w:pPr>
              <w:pStyle w:val="ListParagraph"/>
              <w:numPr>
                <w:ilvl w:val="0"/>
                <w:numId w:val="1"/>
              </w:numPr>
              <w:spacing w:after="60"/>
            </w:pPr>
            <w:r>
              <w:rPr>
                <w:sz w:val="21"/>
                <w:szCs w:val="21"/>
              </w:rPr>
              <w:t xml:space="preserve">Assemblies arranged on non-parallel axes to suppress tremor in more than one direction.</w:t>
            </w:r>
          </w:p>
          <w:p>
            <w:pPr>
              <w:pStyle w:val="ListParagraph"/>
              <w:numPr>
                <w:ilvl w:val="0"/>
                <w:numId w:val="1"/>
              </w:numPr>
              <w:spacing w:after="60"/>
            </w:pPr>
            <w:r>
              <w:rPr>
                <w:sz w:val="21"/>
                <w:szCs w:val="21"/>
              </w:rPr>
              <w:t xml:space="preserve">The band is a wrist or forearm cuff and total device mass is between 50 g and 300 g.</w:t>
            </w:r>
          </w:p>
          <w:p>
            <w:pPr>
              <w:pStyle w:val="ListParagraph"/>
              <w:numPr>
                <w:ilvl w:val="0"/>
                <w:numId w:val="1"/>
              </w:numPr>
              <w:spacing w:after="60"/>
            </w:pPr>
            <w:r>
              <w:rPr>
                <w:sz w:val="21"/>
                <w:szCs w:val="21"/>
              </w:rPr>
              <w:t xml:space="preserve">Method claim: a method of passively suppressing limb tremor comprising attaching such a device and allowing the resonant frequency to self-converge to the tremor frequency without external power.</w:t>
            </w:r>
          </w:p>
          <w:p>
            <w:pPr>
              <w:spacing w:after="100"/>
            </w:pPr>
            <w:r>
              <w:rPr>
                <w:b w:val="false"/>
                <w:bCs w:val="false"/>
                <w:i w:val="false"/>
                <w:iCs w:val="false"/>
                <w:sz w:val="21"/>
                <w:szCs w:val="21"/>
              </w:rPr>
              <w:t xml:space="preserve">The foregoing claims represent a drafting starting point. Final claim scope is to be settled by a registered patent agent following the professional novelty search referred to in Section 19.</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19.</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Have you conducted a novelty/inventiveness search for your invention? If yes, what are the databases/references used and what are the search results?</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val="false"/>
                <w:bCs w:val="false"/>
                <w:i w:val="false"/>
                <w:iCs w:val="false"/>
                <w:sz w:val="21"/>
                <w:szCs w:val="21"/>
              </w:rPr>
              <w:t xml:space="preserve">A preliminary search was conducted using Google Patents, Espacenet, and publicly accessible academic literature databases (IEEE, ASME, MDPI, Sage, ScienceDirect, PubMed/PMC). A professional search on the Indian Patent Office e-register, WIPO Patentscope, USPTO, FreePatentsOnline and Lens.org is to be conducted by a registered patent agent prior to conversion to a complete specification.</w:t>
            </w:r>
          </w:p>
          <w:tbl>
            <w:tblPr>
              <w:tblW w:type="dxa" w:w="941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600"/>
              <w:gridCol w:w="3900"/>
            </w:tblGrid>
            <w:tr>
              <w:trPr>
                <w:tblHeader/>
              </w:trPr>
              <w:tc>
                <w:tcPr>
                  <w:tcW w:type="dxa" w:w="500"/>
                  <w:tcBorders>
                    <w:top w:val="single" w:color="808080" w:sz="4"/>
                    <w:left w:val="single" w:color="808080" w:sz="4"/>
                    <w:bottom w:val="single" w:color="808080" w:sz="4"/>
                    <w:right w:val="single" w:color="808080" w:sz="4"/>
                  </w:tcBorders>
                  <w:shd w:fill="EFEFEF" w:val="clear"/>
                  <w:tcMar>
                    <w:top w:type="dxa" w:w="60"/>
                    <w:left w:type="dxa" w:w="80"/>
                    <w:bottom w:type="dxa" w:w="60"/>
                    <w:right w:type="dxa" w:w="80"/>
                  </w:tcMar>
                </w:tcPr>
                <w:p>
                  <w:r>
                    <w:rPr>
                      <w:b/>
                      <w:bCs/>
                      <w:sz w:val="19"/>
                      <w:szCs w:val="19"/>
                    </w:rPr>
                    <w:t xml:space="preserve">Sno</w:t>
                  </w:r>
                </w:p>
              </w:tc>
              <w:tc>
                <w:tcPr>
                  <w:tcW w:type="dxa" w:w="3300"/>
                  <w:tcBorders>
                    <w:top w:val="single" w:color="808080" w:sz="4"/>
                    <w:left w:val="single" w:color="808080" w:sz="4"/>
                    <w:bottom w:val="single" w:color="808080" w:sz="4"/>
                    <w:right w:val="single" w:color="808080" w:sz="4"/>
                  </w:tcBorders>
                  <w:shd w:fill="EFEFEF" w:val="clear"/>
                  <w:tcMar>
                    <w:top w:type="dxa" w:w="60"/>
                    <w:left w:type="dxa" w:w="80"/>
                    <w:bottom w:type="dxa" w:w="60"/>
                    <w:right w:type="dxa" w:w="80"/>
                  </w:tcMar>
                </w:tcPr>
                <w:p>
                  <w:r>
                    <w:rPr>
                      <w:b/>
                      <w:bCs/>
                      <w:sz w:val="19"/>
                      <w:szCs w:val="19"/>
                    </w:rPr>
                    <w:t xml:space="preserve">Reference</w:t>
                  </w:r>
                </w:p>
              </w:tc>
              <w:tc>
                <w:tcPr>
                  <w:tcW w:type="dxa" w:w="3600"/>
                  <w:tcBorders>
                    <w:top w:val="single" w:color="808080" w:sz="4"/>
                    <w:left w:val="single" w:color="808080" w:sz="4"/>
                    <w:bottom w:val="single" w:color="808080" w:sz="4"/>
                    <w:right w:val="single" w:color="808080" w:sz="4"/>
                  </w:tcBorders>
                  <w:shd w:fill="EFEFEF" w:val="clear"/>
                  <w:tcMar>
                    <w:top w:type="dxa" w:w="60"/>
                    <w:left w:type="dxa" w:w="80"/>
                    <w:bottom w:type="dxa" w:w="60"/>
                    <w:right w:type="dxa" w:w="80"/>
                  </w:tcMar>
                </w:tcPr>
                <w:p>
                  <w:r>
                    <w:rPr>
                      <w:b/>
                      <w:bCs/>
                      <w:sz w:val="19"/>
                      <w:szCs w:val="19"/>
                    </w:rPr>
                    <w:t xml:space="preserve">Existing Idea</w:t>
                  </w:r>
                </w:p>
              </w:tc>
              <w:tc>
                <w:tcPr>
                  <w:tcW w:type="dxa" w:w="3900"/>
                  <w:tcBorders>
                    <w:top w:val="single" w:color="808080" w:sz="4"/>
                    <w:left w:val="single" w:color="808080" w:sz="4"/>
                    <w:bottom w:val="single" w:color="808080" w:sz="4"/>
                    <w:right w:val="single" w:color="808080" w:sz="4"/>
                  </w:tcBorders>
                  <w:shd w:fill="EFEFEF" w:val="clear"/>
                  <w:tcMar>
                    <w:top w:type="dxa" w:w="60"/>
                    <w:left w:type="dxa" w:w="80"/>
                    <w:bottom w:type="dxa" w:w="60"/>
                    <w:right w:type="dxa" w:w="80"/>
                  </w:tcMar>
                </w:tcPr>
                <w:p>
                  <w:r>
                    <w:rPr>
                      <w:b/>
                      <w:bCs/>
                      <w:sz w:val="19"/>
                      <w:szCs w:val="19"/>
                    </w:rPr>
                    <w:t xml:space="preserve">Our Invention</w:t>
                  </w:r>
                </w:p>
              </w:tc>
            </w:tr>
            <w:tr>
              <w:tc>
                <w:tcPr>
                  <w:tcW w:type="dxa" w:w="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1</w:t>
                  </w:r>
                </w:p>
              </w:tc>
              <w:tc>
                <w:tcPr>
                  <w:tcW w:type="dxa" w:w="3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US 2,838,137 (Wallerstein, 1958)</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Passive self-tuning absorber, migrating mass, for machinery</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Same passive principle, re-embodied as a wrist-worn absorber tuned to 3–8 Hz tremor</w:t>
                  </w:r>
                </w:p>
              </w:tc>
            </w:tr>
            <w:tr>
              <w:tc>
                <w:tcPr>
                  <w:tcW w:type="dxa" w:w="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2</w:t>
                  </w:r>
                </w:p>
              </w:tc>
              <w:tc>
                <w:tcPr>
                  <w:tcW w:type="dxa" w:w="3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US 6,983,833 / US 2004/0108443A1 (helicopter absorber)</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Asymmetric-damping “walking” mass, self-tuning, 10–1,000 Hz</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Asymmetric-damping walking mass self-tuning at 4–6 Hz tremor, on a limb cuff</w:t>
                  </w:r>
                </w:p>
              </w:tc>
            </w:tr>
            <w:tr>
              <w:tc>
                <w:tcPr>
                  <w:tcW w:type="dxa" w:w="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3</w:t>
                  </w:r>
                </w:p>
              </w:tc>
              <w:tc>
                <w:tcPr>
                  <w:tcW w:type="dxa" w:w="3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Ivers, Wilson &amp; Margolis, ASME 2008 (whirling-beam STVA)</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Passive self-tuning absorber, no power/control, validated ~33–42 Hz</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Same zero-power self-tuning principle, transferred to low-frequency, low-amplitude human tremor</w:t>
                  </w:r>
                </w:p>
              </w:tc>
            </w:tr>
            <w:tr>
              <w:tc>
                <w:tcPr>
                  <w:tcW w:type="dxa" w:w="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4</w:t>
                  </w:r>
                </w:p>
              </w:tc>
              <w:tc>
                <w:tcPr>
                  <w:tcW w:type="dxa" w:w="3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Teixeira et al., IEEE ENBENG 2013</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Self-tuning DVA for PD tremor using hydraulics + control law</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Self-tuning for PD tremor with no power, no sensor, no control law</w:t>
                  </w:r>
                </w:p>
              </w:tc>
            </w:tr>
            <w:tr>
              <w:tc>
                <w:tcPr>
                  <w:tcW w:type="dxa" w:w="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5</w:t>
                  </w:r>
                </w:p>
              </w:tc>
              <w:tc>
                <w:tcPr>
                  <w:tcW w:type="dxa" w:w="3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Hashemi 2004; Gebai 2021/2023; Buki 2018</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Passive fixed-tuned cantilever TMD tremor bracelet</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Adds passive self-tuning so the device is not permanently mistuned</w:t>
                  </w:r>
                </w:p>
              </w:tc>
            </w:tr>
            <w:tr>
              <w:tc>
                <w:tcPr>
                  <w:tcW w:type="dxa" w:w="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6</w:t>
                  </w:r>
                </w:p>
              </w:tc>
              <w:tc>
                <w:tcPr>
                  <w:tcW w:type="dxa" w:w="3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Yousef et al. 2024</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Multi-slot passive bracelet, manual discrete 3–8 Hz tuning</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Continuous, automatic tuning driven by the tremor itself</w:t>
                  </w:r>
                </w:p>
              </w:tc>
            </w:tr>
            <w:tr>
              <w:tc>
                <w:tcPr>
                  <w:tcW w:type="dxa" w:w="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7</w:t>
                  </w:r>
                </w:p>
              </w:tc>
              <w:tc>
                <w:tcPr>
                  <w:tcW w:type="dxa" w:w="3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Shah, US provisional 63/487,108</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Passive broadband/omnidirectional T/V-beam absorber</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Single-DOF self-tuning walking mass rather than a broadband beam</w:t>
                  </w:r>
                </w:p>
              </w:tc>
            </w:tr>
            <w:tr>
              <w:tc>
                <w:tcPr>
                  <w:tcW w:type="dxa" w:w="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8</w:t>
                  </w:r>
                </w:p>
              </w:tc>
              <w:tc>
                <w:tcPr>
                  <w:tcW w:type="dxa" w:w="3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GyroGear, US 12,411,009 / US 12,508,199</w:t>
                  </w:r>
                </w:p>
              </w:tc>
              <w:tc>
                <w:tcPr>
                  <w:tcW w:type="dxa" w:w="36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Powered gyroscopic hand-tremor stabiliser</w:t>
                  </w:r>
                </w:p>
              </w:tc>
              <w:tc>
                <w:tcPr>
                  <w:tcW w:type="dxa" w:w="39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Unpowered mechanical resonant absorber, no gyroscope</w:t>
                  </w:r>
                </w:p>
              </w:tc>
            </w:tr>
          </w:tbl>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20.</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Do you feel that a person of “average” skill (not extraordinary skill) in your area of technology would have arrived at your invention with existing knowledge in the public domain? If no, what could be the reasons for the same?</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val="false"/>
                <w:bCs w:val="false"/>
                <w:i w:val="false"/>
                <w:iCs w:val="false"/>
                <w:sz w:val="21"/>
                <w:szCs w:val="21"/>
              </w:rPr>
              <w:t xml:space="preserve">A person of ordinary skill in vibration engineering would be aware that passive tuned-mass dampers suffer from narrow-band mistuning, and would be aware of the self-tuning absorber mechanisms described in Section 5. The combination of these two known elements, considered in the abstract, follows a well-mapped solution space and would not, without more, constitute an inventive step.</w:t>
            </w:r>
          </w:p>
          <w:p>
            <w:pPr>
              <w:spacing w:after="100"/>
            </w:pPr>
            <w:r>
              <w:rPr>
                <w:b w:val="false"/>
                <w:bCs w:val="false"/>
                <w:i w:val="false"/>
                <w:iCs w:val="false"/>
                <w:sz w:val="21"/>
                <w:szCs w:val="21"/>
              </w:rPr>
              <w:t xml:space="preserve">However, the self-tuning mechanism in question has been reduced to practice only at frequencies of 33 Hz and above and at macroscopic excitation amplitudes. The friction-driven migration on which it depends is known to require the exciting motion to exceed a minimum amplitude threshold before migration will initiate. A person of ordinary skill, applying the known mechanism to a 4–6 Hz, sub-millimetre-amplitude tremor input without the benefit of hindsight, would not have a reasonable expectation that the mechanism would operate successfully. The applicant's demonstration that it does so operate, to be confirmed by the prototype testing referred to in Section 14, constitutes the basis for the inventive step.</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21.</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Kindly provide broad workable ranges for all the parameters involved in your invention.</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tbl>
            <w:tblPr>
              <w:tblW w:type="dxa" w:w="941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4200"/>
            </w:tblGrid>
            <w:tr>
              <w:trPr>
                <w:tblHeader/>
              </w:trPr>
              <w:tc>
                <w:tcPr>
                  <w:tcW w:type="dxa" w:w="2400"/>
                  <w:tcBorders>
                    <w:top w:val="single" w:color="808080" w:sz="4"/>
                    <w:left w:val="single" w:color="808080" w:sz="4"/>
                    <w:bottom w:val="single" w:color="808080" w:sz="4"/>
                    <w:right w:val="single" w:color="808080" w:sz="4"/>
                  </w:tcBorders>
                  <w:shd w:fill="EFEFEF" w:val="clear"/>
                  <w:tcMar>
                    <w:top w:type="dxa" w:w="60"/>
                    <w:left w:type="dxa" w:w="80"/>
                    <w:bottom w:type="dxa" w:w="60"/>
                    <w:right w:type="dxa" w:w="80"/>
                  </w:tcMar>
                </w:tcPr>
                <w:p>
                  <w:r>
                    <w:rPr>
                      <w:b/>
                      <w:bCs/>
                      <w:sz w:val="19"/>
                      <w:szCs w:val="19"/>
                    </w:rPr>
                    <w:t xml:space="preserve">Parameter</w:t>
                  </w:r>
                </w:p>
              </w:tc>
              <w:tc>
                <w:tcPr>
                  <w:tcW w:type="dxa" w:w="3700"/>
                  <w:tcBorders>
                    <w:top w:val="single" w:color="808080" w:sz="4"/>
                    <w:left w:val="single" w:color="808080" w:sz="4"/>
                    <w:bottom w:val="single" w:color="808080" w:sz="4"/>
                    <w:right w:val="single" w:color="808080" w:sz="4"/>
                  </w:tcBorders>
                  <w:shd w:fill="EFEFEF" w:val="clear"/>
                  <w:tcMar>
                    <w:top w:type="dxa" w:w="60"/>
                    <w:left w:type="dxa" w:w="80"/>
                    <w:bottom w:type="dxa" w:w="60"/>
                    <w:right w:type="dxa" w:w="80"/>
                  </w:tcMar>
                </w:tcPr>
                <w:p>
                  <w:r>
                    <w:rPr>
                      <w:b/>
                      <w:bCs/>
                      <w:sz w:val="19"/>
                      <w:szCs w:val="19"/>
                    </w:rPr>
                    <w:t xml:space="preserve">Workable Range</w:t>
                  </w:r>
                </w:p>
              </w:tc>
              <w:tc>
                <w:tcPr>
                  <w:tcW w:type="dxa" w:w="4200"/>
                  <w:tcBorders>
                    <w:top w:val="single" w:color="808080" w:sz="4"/>
                    <w:left w:val="single" w:color="808080" w:sz="4"/>
                    <w:bottom w:val="single" w:color="808080" w:sz="4"/>
                    <w:right w:val="single" w:color="808080" w:sz="4"/>
                  </w:tcBorders>
                  <w:shd w:fill="EFEFEF" w:val="clear"/>
                  <w:tcMar>
                    <w:top w:type="dxa" w:w="60"/>
                    <w:left w:type="dxa" w:w="80"/>
                    <w:bottom w:type="dxa" w:w="60"/>
                    <w:right w:type="dxa" w:w="80"/>
                  </w:tcMar>
                </w:tcPr>
                <w:p>
                  <w:r>
                    <w:rPr>
                      <w:b/>
                      <w:bCs/>
                      <w:sz w:val="19"/>
                      <w:szCs w:val="19"/>
                    </w:rPr>
                    <w:t xml:space="preserve">Basis</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Tremor frequency band</w:t>
                  </w:r>
                </w:p>
              </w:tc>
              <w:tc>
                <w:tcPr>
                  <w:tcW w:type="dxa" w:w="3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3–8 Hz (PD rest ~4–6 Hz; ET ~5–8 Hz)</w:t>
                  </w:r>
                </w:p>
              </w:tc>
              <w:tc>
                <w:tcPr>
                  <w:tcW w:type="dxa" w:w="4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Clinical/neurology literature; design target used in Section 5/6 references</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Proof mass (m₂)</w:t>
                  </w:r>
                </w:p>
              </w:tc>
              <w:tc>
                <w:tcPr>
                  <w:tcW w:type="dxa" w:w="3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~80–150 g in prototype; literature spans 14 g–530 g</w:t>
                  </w:r>
                </w:p>
              </w:tc>
              <w:tc>
                <w:tcPr>
                  <w:tcW w:type="dxa" w:w="4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Gebai (14.13 g) to Rudraraju &amp; Nguyen (530 g)</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Mass ratio (μ = m₂/m₁)</w:t>
                  </w:r>
                </w:p>
              </w:tc>
              <w:tc>
                <w:tcPr>
                  <w:tcW w:type="dxa" w:w="3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5%–30% (practical); literature 15.7%–31.4%</w:t>
                  </w:r>
                </w:p>
              </w:tc>
              <w:tc>
                <w:tcPr>
                  <w:tcW w:type="dxa" w:w="4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Gebai (15.7%); Rudraraju &amp; Nguyen (31.4%)</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Stiffness (k₂)</w:t>
                  </w:r>
                </w:p>
              </w:tc>
              <w:tc>
                <w:tcPr>
                  <w:tcW w:type="dxa" w:w="3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~40–250 N/m across 3–8 Hz at m=0.1 kg (e.g. ≈ 99 N/m at 5 Hz)</w:t>
                  </w:r>
                </w:p>
              </w:tc>
              <w:tc>
                <w:tcPr>
                  <w:tcW w:type="dxa" w:w="4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k = (2πf)²m</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Damping ratio (ζ)</w:t>
                  </w:r>
                </w:p>
              </w:tc>
              <w:tc>
                <w:tcPr>
                  <w:tcW w:type="dxa" w:w="3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ζ_opt = √(3μ/[8(1+μ)³]) (≈ 0.13 at μ = 0.1); asymmetric two-direction damping required for walking</w:t>
                  </w:r>
                </w:p>
              </w:tc>
              <w:tc>
                <w:tcPr>
                  <w:tcW w:type="dxa" w:w="4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Den Hartog fixed-points theory</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Total device mass</w:t>
                  </w:r>
                </w:p>
              </w:tc>
              <w:tc>
                <w:tcPr>
                  <w:tcW w:type="dxa" w:w="3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50–300 g target</w:t>
                  </w:r>
                </w:p>
              </w:tc>
              <w:tc>
                <w:tcPr>
                  <w:tcW w:type="dxa" w:w="4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Comfort/fatigue limits; active-orthosis mass-addition literature</w:t>
                  </w:r>
                </w:p>
              </w:tc>
            </w:tr>
            <w:tr>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Carriage travel</w:t>
                  </w:r>
                </w:p>
              </w:tc>
              <w:tc>
                <w:tcPr>
                  <w:tcW w:type="dxa" w:w="3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Must span the k₂ range needed for 3–8 Hz via k₂ ∝ 1/L³ — to be quantified by prototype</w:t>
                  </w:r>
                </w:p>
              </w:tc>
              <w:tc>
                <w:tcPr>
                  <w:tcW w:type="dxa" w:w="4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Design inference; not yet experimentally fixed</w:t>
                  </w:r>
                </w:p>
              </w:tc>
            </w:tr>
          </w:tbl>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22.</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Commercialization Data</w:t>
            </w:r>
          </w:p>
          <w:p>
            <w:r>
              <w:rPr>
                <w:i/>
                <w:iCs/>
                <w:sz w:val="19"/>
                <w:szCs w:val="19"/>
              </w:rPr>
              <w:t xml:space="preserve">(at least a minimum of 2 companies must be provided and preferably up to 5)</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bCs/>
                <w:sz w:val="21"/>
                <w:szCs w:val="21"/>
              </w:rPr>
              <w:t xml:space="preserve">a. Names and complete addresses of companies which might be interested in commercial manufacture:</w:t>
            </w:r>
            <w:r>
              <w:rPr>
                <w:sz w:val="21"/>
                <w:szCs w:val="21"/>
              </w:rPr>
              <w:t xml:space="preserve"/>
            </w:r>
          </w:p>
          <w:p>
            <w:pPr>
              <w:pStyle w:val="ListParagraph"/>
              <w:numPr>
                <w:ilvl w:val="0"/>
                <w:numId w:val="1"/>
              </w:numPr>
              <w:spacing w:after="60"/>
            </w:pPr>
            <w:r>
              <w:rPr>
                <w:sz w:val="21"/>
                <w:szCs w:val="21"/>
              </w:rPr>
              <w:t xml:space="preserve">1. Lifespark Technologies Pvt. Ltd. — Room No. 6019, 6th Floor, Rahul Bajaj Technology Innovation Centre (RBTIC), IIT Bombay Campus, Powai, Mumbai, Maharashtra 400076, India.</w:t>
            </w:r>
          </w:p>
          <w:p>
            <w:pPr>
              <w:pStyle w:val="ListParagraph"/>
              <w:numPr>
                <w:ilvl w:val="0"/>
                <w:numId w:val="1"/>
              </w:numPr>
              <w:spacing w:after="60"/>
            </w:pPr>
            <w:r>
              <w:rPr>
                <w:sz w:val="21"/>
                <w:szCs w:val="21"/>
              </w:rPr>
              <w:t xml:space="preserve">2. Steadiwear Inc. — 100 College St, Suite 302, Toronto, ON M5G 1L5, Canada.</w:t>
            </w:r>
          </w:p>
          <w:p>
            <w:pPr>
              <w:pStyle w:val="ListParagraph"/>
              <w:numPr>
                <w:ilvl w:val="0"/>
                <w:numId w:val="1"/>
              </w:numPr>
              <w:spacing w:after="60"/>
            </w:pPr>
            <w:r>
              <w:rPr>
                <w:sz w:val="21"/>
                <w:szCs w:val="21"/>
              </w:rPr>
              <w:t xml:space="preserve">3. GyroGear Ltd. — London, United Kingdom (registered company no. 10065147). Full street address not verified from available public sources.</w:t>
            </w:r>
          </w:p>
          <w:p>
            <w:pPr>
              <w:pStyle w:val="ListParagraph"/>
              <w:numPr>
                <w:ilvl w:val="0"/>
                <w:numId w:val="1"/>
              </w:numPr>
              <w:spacing w:after="60"/>
            </w:pPr>
            <w:r>
              <w:rPr>
                <w:sz w:val="21"/>
                <w:szCs w:val="21"/>
              </w:rPr>
              <w:t xml:space="preserve">4. Verily Life Sciences LLC (Liftware) — South San Francisco, California, USA. Full street address not verified from available public sources.</w:t>
            </w:r>
          </w:p>
          <w:p>
            <w:pPr>
              <w:pStyle w:val="ListParagraph"/>
              <w:numPr>
                <w:ilvl w:val="0"/>
                <w:numId w:val="1"/>
              </w:numPr>
              <w:spacing w:after="60"/>
            </w:pPr>
            <w:r>
              <w:rPr>
                <w:sz w:val="21"/>
                <w:szCs w:val="21"/>
              </w:rPr>
              <w:t xml:space="preserve">5. Cala Health, Inc. — San Mateo, California, USA. Full street address not verified from available public sources.</w:t>
            </w:r>
          </w:p>
          <w:p>
            <w:pPr>
              <w:spacing w:after="100"/>
            </w:pPr>
            <w:r>
              <w:rPr>
                <w:b w:val="false"/>
                <w:bCs w:val="false"/>
                <w:i/>
                <w:iCs/>
                <w:sz w:val="21"/>
                <w:szCs w:val="21"/>
              </w:rPr>
              <w:t xml:space="preserve">Indian incubator/manufacturing alternative: BETiC (Biomedical Engineering and Technology Innovation Centre), IIT Bombay, Powai, Mumbai 400076 — a medical-device innovation network that has licensed 20+ devices to industry.</w:t>
            </w:r>
          </w:p>
          <w:p>
            <w:pPr>
              <w:spacing w:after="100"/>
            </w:pPr>
            <w:r>
              <w:rPr>
                <w:b/>
                <w:bCs/>
                <w:sz w:val="21"/>
                <w:szCs w:val="21"/>
              </w:rPr>
              <w:t xml:space="preserve">b. Short marketing profile / advantages vis-à-vis prior art: </w:t>
            </w:r>
            <w:r>
              <w:rPr>
                <w:sz w:val="21"/>
                <w:szCs w:val="21"/>
              </w:rPr>
              <w:t xml:space="preserve">A batteryless, sensorless, control-law-free wrist-worn absorber that self-corrects as tremor frequency varies between patients and with task — removing the need for manual retuning found in existing passive bracelets, and removing the battery, motor and control electronics found in active devices such as Liftware and GyroGlove. Potential for substantially lower bill-of-materials cost, silent operation, and no charging or maintenance burden. (Cost projections are inventor estimates and are not independently verified.)</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23.</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Provide available data or information on market potential/size, adoption trends, industry analysis, and projected growth.</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val="false"/>
                <w:bCs w:val="false"/>
                <w:i w:val="false"/>
                <w:iCs w:val="false"/>
                <w:sz w:val="21"/>
                <w:szCs w:val="21"/>
              </w:rPr>
              <w:t xml:space="preserve">Parkinson's disease affects over 8.5 million people globally (WHO/GBD, 2019); the World Health Organization records that PD prevalence has doubled over the past 25 years. Essential tremor affects an estimated 24.91 million people worldwide (2020), with overall prevalence of 0.32%, rising to 2.87% in persons aged 80 and above (Song et al., Journal of Global Health, 2021). Community studies in India give PD prevalence in the range of 53–192 per 100,000 population, with a Parsi-community study reporting approximately 328 per 100,000; essential tremor prevalence in Indian community studies ranges from approximately 0.09% to over 1%. A single reliable nationwide figure for India was not identified.</w:t>
            </w:r>
          </w:p>
          <w:tbl>
            <w:tblPr>
              <w:tblW w:type="dxa" w:w="941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3200"/>
              <w:gridCol w:w="2400"/>
            </w:tblGrid>
            <w:tr>
              <w:trPr>
                <w:tblHeader/>
              </w:trPr>
              <w:tc>
                <w:tcPr>
                  <w:tcW w:type="dxa" w:w="1400"/>
                  <w:tcBorders>
                    <w:top w:val="single" w:color="808080" w:sz="4"/>
                    <w:left w:val="single" w:color="808080" w:sz="4"/>
                    <w:bottom w:val="single" w:color="808080" w:sz="4"/>
                    <w:right w:val="single" w:color="808080" w:sz="4"/>
                  </w:tcBorders>
                  <w:shd w:fill="EFEFEF" w:val="clear"/>
                  <w:tcMar>
                    <w:top w:type="dxa" w:w="60"/>
                    <w:left w:type="dxa" w:w="80"/>
                    <w:bottom w:type="dxa" w:w="60"/>
                    <w:right w:type="dxa" w:w="80"/>
                  </w:tcMar>
                </w:tcPr>
                <w:p>
                  <w:r>
                    <w:rPr>
                      <w:b/>
                      <w:bCs/>
                      <w:sz w:val="19"/>
                      <w:szCs w:val="19"/>
                    </w:rPr>
                    <w:t xml:space="preserve">Year</w:t>
                  </w:r>
                </w:p>
              </w:tc>
              <w:tc>
                <w:tcPr>
                  <w:tcW w:type="dxa" w:w="3300"/>
                  <w:tcBorders>
                    <w:top w:val="single" w:color="808080" w:sz="4"/>
                    <w:left w:val="single" w:color="808080" w:sz="4"/>
                    <w:bottom w:val="single" w:color="808080" w:sz="4"/>
                    <w:right w:val="single" w:color="808080" w:sz="4"/>
                  </w:tcBorders>
                  <w:shd w:fill="EFEFEF" w:val="clear"/>
                  <w:tcMar>
                    <w:top w:type="dxa" w:w="60"/>
                    <w:left w:type="dxa" w:w="80"/>
                    <w:bottom w:type="dxa" w:w="60"/>
                    <w:right w:type="dxa" w:w="80"/>
                  </w:tcMar>
                </w:tcPr>
                <w:p>
                  <w:r>
                    <w:rPr>
                      <w:b/>
                      <w:bCs/>
                      <w:sz w:val="19"/>
                      <w:szCs w:val="19"/>
                    </w:rPr>
                    <w:t xml:space="preserve">Estimated Market Size</w:t>
                  </w:r>
                </w:p>
              </w:tc>
              <w:tc>
                <w:tcPr>
                  <w:tcW w:type="dxa" w:w="3200"/>
                  <w:tcBorders>
                    <w:top w:val="single" w:color="808080" w:sz="4"/>
                    <w:left w:val="single" w:color="808080" w:sz="4"/>
                    <w:bottom w:val="single" w:color="808080" w:sz="4"/>
                    <w:right w:val="single" w:color="808080" w:sz="4"/>
                  </w:tcBorders>
                  <w:shd w:fill="EFEFEF" w:val="clear"/>
                  <w:tcMar>
                    <w:top w:type="dxa" w:w="60"/>
                    <w:left w:type="dxa" w:w="80"/>
                    <w:bottom w:type="dxa" w:w="60"/>
                    <w:right w:type="dxa" w:w="80"/>
                  </w:tcMar>
                </w:tcPr>
                <w:p>
                  <w:r>
                    <w:rPr>
                      <w:b/>
                      <w:bCs/>
                      <w:sz w:val="19"/>
                      <w:szCs w:val="19"/>
                    </w:rPr>
                    <w:t xml:space="preserve">Growth Drivers</w:t>
                  </w:r>
                </w:p>
              </w:tc>
              <w:tc>
                <w:tcPr>
                  <w:tcW w:type="dxa" w:w="2400"/>
                  <w:tcBorders>
                    <w:top w:val="single" w:color="808080" w:sz="4"/>
                    <w:left w:val="single" w:color="808080" w:sz="4"/>
                    <w:bottom w:val="single" w:color="808080" w:sz="4"/>
                    <w:right w:val="single" w:color="808080" w:sz="4"/>
                  </w:tcBorders>
                  <w:shd w:fill="EFEFEF" w:val="clear"/>
                  <w:tcMar>
                    <w:top w:type="dxa" w:w="60"/>
                    <w:left w:type="dxa" w:w="80"/>
                    <w:bottom w:type="dxa" w:w="60"/>
                    <w:right w:type="dxa" w:w="80"/>
                  </w:tcMar>
                </w:tcPr>
                <w:p>
                  <w:r>
                    <w:rPr>
                      <w:b/>
                      <w:bCs/>
                      <w:sz w:val="19"/>
                      <w:szCs w:val="19"/>
                    </w:rPr>
                    <w:t xml:space="preserve">Notable Existing Devices</w:t>
                  </w:r>
                </w:p>
              </w:tc>
            </w:tr>
            <w:tr>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2024–2026</w:t>
                  </w:r>
                </w:p>
              </w:tc>
              <w:tc>
                <w:tcPr>
                  <w:tcW w:type="dxa" w:w="3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~US$0.7–1.3 billion (vendor estimates; wide disagreement, no peer-reviewed/government corroboration found)</w:t>
                  </w:r>
                </w:p>
              </w:tc>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Ageing demographics; PD prevalence has doubled in 25 years (WHO); ET prevalence ~0.32% overall, rising to 2.87% at age 80+; side effects/limits of drugs &amp; DBS; preference for non-pharmacological options</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GyroGlove (~US$4,899–5,899); Liftware Steady/Level (~US$195–200 starter kit); Steadiwear Steadi-Two/Steadi-3; Cala kIQ (Rx, neurostimulation); weighted utensils/gloves (~US$15–40)</w:t>
                  </w:r>
                </w:p>
              </w:tc>
            </w:tr>
            <w:tr>
              <w:tc>
                <w:tcPr>
                  <w:tcW w:type="dxa" w:w="1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2033–2035 (forecast)</w:t>
                  </w:r>
                </w:p>
              </w:tc>
              <w:tc>
                <w:tcPr>
                  <w:tcW w:type="dxa" w:w="3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~US$1.8–3.9 billion (vendor forecasts, CAGR consensus band ~10.7%–13%)</w:t>
                  </w:r>
                </w:p>
              </w:tc>
              <w:tc>
                <w:tcPr>
                  <w:tcW w:type="dxa" w:w="3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Continued ageing population; growing wearable-medtech adoption; cost pressure favouring lower-cost non-electronic alternatives</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sz w:val="19"/>
                      <w:szCs w:val="19"/>
                    </w:rPr>
                    <w:t xml:space="preserve">Same category leaders; market forecast to broaden with entrants</w:t>
                  </w:r>
                </w:p>
              </w:tc>
            </w:tr>
          </w:tbl>
          <w:p>
            <w:pPr>
              <w:spacing w:after="100"/>
            </w:pPr>
            <w:r>
              <w:rPr>
                <w:b w:val="false"/>
                <w:bCs w:val="false"/>
                <w:i w:val="false"/>
                <w:iCs w:val="false"/>
                <w:sz w:val="21"/>
                <w:szCs w:val="21"/>
              </w:rPr>
              <w:t xml:space="preserve">The market-size figures above are drawn from market-research publications (Market Research Future, Persistence Market Research, Verified Market Reports) rather than from peer-reviewed or governmental sources, and are presented as indicative estimates.</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24.</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Please provide the names of the inventors involved in the Invention</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pStyle w:val="ListParagraph"/>
              <w:numPr>
                <w:ilvl w:val="0"/>
                <w:numId w:val="1"/>
              </w:numPr>
              <w:spacing w:after="60"/>
            </w:pPr>
            <w:r>
              <w:rPr>
                <w:sz w:val="21"/>
                <w:szCs w:val="21"/>
              </w:rPr>
              <w:t xml:space="preserve">Bhavesh A — Reg. No. 24BMH1048, B.Tech Mechatronics and Automation, VIT Chennai.</w:t>
            </w:r>
          </w:p>
          <w:p>
            <w:pPr>
              <w:pStyle w:val="ListParagraph"/>
              <w:numPr>
                <w:ilvl w:val="0"/>
                <w:numId w:val="1"/>
              </w:numPr>
              <w:spacing w:after="60"/>
            </w:pPr>
            <w:r>
              <w:rPr>
                <w:sz w:val="21"/>
                <w:szCs w:val="21"/>
              </w:rPr>
              <w:t xml:space="preserve">Ashwin T E — Reg. No. 24BMH1028, B.Tech Mechatronics and Automation, VIT Chennai.</w:t>
            </w:r>
          </w:p>
          <w:p>
            <w:pPr>
              <w:pStyle w:val="ListParagraph"/>
              <w:numPr>
                <w:ilvl w:val="0"/>
                <w:numId w:val="1"/>
              </w:numPr>
              <w:spacing w:after="60"/>
            </w:pPr>
            <w:r>
              <w:rPr>
                <w:sz w:val="21"/>
                <w:szCs w:val="21"/>
              </w:rPr>
              <w:t xml:space="preserve">Mithun Shankar M — Reg. No. 24BMH1053, B.Tech Mechatronics and Automation, VIT Chennai.</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25.</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User Information</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bCs/>
                <w:sz w:val="21"/>
                <w:szCs w:val="21"/>
              </w:rPr>
              <w:t xml:space="preserve">a. Who are the potential users of the technology? — </w:t>
            </w:r>
            <w:r>
              <w:rPr>
                <w:sz w:val="21"/>
                <w:szCs w:val="21"/>
              </w:rPr>
              <w:t xml:space="preserve">People with essential tremor (ET), Parkinsonian rest tremor, or related conditions (e.g. MS/cerebellar tremor) who have functional hand impairment affecting eating, drinking, or writing.</w:t>
            </w:r>
          </w:p>
          <w:p>
            <w:pPr>
              <w:spacing w:after="100"/>
            </w:pPr>
            <w:r>
              <w:rPr>
                <w:b/>
                <w:bCs/>
                <w:sz w:val="21"/>
                <w:szCs w:val="21"/>
              </w:rPr>
              <w:t xml:space="preserve">b. Age group of the user? — </w:t>
            </w:r>
            <w:r>
              <w:rPr>
                <w:sz w:val="21"/>
                <w:szCs w:val="21"/>
              </w:rPr>
              <w:t xml:space="preserve">Predominantly older adults — ET prevalence is highest in those aged 65+ (rising to 2.87% at 80+) and PD is most common after age 60 — though ET can present at any age.</w:t>
            </w:r>
          </w:p>
          <w:p>
            <w:pPr>
              <w:spacing w:after="100"/>
            </w:pPr>
            <w:r>
              <w:rPr>
                <w:b/>
                <w:bCs/>
                <w:sz w:val="21"/>
                <w:szCs w:val="21"/>
              </w:rPr>
              <w:t xml:space="preserve">c. Expected benefits to the user? — </w:t>
            </w:r>
            <w:r>
              <w:rPr>
                <w:sz w:val="21"/>
                <w:szCs w:val="21"/>
              </w:rPr>
              <w:t xml:space="preserve">Improved independence in daily tasks; non-invasive and drug-free with no pharmacological side effects; no battery or charging requirement; silent operation; potentially very low cost; no electronics to fail.</w:t>
            </w:r>
          </w:p>
          <w:p>
            <w:pPr>
              <w:spacing w:after="100"/>
            </w:pPr>
            <w:r>
              <w:rPr>
                <w:b/>
                <w:bCs/>
                <w:sz w:val="21"/>
                <w:szCs w:val="21"/>
              </w:rPr>
              <w:t xml:space="preserve">d. Cost advantage when compared to available solutions? — </w:t>
            </w:r>
            <w:r>
              <w:rPr>
                <w:sz w:val="21"/>
                <w:szCs w:val="21"/>
              </w:rPr>
              <w:t xml:space="preserve">The proposed bill of materials — a 3D-printed cuff, a brass or steel proof mass, and a spring-steel compliant element, with no battery or electronics — is projected to cost substantially less than the GyroGlove (approximately US$4,900–5,900) and the Liftware device (approximately US$195–200), and carries no recurring power cost. This projection is based on the proposed bill of materials and is to be confirmed against an actual manufactured cost.</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26.</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What is the Technology Readiness Level of your invention?</w:t>
            </w:r>
          </w:p>
          <w:p>
            <w:r>
              <w:rPr>
                <w:i/>
                <w:iCs/>
                <w:sz w:val="19"/>
                <w:szCs w:val="19"/>
              </w:rPr>
              <w:t xml:space="preserve">(Tick the appropriate TRL)</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spacing w:after="100"/>
            </w:pPr>
            <w:r>
              <w:rPr>
                <w:b/>
                <w:bCs/>
                <w:i w:val="false"/>
                <w:iCs w:val="false"/>
                <w:sz w:val="21"/>
                <w:szCs w:val="21"/>
              </w:rPr>
              <w:t xml:space="preserve">TRL 2 — Technology concept formulated.</w:t>
            </w:r>
          </w:p>
          <w:tbl>
            <w:tblPr>
              <w:tblW w:type="dxa" w:w="9416"/>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tblGrid>
            <w:tr>
              <w:tc>
                <w:tcPr>
                  <w:tcW w:type="dxa" w:w="1046"/>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sz w:val="22"/>
                      <w:szCs w:val="22"/>
                    </w:rPr>
                    <w:t xml:space="preserve">☐</w:t>
                  </w:r>
                </w:p>
                <w:p>
                  <w:pPr>
                    <w:jc w:val="center"/>
                  </w:pPr>
                  <w:r>
                    <w:rPr>
                      <w:sz w:val="14"/>
                      <w:szCs w:val="14"/>
                    </w:rPr>
                    <w:t xml:space="preserve">TRL 1
Basic principles observed</w:t>
                  </w:r>
                </w:p>
              </w:tc>
              <w:tc>
                <w:tcPr>
                  <w:tcW w:type="dxa" w:w="1046"/>
                  <w:tcBorders>
                    <w:top w:val="single" w:color="808080" w:sz="4"/>
                    <w:left w:val="single" w:color="808080" w:sz="4"/>
                    <w:bottom w:val="single" w:color="808080" w:sz="4"/>
                    <w:right w:val="single" w:color="808080" w:sz="4"/>
                  </w:tcBorders>
                  <w:shd w:fill="FFF2AE" w:val="clear"/>
                  <w:tcMar>
                    <w:top w:type="dxa" w:w="60"/>
                    <w:left w:type="dxa" w:w="60"/>
                    <w:bottom w:type="dxa" w:w="60"/>
                    <w:right w:type="dxa" w:w="60"/>
                  </w:tcMar>
                </w:tcPr>
                <w:p>
                  <w:pPr>
                    <w:jc w:val="center"/>
                  </w:pPr>
                  <w:r>
                    <w:rPr>
                      <w:b/>
                      <w:bCs/>
                      <w:sz w:val="22"/>
                      <w:szCs w:val="22"/>
                    </w:rPr>
                    <w:t xml:space="preserve">☑</w:t>
                  </w:r>
                </w:p>
                <w:p>
                  <w:pPr>
                    <w:jc w:val="center"/>
                  </w:pPr>
                  <w:r>
                    <w:rPr>
                      <w:sz w:val="14"/>
                      <w:szCs w:val="14"/>
                    </w:rPr>
                    <w:t xml:space="preserve">TRL 2
Technology concept formulated</w:t>
                  </w:r>
                </w:p>
              </w:tc>
              <w:tc>
                <w:tcPr>
                  <w:tcW w:type="dxa" w:w="1046"/>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sz w:val="22"/>
                      <w:szCs w:val="22"/>
                    </w:rPr>
                    <w:t xml:space="preserve">☐</w:t>
                  </w:r>
                </w:p>
                <w:p>
                  <w:pPr>
                    <w:jc w:val="center"/>
                  </w:pPr>
                  <w:r>
                    <w:rPr>
                      <w:sz w:val="14"/>
                      <w:szCs w:val="14"/>
                    </w:rPr>
                    <w:t xml:space="preserve">TRL 3
Experimental proof of concept</w:t>
                  </w:r>
                </w:p>
              </w:tc>
              <w:tc>
                <w:tcPr>
                  <w:tcW w:type="dxa" w:w="1046"/>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sz w:val="22"/>
                      <w:szCs w:val="22"/>
                    </w:rPr>
                    <w:t xml:space="preserve">☐</w:t>
                  </w:r>
                </w:p>
                <w:p>
                  <w:pPr>
                    <w:jc w:val="center"/>
                  </w:pPr>
                  <w:r>
                    <w:rPr>
                      <w:sz w:val="14"/>
                      <w:szCs w:val="14"/>
                    </w:rPr>
                    <w:t xml:space="preserve">TRL 4
Technology validated in a lab</w:t>
                  </w:r>
                </w:p>
              </w:tc>
              <w:tc>
                <w:tcPr>
                  <w:tcW w:type="dxa" w:w="1046"/>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sz w:val="22"/>
                      <w:szCs w:val="22"/>
                    </w:rPr>
                    <w:t xml:space="preserve">☐</w:t>
                  </w:r>
                </w:p>
                <w:p>
                  <w:pPr>
                    <w:jc w:val="center"/>
                  </w:pPr>
                  <w:r>
                    <w:rPr>
                      <w:sz w:val="14"/>
                      <w:szCs w:val="14"/>
                    </w:rPr>
                    <w:t xml:space="preserve">TRL 5
Validated in a relevant environment</w:t>
                  </w:r>
                </w:p>
              </w:tc>
              <w:tc>
                <w:tcPr>
                  <w:tcW w:type="dxa" w:w="1046"/>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sz w:val="22"/>
                      <w:szCs w:val="22"/>
                    </w:rPr>
                    <w:t xml:space="preserve">☐</w:t>
                  </w:r>
                </w:p>
                <w:p>
                  <w:pPr>
                    <w:jc w:val="center"/>
                  </w:pPr>
                  <w:r>
                    <w:rPr>
                      <w:sz w:val="14"/>
                      <w:szCs w:val="14"/>
                    </w:rPr>
                    <w:t xml:space="preserve">TRL 6
Demonstrated in a relevant environment</w:t>
                  </w:r>
                </w:p>
              </w:tc>
              <w:tc>
                <w:tcPr>
                  <w:tcW w:type="dxa" w:w="1046"/>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sz w:val="22"/>
                      <w:szCs w:val="22"/>
                    </w:rPr>
                    <w:t xml:space="preserve">☐</w:t>
                  </w:r>
                </w:p>
                <w:p>
                  <w:pPr>
                    <w:jc w:val="center"/>
                  </w:pPr>
                  <w:r>
                    <w:rPr>
                      <w:sz w:val="14"/>
                      <w:szCs w:val="14"/>
                    </w:rPr>
                    <w:t xml:space="preserve">TRL 7
System prototype demonstration</w:t>
                  </w:r>
                </w:p>
              </w:tc>
              <w:tc>
                <w:tcPr>
                  <w:tcW w:type="dxa" w:w="1046"/>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sz w:val="22"/>
                      <w:szCs w:val="22"/>
                    </w:rPr>
                    <w:t xml:space="preserve">☐</w:t>
                  </w:r>
                </w:p>
                <w:p>
                  <w:pPr>
                    <w:jc w:val="center"/>
                  </w:pPr>
                  <w:r>
                    <w:rPr>
                      <w:sz w:val="14"/>
                      <w:szCs w:val="14"/>
                    </w:rPr>
                    <w:t xml:space="preserve">TRL 8
System complete and qualified</w:t>
                  </w:r>
                </w:p>
              </w:tc>
              <w:tc>
                <w:tcPr>
                  <w:tcW w:type="dxa" w:w="1046"/>
                  <w:tcBorders>
                    <w:top w:val="single" w:color="808080" w:sz="4"/>
                    <w:left w:val="single" w:color="808080" w:sz="4"/>
                    <w:bottom w:val="single" w:color="808080" w:sz="4"/>
                    <w:right w:val="single" w:color="808080" w:sz="4"/>
                  </w:tcBorders>
                  <w:tcMar>
                    <w:top w:type="dxa" w:w="60"/>
                    <w:left w:type="dxa" w:w="60"/>
                    <w:bottom w:type="dxa" w:w="60"/>
                    <w:right w:type="dxa" w:w="60"/>
                  </w:tcMar>
                </w:tcPr>
                <w:p>
                  <w:pPr>
                    <w:jc w:val="center"/>
                  </w:pPr>
                  <w:r>
                    <w:rPr>
                      <w:b/>
                      <w:bCs/>
                      <w:sz w:val="22"/>
                      <w:szCs w:val="22"/>
                    </w:rPr>
                    <w:t xml:space="preserve">☐</w:t>
                  </w:r>
                </w:p>
                <w:p>
                  <w:pPr>
                    <w:jc w:val="center"/>
                  </w:pPr>
                  <w:r>
                    <w:rPr>
                      <w:sz w:val="14"/>
                      <w:szCs w:val="14"/>
                    </w:rPr>
                    <w:t xml:space="preserve">TRL 9
Actual system proven in operational environment</w:t>
                  </w:r>
                </w:p>
              </w:tc>
            </w:tr>
          </w:tbl>
          <w:p>
            <w:pPr>
              <w:spacing w:after="100"/>
            </w:pPr>
            <w:r>
              <w:rPr>
                <w:b w:val="false"/>
                <w:bCs w:val="false"/>
                <w:i w:val="false"/>
                <w:iCs w:val="false"/>
                <w:sz w:val="21"/>
                <w:szCs w:val="21"/>
              </w:rPr>
              <w:t xml:space="preserve">The governing equations of motion, the anti-resonance condition, the Den Hartog optima, and the carriage-position-to-stiffness tuning relation have been derived and verified. No prototype has been constructed and no experimental validation has been performed. TRL 3 will be attained upon completion of a proof-of-concept bench test demonstrating passive self-tuning at tremor frequency and amplitude.</w:t>
            </w:r>
          </w:p>
        </w:tc>
      </w:tr>
      <w:tr>
        <w:trPr>
          <w:cantSplit/>
        </w:trPr>
        <w:tc>
          <w:tcPr>
            <w:tcW w:type="dxa" w:w="550"/>
            <w:tcBorders>
              <w:top w:val="single" w:color="808080" w:sz="4"/>
              <w:left w:val="single" w:color="808080" w:sz="4"/>
              <w:bottom w:val="single" w:color="808080" w:sz="4"/>
              <w:right w:val="single" w:color="808080" w:sz="4"/>
            </w:tcBorders>
            <w:shd w:fill="DCE6F1" w:val="clear"/>
            <w:tcMar>
              <w:top w:type="dxa" w:w="100"/>
              <w:left w:type="dxa" w:w="100"/>
              <w:bottom w:type="dxa" w:w="100"/>
              <w:right w:type="dxa" w:w="100"/>
            </w:tcMar>
            <w:vAlign w:val="top"/>
          </w:tcPr>
          <w:p>
            <w:r>
              <w:rPr>
                <w:b/>
                <w:bCs/>
              </w:rPr>
              <w:t xml:space="preserve">27.</w:t>
            </w:r>
          </w:p>
        </w:tc>
        <w:tc>
          <w:tcPr>
            <w:tcW w:type="dxa" w:w="9656"/>
            <w:tcBorders>
              <w:top w:val="single" w:color="808080" w:sz="4"/>
              <w:left w:val="single" w:color="808080" w:sz="4"/>
              <w:bottom w:val="single" w:color="808080" w:sz="4"/>
              <w:right w:val="single" w:color="808080" w:sz="4"/>
            </w:tcBorders>
            <w:shd w:fill="DCE6F1" w:val="clear"/>
            <w:tcMar>
              <w:top w:type="dxa" w:w="100"/>
              <w:left w:type="dxa" w:w="120"/>
              <w:bottom w:type="dxa" w:w="100"/>
              <w:right w:type="dxa" w:w="120"/>
            </w:tcMar>
            <w:vAlign w:val="top"/>
          </w:tcPr>
          <w:p>
            <w:r>
              <w:rPr>
                <w:b/>
                <w:bCs/>
              </w:rPr>
              <w:t xml:space="preserve">Any additional notes or remarks.</w:t>
            </w:r>
          </w:p>
        </w:tc>
      </w:tr>
      <w:tr>
        <w:tc>
          <w:tcPr>
            <w:tcW w:type="dxa" w:w="550"/>
            <w:tcBorders>
              <w:top w:val="single" w:color="808080" w:sz="4"/>
              <w:left w:val="single" w:color="808080" w:sz="4"/>
              <w:bottom w:val="single" w:color="808080" w:sz="4"/>
              <w:right w:val="single" w:color="808080" w:sz="4"/>
            </w:tcBorders>
            <w:tcMar>
              <w:top w:type="dxa" w:w="100"/>
              <w:left w:type="dxa" w:w="100"/>
              <w:bottom w:type="dxa" w:w="100"/>
              <w:right w:type="dxa" w:w="100"/>
            </w:tcMar>
            <w:vAlign w:val="top"/>
          </w:tcPr>
          <w:p>
            <w:r>
              <w:rPr>
                <w:b/>
                <w:bCs/>
              </w:rPr>
              <w:t xml:space="preserve"/>
            </w:r>
          </w:p>
        </w:tc>
        <w:tc>
          <w:tcPr>
            <w:tcW w:type="dxa" w:w="9656"/>
            <w:tcBorders>
              <w:top w:val="single" w:color="808080" w:sz="4"/>
              <w:left w:val="single" w:color="808080" w:sz="4"/>
              <w:bottom w:val="single" w:color="808080" w:sz="4"/>
              <w:right w:val="single" w:color="808080" w:sz="4"/>
            </w:tcBorders>
            <w:tcMar>
              <w:top w:type="dxa" w:w="100"/>
              <w:left w:type="dxa" w:w="120"/>
              <w:bottom w:type="dxa" w:w="100"/>
              <w:right w:type="dxa" w:w="120"/>
            </w:tcMar>
            <w:vAlign w:val="top"/>
          </w:tcPr>
          <w:p>
            <w:pPr>
              <w:pStyle w:val="ListParagraph"/>
              <w:numPr>
                <w:ilvl w:val="0"/>
                <w:numId w:val="1"/>
              </w:numPr>
              <w:spacing w:after="60"/>
            </w:pPr>
            <w:r>
              <w:rPr>
                <w:sz w:val="21"/>
                <w:szCs w:val="21"/>
              </w:rPr>
              <w:t xml:space="preserve">A provisional specification may be filed at this stage. Under Indian practice, a provisional specification is not examined for novelty and secures a priority date together with “patent pending” status for a period of twelve months, within which a complete specification is to be filed. The exact procedure and timelines are to be confirmed with a registered patent agent or the University's IP/Innovation Cell.</w:t>
            </w:r>
          </w:p>
          <w:p>
            <w:pPr>
              <w:pStyle w:val="ListParagraph"/>
              <w:numPr>
                <w:ilvl w:val="0"/>
                <w:numId w:val="1"/>
              </w:numPr>
              <w:spacing w:after="60"/>
            </w:pPr>
            <w:r>
              <w:rPr>
                <w:sz w:val="21"/>
                <w:szCs w:val="21"/>
              </w:rPr>
              <w:t xml:space="preserve">The applicants propose the following sequence: (i) construction of the bench prototype and completion of the frequency-sweep/step test described in Section 14; (ii) a professional prior-art search restricted to the passive self-tuning tremor-absorber claim; (iii) filing of the provisional specification; and (iv) filing of the complete specification within the twelve-month period, with the independent claim drawn narrowly around the asymmetric-damping walking mechanism.</w:t>
            </w:r>
          </w:p>
          <w:p>
            <w:pPr>
              <w:pStyle w:val="ListParagraph"/>
              <w:numPr>
                <w:ilvl w:val="0"/>
                <w:numId w:val="1"/>
              </w:numPr>
              <w:spacing w:after="60"/>
            </w:pPr>
            <w:r>
              <w:rPr>
                <w:sz w:val="21"/>
                <w:szCs w:val="21"/>
              </w:rPr>
              <w:t xml:space="preserve">In the event the walking mechanism does not migrate reliably at tremor amplitude, the fallback mechanisms identified in Section 11 — the lead-screw/ratchet mechanism or a bistable/threshold-triggered retune — are to be adopted in its place.</w:t>
            </w:r>
          </w:p>
          <w:p>
            <w:pPr>
              <w:pStyle w:val="ListParagraph"/>
              <w:numPr>
                <w:ilvl w:val="0"/>
                <w:numId w:val="1"/>
              </w:numPr>
              <w:spacing w:after="60"/>
            </w:pPr>
            <w:r>
              <w:rPr>
                <w:sz w:val="21"/>
                <w:szCs w:val="21"/>
              </w:rPr>
              <w:t xml:space="preserve">This disclosure is based on a preliminary prior-art and market search conducted by the applicants and does not constitute a legal novelty or freedom-to-operate opinion. Database searches are to be independently conducted and confirmed by a registered patent agent prior to any filing decision.</w:t>
            </w:r>
          </w:p>
        </w:tc>
      </w:tr>
    </w:tbl>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2026-08-24T16:35:02.278Z</dcterms:created>
  <dcterms:modified xsi:type="dcterms:W3CDTF">2026-08-24T16:35:02.294Z</dcterms:modified>
</cp:coreProperties>
</file>

<file path=docProps/custom.xml><?xml version="1.0" encoding="utf-8"?>
<Properties xmlns="http://schemas.openxmlformats.org/officeDocument/2006/custom-properties" xmlns:vt="http://schemas.openxmlformats.org/officeDocument/2006/docPropsVTypes"/>
</file>