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32"/>
          <w:szCs w:val="32"/>
        </w:rPr>
        <w:t xml:space="preserve">BHAVESH JAKHAR</w:t>
      </w:r>
    </w:p>
    <w:p>
      <w:pPr>
        <w:spacing w:after="20"/>
        <w:jc w:val="center"/>
      </w:pPr>
      <w:r>
        <w:rPr>
          <w:rFonts w:ascii="Calibri" w:cs="Calibri" w:eastAsia="Calibri" w:hAnsi="Calibri"/>
          <w:color w:val="444444"/>
          <w:sz w:val="20"/>
          <w:szCs w:val="20"/>
        </w:rPr>
        <w:t xml:space="preserve">Technical Account Manager | Customer Support Specialist</w:t>
      </w:r>
    </w:p>
    <w:p>
      <w:pPr>
        <w:spacing w:after="0"/>
        <w:jc w:val="center"/>
      </w:pPr>
      <w:r>
        <w:rPr>
          <w:rFonts w:ascii="Calibri" w:cs="Calibri" w:eastAsia="Calibri" w:hAnsi="Calibri"/>
          <w:sz w:val="18"/>
          <w:szCs w:val="18"/>
        </w:rPr>
        <w:t xml:space="preserve">India  •  bjakhar1999@gmail.com  •  +91-8802503004  •  linkedin.com/in/bhaveshjakhar</w:t>
      </w:r>
    </w:p>
    <w:p>
      <w:pPr>
        <w:pBdr>
          <w:bottom w:val="single" w:color="1F3864" w:sz="6" w:space="1"/>
        </w:pBdr>
        <w:spacing w:after="20" w:before="60"/>
      </w:pPr>
      <w:r>
        <w:rPr>
          <w:rFonts w:ascii="Calibri" w:cs="Calibri" w:eastAsia="Calibri" w:hAnsi="Calibri"/>
          <w:b/>
          <w:bCs/>
          <w:color w:val="1F3864"/>
          <w:sz w:val="20"/>
          <w:szCs w:val="20"/>
        </w:rPr>
        <w:t xml:space="preserve">PROFESSIONAL SUMMARY</w:t>
      </w:r>
    </w:p>
    <w:p>
      <w:pPr>
        <w:spacing w:after="0" w:before="0" w:line="208"/>
      </w:pPr>
      <w:r>
        <w:rPr>
          <w:rFonts w:ascii="Calibri" w:cs="Calibri" w:eastAsia="Calibri" w:hAnsi="Calibri"/>
          <w:sz w:val="18"/>
          <w:szCs w:val="18"/>
        </w:rPr>
        <w:t xml:space="preserve">Technical Account Manager and Customer Support Specialist with 5 years of experience supporting enterprise customers across PayPal (risk, compliance, onboarding) and BlackBerry (fleet management and logistics platform). Proven track record of serving as the primary technical point of contact — diagnosing complex production issues through log and API analysis, resolving customer-impacting UI and API defects, and coordinating with Development, QA, and Product teams to drive timely resolutions within SLA. Skilled in web technologies (HTML, CSS, JavaScript, jQuery), bug tracking (Jira), and CRM-driven customer engagement, using tools like Splunk, browser DevTools, and Postman for issue diagnosis. Recognised with 100% CSAT for delivery excellence and client relationship management, and credited with improving SLA compliance from 85% to 97% in a prior support role. Strong communicator experienced in translating technical issues into clear, actionable updates for both technical and non-technical stakeholders across distributed, remote teams.</w:t>
      </w:r>
    </w:p>
    <w:p>
      <w:pPr>
        <w:pBdr>
          <w:bottom w:val="single" w:color="1F3864" w:sz="6" w:space="1"/>
        </w:pBdr>
        <w:spacing w:after="20" w:before="60"/>
      </w:pPr>
      <w:r>
        <w:rPr>
          <w:rFonts w:ascii="Calibri" w:cs="Calibri" w:eastAsia="Calibri" w:hAnsi="Calibri"/>
          <w:b/>
          <w:bCs/>
          <w:color w:val="1F3864"/>
          <w:sz w:val="20"/>
          <w:szCs w:val="20"/>
        </w:rPr>
        <w:t xml:space="preserve">TECHNICAL SKILLS</w:t>
      </w:r>
    </w:p>
    <w:p>
      <w:pPr>
        <w:spacing w:after="0" w:before="0" w:line="208"/>
      </w:pPr>
      <w:r>
        <w:rPr>
          <w:rFonts w:ascii="Calibri" w:cs="Calibri" w:eastAsia="Calibri" w:hAnsi="Calibri"/>
          <w:b/>
          <w:bCs/>
          <w:sz w:val="18"/>
          <w:szCs w:val="18"/>
        </w:rPr>
        <w:t xml:space="preserve">Web Technologies: </w:t>
      </w:r>
      <w:r>
        <w:rPr>
          <w:rFonts w:ascii="Calibri" w:cs="Calibri" w:eastAsia="Calibri" w:hAnsi="Calibri"/>
          <w:sz w:val="18"/>
          <w:szCs w:val="18"/>
        </w:rPr>
        <w:t xml:space="preserve">HTML, CSS, JavaScript, jQuery, REST APIs, GraphQL</w:t>
      </w:r>
    </w:p>
    <w:p>
      <w:pPr>
        <w:spacing w:after="0" w:before="0" w:line="208"/>
      </w:pPr>
      <w:r>
        <w:rPr>
          <w:rFonts w:ascii="Calibri" w:cs="Calibri" w:eastAsia="Calibri" w:hAnsi="Calibri"/>
          <w:b/>
          <w:bCs/>
          <w:sz w:val="18"/>
          <w:szCs w:val="18"/>
        </w:rPr>
        <w:t xml:space="preserve">Customer Support &amp; Account Management: </w:t>
      </w:r>
      <w:r>
        <w:rPr>
          <w:rFonts w:ascii="Calibri" w:cs="Calibri" w:eastAsia="Calibri" w:hAnsi="Calibri"/>
          <w:sz w:val="18"/>
          <w:szCs w:val="18"/>
        </w:rPr>
        <w:t xml:space="preserve">Technical Account Management, Customer Support (Email, Chat, Phone), SLA Management, Customer Onboarding, Issue Triage &amp; Escalation</w:t>
      </w:r>
    </w:p>
    <w:p>
      <w:pPr>
        <w:spacing w:after="0" w:before="0" w:line="208"/>
      </w:pPr>
      <w:r>
        <w:rPr>
          <w:rFonts w:ascii="Calibri" w:cs="Calibri" w:eastAsia="Calibri" w:hAnsi="Calibri"/>
          <w:b/>
          <w:bCs/>
          <w:sz w:val="18"/>
          <w:szCs w:val="18"/>
        </w:rPr>
        <w:t xml:space="preserve">Bug Tracking &amp; CRM: </w:t>
      </w:r>
      <w:r>
        <w:rPr>
          <w:rFonts w:ascii="Calibri" w:cs="Calibri" w:eastAsia="Calibri" w:hAnsi="Calibri"/>
          <w:sz w:val="18"/>
          <w:szCs w:val="18"/>
        </w:rPr>
        <w:t xml:space="preserve">Jira, Confluence, Salesforce, Postman, Slack</w:t>
      </w:r>
    </w:p>
    <w:p>
      <w:pPr>
        <w:spacing w:after="0" w:before="0" w:line="208"/>
      </w:pPr>
      <w:r>
        <w:rPr>
          <w:rFonts w:ascii="Calibri" w:cs="Calibri" w:eastAsia="Calibri" w:hAnsi="Calibri"/>
          <w:b/>
          <w:bCs/>
          <w:sz w:val="18"/>
          <w:szCs w:val="18"/>
        </w:rPr>
        <w:t xml:space="preserve">Diagnostics &amp; Log Analysis: </w:t>
      </w:r>
      <w:r>
        <w:rPr>
          <w:rFonts w:ascii="Calibri" w:cs="Calibri" w:eastAsia="Calibri" w:hAnsi="Calibri"/>
          <w:sz w:val="18"/>
          <w:szCs w:val="18"/>
        </w:rPr>
        <w:t xml:space="preserve">Grafana, Datadog, Splunk, CAL Logs, Browser DevTools, Production Issue Diagnosis, Root Cause Analysis</w:t>
      </w:r>
    </w:p>
    <w:p>
      <w:pPr>
        <w:spacing w:after="0" w:before="0" w:line="208"/>
      </w:pPr>
      <w:r>
        <w:rPr>
          <w:rFonts w:ascii="Calibri" w:cs="Calibri" w:eastAsia="Calibri" w:hAnsi="Calibri"/>
          <w:b/>
          <w:bCs/>
          <w:sz w:val="18"/>
          <w:szCs w:val="18"/>
        </w:rPr>
        <w:t xml:space="preserve">Backend &amp; APIs: </w:t>
      </w:r>
      <w:r>
        <w:rPr>
          <w:rFonts w:ascii="Calibri" w:cs="Calibri" w:eastAsia="Calibri" w:hAnsi="Calibri"/>
          <w:sz w:val="18"/>
          <w:szCs w:val="18"/>
        </w:rPr>
        <w:t xml:space="preserve">Java, Spring Boot, Microservices, REST/GraphQL API Design</w:t>
      </w:r>
    </w:p>
    <w:p>
      <w:pPr>
        <w:spacing w:after="0" w:before="0" w:line="208"/>
      </w:pPr>
      <w:r>
        <w:rPr>
          <w:rFonts w:ascii="Calibri" w:cs="Calibri" w:eastAsia="Calibri" w:hAnsi="Calibri"/>
          <w:b/>
          <w:bCs/>
          <w:sz w:val="18"/>
          <w:szCs w:val="18"/>
        </w:rPr>
        <w:t xml:space="preserve">Databases: </w:t>
      </w:r>
      <w:r>
        <w:rPr>
          <w:rFonts w:ascii="Calibri" w:cs="Calibri" w:eastAsia="Calibri" w:hAnsi="Calibri"/>
          <w:sz w:val="18"/>
          <w:szCs w:val="18"/>
        </w:rPr>
        <w:t xml:space="preserve">MySQL, Oracle, SQL Query Analysis for Issue Diagnosis</w:t>
      </w:r>
    </w:p>
    <w:p>
      <w:pPr>
        <w:spacing w:after="0" w:before="0" w:line="208"/>
      </w:pPr>
      <w:r>
        <w:rPr>
          <w:rFonts w:ascii="Calibri" w:cs="Calibri" w:eastAsia="Calibri" w:hAnsi="Calibri"/>
          <w:b/>
          <w:bCs/>
          <w:sz w:val="18"/>
          <w:szCs w:val="18"/>
        </w:rPr>
        <w:t xml:space="preserve">Cloud &amp; DevOps: </w:t>
      </w:r>
      <w:r>
        <w:rPr>
          <w:rFonts w:ascii="Calibri" w:cs="Calibri" w:eastAsia="Calibri" w:hAnsi="Calibri"/>
          <w:sz w:val="18"/>
          <w:szCs w:val="18"/>
        </w:rPr>
        <w:t xml:space="preserve">AWS, Azure, Docker, Kubernetes, CI/CD, Git</w:t>
      </w:r>
    </w:p>
    <w:p>
      <w:pPr>
        <w:spacing w:after="0" w:before="0" w:line="208"/>
      </w:pPr>
      <w:r>
        <w:rPr>
          <w:rFonts w:ascii="Calibri" w:cs="Calibri" w:eastAsia="Calibri" w:hAnsi="Calibri"/>
          <w:b/>
          <w:bCs/>
          <w:sz w:val="18"/>
          <w:szCs w:val="18"/>
        </w:rPr>
        <w:t xml:space="preserve">Collaboration &amp; Process: </w:t>
      </w:r>
      <w:r>
        <w:rPr>
          <w:rFonts w:ascii="Calibri" w:cs="Calibri" w:eastAsia="Calibri" w:hAnsi="Calibri"/>
          <w:sz w:val="18"/>
          <w:szCs w:val="18"/>
        </w:rPr>
        <w:t xml:space="preserve">Agile, Scrum, Cross-functional Coordination (Dev, QA, Product), Technical Documentation</w:t>
      </w:r>
    </w:p>
    <w:p>
      <w:pPr>
        <w:spacing w:after="0" w:before="0" w:line="208"/>
      </w:pPr>
      <w:r>
        <w:rPr>
          <w:rFonts w:ascii="Calibri" w:cs="Calibri" w:eastAsia="Calibri" w:hAnsi="Calibri"/>
          <w:b/>
          <w:bCs/>
          <w:sz w:val="18"/>
          <w:szCs w:val="18"/>
        </w:rPr>
        <w:t xml:space="preserve">AI-Augmented Tools: </w:t>
      </w:r>
      <w:r>
        <w:rPr>
          <w:rFonts w:ascii="Calibri" w:cs="Calibri" w:eastAsia="Calibri" w:hAnsi="Calibri"/>
          <w:sz w:val="18"/>
          <w:szCs w:val="18"/>
        </w:rPr>
        <w:t xml:space="preserve">Claude (Anthropic), GitHub Copilot, ChatGPT Enterprise</w:t>
      </w:r>
    </w:p>
    <w:p>
      <w:pPr>
        <w:pBdr>
          <w:bottom w:val="single" w:color="1F3864" w:sz="6" w:space="1"/>
        </w:pBdr>
        <w:spacing w:after="20" w:before="60"/>
      </w:pPr>
      <w:r>
        <w:rPr>
          <w:rFonts w:ascii="Calibri" w:cs="Calibri" w:eastAsia="Calibri" w:hAnsi="Calibri"/>
          <w:b/>
          <w:bCs/>
          <w:color w:val="1F3864"/>
          <w:sz w:val="20"/>
          <w:szCs w:val="20"/>
        </w:rPr>
        <w:t xml:space="preserve">PROFESSIONAL EXPERIENCE</w:t>
      </w:r>
    </w:p>
    <w:p>
      <w:pPr>
        <w:tabs>
          <w:tab w:val="right" w:pos="10080"/>
        </w:tabs>
        <w:spacing w:after="0" w:before="45"/>
      </w:pPr>
      <w:r>
        <w:rPr>
          <w:rFonts w:ascii="Calibri" w:cs="Calibri" w:eastAsia="Calibri" w:hAnsi="Calibri"/>
          <w:b/>
          <w:bCs/>
          <w:sz w:val="20"/>
          <w:szCs w:val="20"/>
        </w:rPr>
        <w:t xml:space="preserve">Technical Lead</w:t>
      </w:r>
      <w:r>
        <w:rPr>
          <w:rFonts w:ascii="Calibri" w:cs="Calibri" w:eastAsia="Calibri" w:hAnsi="Calibri"/>
          <w:sz w:val="20"/>
          <w:szCs w:val="20"/>
        </w:rPr>
        <w:t xml:space="preserve"> | HCL Technologies (Client: PayPal)</w:t>
      </w:r>
      <w:r>
        <w:rPr>
          <w:rFonts w:ascii="Calibri" w:cs="Calibri" w:eastAsia="Calibri" w:hAnsi="Calibri"/>
          <w:b/>
          <w:bCs/>
          <w:sz w:val="18"/>
          <w:szCs w:val="18"/>
        </w:rPr>
        <w:t xml:space="preserve">	Jan 2026 – Present</w:t>
      </w:r>
    </w:p>
    <w:p>
      <w:pPr>
        <w:spacing w:after="18" w:before="0"/>
      </w:pPr>
      <w:r>
        <w:rPr>
          <w:rFonts w:ascii="Calibri" w:cs="Calibri" w:eastAsia="Calibri" w:hAnsi="Calibri"/>
          <w:i/>
          <w:iCs/>
          <w:color w:val="555555"/>
          <w:sz w:val="17"/>
          <w:szCs w:val="17"/>
        </w:rPr>
        <w:t xml:space="preserve">Project: PayPal Risk Onboarding – Open Banking Integration | Technical Point of Contact</w:t>
      </w:r>
    </w:p>
    <w:p>
      <w:pPr>
        <w:pStyle w:val="ListParagraph"/>
        <w:numPr>
          <w:ilvl w:val="0"/>
          <w:numId w:val="2"/>
        </w:numPr>
        <w:spacing w:after="0" w:before="0" w:line="208"/>
      </w:pPr>
      <w:r>
        <w:rPr>
          <w:rFonts w:ascii="Calibri" w:cs="Calibri" w:eastAsia="Calibri" w:hAnsi="Calibri"/>
          <w:b/>
          <w:bCs/>
          <w:sz w:val="18"/>
          <w:szCs w:val="18"/>
        </w:rPr>
        <w:t xml:space="preserve">Primary point of contact for real-time merchant issue resolution </w:t>
      </w:r>
      <w:r>
        <w:rPr>
          <w:rFonts w:ascii="Calibri" w:cs="Calibri" w:eastAsia="Calibri" w:hAnsi="Calibri"/>
          <w:sz w:val="18"/>
          <w:szCs w:val="18"/>
        </w:rPr>
        <w:t xml:space="preserve">during the Open Banking rollout — directly triaging live merchant-reported failures (bank confirmation errors, stuck provisioning, contingency mismatches) and coordinating fixes across 5 cross-domain teams (Risk Policy, Compliance, Open Banking, Wallet, ALP); the program is projected to deliver $4M annual loss savings and $5M revenue enablement, a 40K/month reduction in risk declines, and cut post-onboarding friction from 56% to 40% for Tier 4/5 merchants.</w:t>
      </w:r>
    </w:p>
    <w:p>
      <w:pPr>
        <w:pStyle w:val="ListParagraph"/>
        <w:numPr>
          <w:ilvl w:val="0"/>
          <w:numId w:val="2"/>
        </w:numPr>
        <w:spacing w:after="0" w:before="0" w:line="208"/>
      </w:pPr>
      <w:r>
        <w:rPr>
          <w:rFonts w:ascii="Calibri" w:cs="Calibri" w:eastAsia="Calibri" w:hAnsi="Calibri"/>
          <w:b/>
          <w:bCs/>
          <w:sz w:val="18"/>
          <w:szCs w:val="18"/>
        </w:rPr>
        <w:t xml:space="preserve">Resolved recurring customer-reported UI issues </w:t>
      </w:r>
      <w:r>
        <w:rPr>
          <w:rFonts w:ascii="Calibri" w:cs="Calibri" w:eastAsia="Calibri" w:hAnsi="Calibri"/>
          <w:sz w:val="18"/>
          <w:szCs w:val="18"/>
        </w:rPr>
        <w:t xml:space="preserve">on the Verification Hub and MoneyNodeWeb bank-linking screens — diagnosing broken contingency rendering from malformed SPI v2 API responses and fixing the mapping defect, restoring accurate rendering across 100% of affected merchant sessions.</w:t>
      </w:r>
    </w:p>
    <w:p>
      <w:pPr>
        <w:pStyle w:val="ListParagraph"/>
        <w:numPr>
          <w:ilvl w:val="0"/>
          <w:numId w:val="2"/>
        </w:numPr>
        <w:spacing w:after="0" w:before="0" w:line="208"/>
      </w:pPr>
      <w:r>
        <w:rPr>
          <w:rFonts w:ascii="Calibri" w:cs="Calibri" w:eastAsia="Calibri" w:hAnsi="Calibri"/>
          <w:b/>
          <w:bCs/>
          <w:sz w:val="18"/>
          <w:szCs w:val="18"/>
        </w:rPr>
        <w:t xml:space="preserve">Diagnosed and resolved API integration issues raised by consuming teams (ALP, MOE), </w:t>
      </w:r>
      <w:r>
        <w:rPr>
          <w:rFonts w:ascii="Calibri" w:cs="Calibri" w:eastAsia="Calibri" w:hAnsi="Calibri"/>
          <w:sz w:val="18"/>
          <w:szCs w:val="18"/>
        </w:rPr>
        <w:t xml:space="preserve">root-causing SPI v2 contract parsing failures via CAL log analysis and maintaining sub-2-second P95 response times post-fix.</w:t>
      </w:r>
    </w:p>
    <w:p>
      <w:pPr>
        <w:pStyle w:val="ListParagraph"/>
        <w:numPr>
          <w:ilvl w:val="0"/>
          <w:numId w:val="2"/>
        </w:numPr>
        <w:spacing w:after="0" w:before="0" w:line="208"/>
      </w:pPr>
      <w:r>
        <w:rPr>
          <w:rFonts w:ascii="Calibri" w:cs="Calibri" w:eastAsia="Calibri" w:hAnsi="Calibri"/>
          <w:b/>
          <w:bCs/>
          <w:sz w:val="18"/>
          <w:szCs w:val="18"/>
        </w:rPr>
        <w:t xml:space="preserve">Logged and tracked defects using Jira, </w:t>
      </w:r>
      <w:r>
        <w:rPr>
          <w:rFonts w:ascii="Calibri" w:cs="Calibri" w:eastAsia="Calibri" w:hAnsi="Calibri"/>
          <w:sz w:val="18"/>
          <w:szCs w:val="18"/>
        </w:rPr>
        <w:t xml:space="preserve">authoring client-facing technical documentation in Confluence that reduced repeat support queries across 5+ stakeholder teams.</w:t>
      </w:r>
    </w:p>
    <w:p>
      <w:pPr>
        <w:tabs>
          <w:tab w:val="right" w:pos="10080"/>
        </w:tabs>
        <w:spacing w:after="0" w:before="45"/>
      </w:pPr>
      <w:r>
        <w:rPr>
          <w:rFonts w:ascii="Calibri" w:cs="Calibri" w:eastAsia="Calibri" w:hAnsi="Calibri"/>
          <w:b/>
          <w:bCs/>
          <w:sz w:val="20"/>
          <w:szCs w:val="20"/>
        </w:rPr>
        <w:t xml:space="preserve">Lead Engineer</w:t>
      </w:r>
      <w:r>
        <w:rPr>
          <w:rFonts w:ascii="Calibri" w:cs="Calibri" w:eastAsia="Calibri" w:hAnsi="Calibri"/>
          <w:sz w:val="20"/>
          <w:szCs w:val="20"/>
        </w:rPr>
        <w:t xml:space="preserve"> | HCL Technologies (Client: PayPal)</w:t>
      </w:r>
      <w:r>
        <w:rPr>
          <w:rFonts w:ascii="Calibri" w:cs="Calibri" w:eastAsia="Calibri" w:hAnsi="Calibri"/>
          <w:b/>
          <w:bCs/>
          <w:sz w:val="18"/>
          <w:szCs w:val="18"/>
        </w:rPr>
        <w:t xml:space="preserve">	Apr 2023 – Dec 2025</w:t>
      </w:r>
    </w:p>
    <w:p>
      <w:pPr>
        <w:spacing w:after="18" w:before="0"/>
      </w:pPr>
      <w:r>
        <w:rPr>
          <w:rFonts w:ascii="Calibri" w:cs="Calibri" w:eastAsia="Calibri" w:hAnsi="Calibri"/>
          <w:i/>
          <w:iCs/>
          <w:color w:val="555555"/>
          <w:sz w:val="17"/>
          <w:szCs w:val="17"/>
        </w:rPr>
        <w:t xml:space="preserve">Project: PayPal TrackMate – Enterprise Privacy Compliance Platform | Client UI &amp; API Support</w:t>
      </w:r>
    </w:p>
    <w:p>
      <w:pPr>
        <w:pStyle w:val="ListParagraph"/>
        <w:numPr>
          <w:ilvl w:val="0"/>
          <w:numId w:val="2"/>
        </w:numPr>
        <w:spacing w:after="0" w:before="0" w:line="208"/>
      </w:pPr>
      <w:r>
        <w:rPr>
          <w:rFonts w:ascii="Calibri" w:cs="Calibri" w:eastAsia="Calibri" w:hAnsi="Calibri"/>
          <w:b/>
          <w:bCs/>
          <w:sz w:val="18"/>
          <w:szCs w:val="18"/>
        </w:rPr>
        <w:t xml:space="preserve">Primary point of contact for real-time issue resolution </w:t>
      </w:r>
      <w:r>
        <w:rPr>
          <w:rFonts w:ascii="Calibri" w:cs="Calibri" w:eastAsia="Calibri" w:hAnsi="Calibri"/>
          <w:sz w:val="18"/>
          <w:szCs w:val="18"/>
        </w:rPr>
        <w:t xml:space="preserve">for compliance, legal, and audit users (internal enterprise clients) across PayPal, Venmo, Braintree, Xoom, Honey, Zettle, and Hyperwallet — directly triaging live user-reported issues on tracker classification, cookie reporting, and dashboard accuracy as they surfaced, and driving same-day fixes for critical blockers.</w:t>
      </w:r>
    </w:p>
    <w:p>
      <w:pPr>
        <w:pStyle w:val="ListParagraph"/>
        <w:numPr>
          <w:ilvl w:val="0"/>
          <w:numId w:val="2"/>
        </w:numPr>
        <w:spacing w:after="0" w:before="0" w:line="208"/>
      </w:pPr>
      <w:r>
        <w:rPr>
          <w:rFonts w:ascii="Calibri" w:cs="Calibri" w:eastAsia="Calibri" w:hAnsi="Calibri"/>
          <w:b/>
          <w:bCs/>
          <w:sz w:val="18"/>
          <w:szCs w:val="18"/>
        </w:rPr>
        <w:t xml:space="preserve">Triaged and fixed client-reported UI issues </w:t>
      </w:r>
      <w:r>
        <w:rPr>
          <w:rFonts w:ascii="Calibri" w:cs="Calibri" w:eastAsia="Calibri" w:hAnsi="Calibri"/>
          <w:sz w:val="18"/>
          <w:szCs w:val="18"/>
        </w:rPr>
        <w:t xml:space="preserve">on the tracker/cookie management dashboard — incorrect anomaly flags (unknown, mismatch, multi-category), broken filters, and mismatched classification labels — tracing bugs back to backend API response mapping.</w:t>
      </w:r>
    </w:p>
    <w:p>
      <w:pPr>
        <w:pStyle w:val="ListParagraph"/>
        <w:numPr>
          <w:ilvl w:val="0"/>
          <w:numId w:val="2"/>
        </w:numPr>
        <w:spacing w:after="0" w:before="0" w:line="208"/>
      </w:pPr>
      <w:r>
        <w:rPr>
          <w:rFonts w:ascii="Calibri" w:cs="Calibri" w:eastAsia="Calibri" w:hAnsi="Calibri"/>
          <w:b/>
          <w:bCs/>
          <w:sz w:val="18"/>
          <w:szCs w:val="18"/>
        </w:rPr>
        <w:t xml:space="preserve">Diagnosed and resolved GraphQL API defects </w:t>
      </w:r>
      <w:r>
        <w:rPr>
          <w:rFonts w:ascii="Calibri" w:cs="Calibri" w:eastAsia="Calibri" w:hAnsi="Calibri"/>
          <w:sz w:val="18"/>
          <w:szCs w:val="18"/>
        </w:rPr>
        <w:t xml:space="preserve">causing incorrect data on client-facing dashboards and performance issues on large report pulls (944K+ pages, 2,585+ cookies); optimised MySQL queries and reduced response times.</w:t>
      </w:r>
    </w:p>
    <w:p>
      <w:pPr>
        <w:pStyle w:val="ListParagraph"/>
        <w:numPr>
          <w:ilvl w:val="0"/>
          <w:numId w:val="2"/>
        </w:numPr>
        <w:spacing w:after="0" w:before="0" w:line="208"/>
      </w:pPr>
      <w:r>
        <w:rPr>
          <w:rFonts w:ascii="Calibri" w:cs="Calibri" w:eastAsia="Calibri" w:hAnsi="Calibri"/>
          <w:b/>
          <w:bCs/>
          <w:sz w:val="18"/>
          <w:szCs w:val="18"/>
        </w:rPr>
        <w:t xml:space="preserve">Acted as technical liaison, </w:t>
      </w:r>
      <w:r>
        <w:rPr>
          <w:rFonts w:ascii="Calibri" w:cs="Calibri" w:eastAsia="Calibri" w:hAnsi="Calibri"/>
          <w:sz w:val="18"/>
          <w:szCs w:val="18"/>
        </w:rPr>
        <w:t xml:space="preserve">translating root cause findings into clear, non-technical explanations for stakeholders; logged and tracked all client-reported defects via Jira within SLA.</w:t>
      </w:r>
    </w:p>
    <w:p>
      <w:pPr>
        <w:tabs>
          <w:tab w:val="right" w:pos="10080"/>
        </w:tabs>
        <w:spacing w:after="0" w:before="45"/>
      </w:pPr>
      <w:r>
        <w:rPr>
          <w:rFonts w:ascii="Calibri" w:cs="Calibri" w:eastAsia="Calibri" w:hAnsi="Calibri"/>
          <w:b/>
          <w:bCs/>
          <w:sz w:val="20"/>
          <w:szCs w:val="20"/>
        </w:rPr>
        <w:t xml:space="preserve">Software Engineer</w:t>
      </w:r>
      <w:r>
        <w:rPr>
          <w:rFonts w:ascii="Calibri" w:cs="Calibri" w:eastAsia="Calibri" w:hAnsi="Calibri"/>
          <w:sz w:val="20"/>
          <w:szCs w:val="20"/>
        </w:rPr>
        <w:t xml:space="preserve"> | DXC Technology</w:t>
      </w:r>
      <w:r>
        <w:rPr>
          <w:rFonts w:ascii="Calibri" w:cs="Calibri" w:eastAsia="Calibri" w:hAnsi="Calibri"/>
          <w:b/>
          <w:bCs/>
          <w:sz w:val="18"/>
          <w:szCs w:val="18"/>
        </w:rPr>
        <w:t xml:space="preserve">	Aug 2021 – Apr 2023</w:t>
      </w:r>
    </w:p>
    <w:p>
      <w:pPr>
        <w:spacing w:after="18" w:before="0"/>
      </w:pPr>
      <w:r>
        <w:rPr>
          <w:rFonts w:ascii="Calibri" w:cs="Calibri" w:eastAsia="Calibri" w:hAnsi="Calibri"/>
          <w:i/>
          <w:iCs/>
          <w:color w:val="555555"/>
          <w:sz w:val="17"/>
          <w:szCs w:val="17"/>
        </w:rPr>
        <w:t xml:space="preserve">Client: BlackBerry – Fleet Management &amp; Vehicle Routing Platform | Technical Support</w:t>
      </w:r>
    </w:p>
    <w:p>
      <w:pPr>
        <w:pStyle w:val="ListParagraph"/>
        <w:numPr>
          <w:ilvl w:val="0"/>
          <w:numId w:val="2"/>
        </w:numPr>
        <w:spacing w:after="0" w:before="0" w:line="208"/>
      </w:pPr>
      <w:r>
        <w:rPr>
          <w:rFonts w:ascii="Calibri" w:cs="Calibri" w:eastAsia="Calibri" w:hAnsi="Calibri"/>
          <w:b/>
          <w:bCs/>
          <w:sz w:val="18"/>
          <w:szCs w:val="18"/>
        </w:rPr>
        <w:t xml:space="preserve">Provided technical support for a fleet management and vehicle routing platform, </w:t>
      </w:r>
      <w:r>
        <w:rPr>
          <w:rFonts w:ascii="Calibri" w:cs="Calibri" w:eastAsia="Calibri" w:hAnsi="Calibri"/>
          <w:sz w:val="18"/>
          <w:szCs w:val="18"/>
        </w:rPr>
        <w:t xml:space="preserve">resolving 30+ tickets weekly and reducing average resolution time by 25%.</w:t>
      </w:r>
    </w:p>
    <w:p>
      <w:pPr>
        <w:pStyle w:val="ListParagraph"/>
        <w:numPr>
          <w:ilvl w:val="0"/>
          <w:numId w:val="2"/>
        </w:numPr>
        <w:spacing w:after="0" w:before="0" w:line="208"/>
      </w:pPr>
      <w:r>
        <w:rPr>
          <w:rFonts w:ascii="Calibri" w:cs="Calibri" w:eastAsia="Calibri" w:hAnsi="Calibri"/>
          <w:b/>
          <w:bCs/>
          <w:sz w:val="18"/>
          <w:szCs w:val="18"/>
        </w:rPr>
        <w:t xml:space="preserve">Diagnosed UI and API issues using Splunk, browser DevTools, and Postman, </w:t>
      </w:r>
      <w:r>
        <w:rPr>
          <w:rFonts w:ascii="Calibri" w:cs="Calibri" w:eastAsia="Calibri" w:hAnsi="Calibri"/>
          <w:sz w:val="18"/>
          <w:szCs w:val="18"/>
        </w:rPr>
        <w:t xml:space="preserve">ensuring accurate real-time route data across cross-border logistics operations.</w:t>
      </w:r>
    </w:p>
    <w:p>
      <w:pPr>
        <w:pStyle w:val="ListParagraph"/>
        <w:numPr>
          <w:ilvl w:val="0"/>
          <w:numId w:val="2"/>
        </w:numPr>
        <w:spacing w:after="0" w:before="0" w:line="208"/>
      </w:pPr>
      <w:r>
        <w:rPr>
          <w:rFonts w:ascii="Calibri" w:cs="Calibri" w:eastAsia="Calibri" w:hAnsi="Calibri"/>
          <w:b/>
          <w:bCs/>
          <w:sz w:val="18"/>
          <w:szCs w:val="18"/>
        </w:rPr>
        <w:t xml:space="preserve">Collaborated with UI/UX, Dev, and QA teams via Jira </w:t>
      </w:r>
      <w:r>
        <w:rPr>
          <w:rFonts w:ascii="Calibri" w:cs="Calibri" w:eastAsia="Calibri" w:hAnsi="Calibri"/>
          <w:sz w:val="18"/>
          <w:szCs w:val="18"/>
        </w:rPr>
        <w:t xml:space="preserve">to escalate and resolve critical bugs, improving SLA compliance from 85% to 97%.</w:t>
      </w:r>
    </w:p>
    <w:p>
      <w:pPr>
        <w:pStyle w:val="ListParagraph"/>
        <w:numPr>
          <w:ilvl w:val="0"/>
          <w:numId w:val="2"/>
        </w:numPr>
        <w:spacing w:after="0" w:before="0" w:line="208"/>
      </w:pPr>
      <w:r>
        <w:rPr>
          <w:rFonts w:ascii="Calibri" w:cs="Calibri" w:eastAsia="Calibri" w:hAnsi="Calibri"/>
          <w:b/>
          <w:bCs/>
          <w:sz w:val="18"/>
          <w:szCs w:val="18"/>
        </w:rPr>
        <w:t xml:space="preserve">Documented troubleshooting runbooks and API references, </w:t>
      </w:r>
      <w:r>
        <w:rPr>
          <w:rFonts w:ascii="Calibri" w:cs="Calibri" w:eastAsia="Calibri" w:hAnsi="Calibri"/>
          <w:sz w:val="18"/>
          <w:szCs w:val="18"/>
        </w:rPr>
        <w:t xml:space="preserve">reducing onboarding time and improving resolution consistency across the support team.</w:t>
      </w:r>
    </w:p>
    <w:p>
      <w:pPr>
        <w:pBdr>
          <w:bottom w:val="single" w:color="1F3864" w:sz="6" w:space="1"/>
        </w:pBdr>
        <w:spacing w:after="20" w:before="60"/>
      </w:pPr>
      <w:r>
        <w:rPr>
          <w:rFonts w:ascii="Calibri" w:cs="Calibri" w:eastAsia="Calibri" w:hAnsi="Calibri"/>
          <w:b/>
          <w:bCs/>
          <w:color w:val="1F3864"/>
          <w:sz w:val="20"/>
          <w:szCs w:val="20"/>
        </w:rPr>
        <w:t xml:space="preserve">AWARDS &amp; ACHIEVEMENTS</w:t>
      </w:r>
    </w:p>
    <w:p>
      <w:pPr>
        <w:pStyle w:val="ListParagraph"/>
        <w:numPr>
          <w:ilvl w:val="0"/>
          <w:numId w:val="2"/>
        </w:numPr>
        <w:spacing w:after="0" w:before="0" w:line="208"/>
      </w:pPr>
      <w:r>
        <w:rPr>
          <w:rFonts w:ascii="Calibri" w:cs="Calibri" w:eastAsia="Calibri" w:hAnsi="Calibri"/>
          <w:b/>
          <w:bCs/>
          <w:sz w:val="18"/>
          <w:szCs w:val="18"/>
        </w:rPr>
        <w:t xml:space="preserve">STAR Performer Award (DXC Technology) </w:t>
      </w:r>
      <w:r>
        <w:rPr>
          <w:rFonts w:ascii="Calibri" w:cs="Calibri" w:eastAsia="Calibri" w:hAnsi="Calibri"/>
          <w:sz w:val="18"/>
          <w:szCs w:val="18"/>
        </w:rPr>
        <w:t xml:space="preserve">— Achieved 100% Customer Satisfaction (CSAT) for excellence in technical delivery and client relationship management.</w:t>
      </w:r>
    </w:p>
    <w:p>
      <w:pPr>
        <w:pStyle w:val="ListParagraph"/>
        <w:numPr>
          <w:ilvl w:val="0"/>
          <w:numId w:val="2"/>
        </w:numPr>
        <w:spacing w:after="0" w:before="0" w:line="208"/>
      </w:pPr>
      <w:r>
        <w:rPr>
          <w:rFonts w:ascii="Calibri" w:cs="Calibri" w:eastAsia="Calibri" w:hAnsi="Calibri"/>
          <w:b/>
          <w:bCs/>
          <w:sz w:val="18"/>
          <w:szCs w:val="18"/>
        </w:rPr>
        <w:t xml:space="preserve">Early Impact Award (HCL Technologies) </w:t>
      </w:r>
      <w:r>
        <w:rPr>
          <w:rFonts w:ascii="Calibri" w:cs="Calibri" w:eastAsia="Calibri" w:hAnsi="Calibri"/>
          <w:sz w:val="18"/>
          <w:szCs w:val="18"/>
        </w:rPr>
        <w:t xml:space="preserve">— Recognised for delivering high-quality solutions across systems processing 944K+ pages, 2,585 cookies, and 4,465 web trackers across 8 brands and 125+ domains.</w:t>
      </w:r>
    </w:p>
    <w:p>
      <w:pPr>
        <w:pBdr>
          <w:bottom w:val="single" w:color="1F3864" w:sz="6" w:space="1"/>
        </w:pBdr>
        <w:spacing w:after="20" w:before="60"/>
      </w:pPr>
      <w:r>
        <w:rPr>
          <w:rFonts w:ascii="Calibri" w:cs="Calibri" w:eastAsia="Calibri" w:hAnsi="Calibri"/>
          <w:b/>
          <w:bCs/>
          <w:color w:val="1F3864"/>
          <w:sz w:val="20"/>
          <w:szCs w:val="20"/>
        </w:rPr>
        <w:t xml:space="preserve">EDUCATION &amp; CERTIFICATIONS</w:t>
      </w:r>
    </w:p>
    <w:p>
      <w:pPr>
        <w:tabs>
          <w:tab w:val="right" w:pos="10080"/>
        </w:tabs>
        <w:spacing w:after="0" w:before="0" w:line="208"/>
      </w:pPr>
      <w:r>
        <w:rPr>
          <w:rFonts w:ascii="Calibri" w:cs="Calibri" w:eastAsia="Calibri" w:hAnsi="Calibri"/>
          <w:b/>
          <w:bCs/>
          <w:sz w:val="18"/>
          <w:szCs w:val="18"/>
        </w:rPr>
        <w:t xml:space="preserve">B.Tech, Computer Science</w:t>
      </w:r>
      <w:r>
        <w:rPr>
          <w:rFonts w:ascii="Calibri" w:cs="Calibri" w:eastAsia="Calibri" w:hAnsi="Calibri"/>
          <w:sz w:val="18"/>
          <w:szCs w:val="18"/>
        </w:rPr>
        <w:t xml:space="preserve"> — Guru Gobind Singh Indraprastha University (GGSIPU), 83.33%</w:t>
      </w:r>
      <w:r>
        <w:rPr>
          <w:rFonts w:ascii="Calibri" w:cs="Calibri" w:eastAsia="Calibri" w:hAnsi="Calibri"/>
          <w:b/>
          <w:bCs/>
          <w:sz w:val="18"/>
          <w:szCs w:val="18"/>
        </w:rPr>
        <w:t xml:space="preserve">	2017 – 2021</w:t>
      </w:r>
    </w:p>
    <w:p>
      <w:pPr>
        <w:spacing w:after="0" w:before="0" w:line="208"/>
      </w:pPr>
      <w:r>
        <w:rPr>
          <w:rFonts w:ascii="Calibri" w:cs="Calibri" w:eastAsia="Calibri" w:hAnsi="Calibri"/>
          <w:b/>
          <w:bCs/>
          <w:sz w:val="18"/>
          <w:szCs w:val="18"/>
        </w:rPr>
        <w:t xml:space="preserve">Certifications: </w:t>
      </w:r>
      <w:r>
        <w:rPr>
          <w:rFonts w:ascii="Calibri" w:cs="Calibri" w:eastAsia="Calibri" w:hAnsi="Calibri"/>
          <w:sz w:val="18"/>
          <w:szCs w:val="18"/>
        </w:rPr>
        <w:t xml:space="preserve">AWS AI Practitioner  •  AWS Cloud Practitioner  •  Azure Fundamentals (AZ-900)  •  Udacity Data Analyst &amp; Data Scientist Nanodegrees</w:t>
      </w:r>
    </w:p>
    <w:sectPr>
      <w:pgSz w:w="12240" w:h="15840" w:orient="portrait"/>
      <w:pgMar w:top="360" w:right="650" w:bottom="36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208"/>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Bhavesh Jakhar Resume - Wingify TAM</dc:title>
  <dc:creator>Bhavesh Jakhar</dc:creator>
  <cp:lastModifiedBy>Un-named</cp:lastModifiedBy>
  <cp:revision>1</cp:revision>
  <dcterms:created xsi:type="dcterms:W3CDTF">2026-07-14T06:23:45.603Z</dcterms:created>
  <dcterms:modified xsi:type="dcterms:W3CDTF">2026-07-14T06:23:45.604Z</dcterms:modified>
</cp:coreProperties>
</file>

<file path=docProps/custom.xml><?xml version="1.0" encoding="utf-8"?>
<Properties xmlns="http://schemas.openxmlformats.org/officeDocument/2006/custom-properties" xmlns:vt="http://schemas.openxmlformats.org/officeDocument/2006/docPropsVTypes"/>
</file>