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388352" cy="9561397"/>
            <wp:docPr id="1" name="Picture 1" descr="Research paper page 1 of 6. High-resolution page image; original layout preserv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88352" cy="95613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388352" cy="9561397"/>
            <wp:docPr id="2" name="Picture 2" descr="Research paper page 2 of 6. High-resolution page image; original layout preserv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88352" cy="95613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388352" cy="9561397"/>
            <wp:docPr id="3" name="Picture 3" descr="Research paper page 3 of 6. High-resolution page image; original layout preserv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88352" cy="95613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388352" cy="9561397"/>
            <wp:docPr id="4" name="Picture 4" descr="Research paper page 4 of 6. High-resolution page image; original layout preserv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388352" cy="95613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388352" cy="9561397"/>
            <wp:docPr id="5" name="Picture 5" descr="Research paper page 5 of 6. High-resolution page image; original layout preserv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388352" cy="95613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388352" cy="9561397"/>
            <wp:docPr id="6" name="Picture 6" descr="Research paper page 6 of 6. High-resolution page image; original layout preserv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388352" cy="956139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317" w:right="288" w:bottom="317" w:left="288" w:header="144" w:footer="14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VitaSync: Multi-Branch Blood Supply Chain Optimization &amp; Emergency Redistribution Mesh</dc:title>
  <dc:subject>Word-format facsimile of the supplied six-page technical research paper</dc:subject>
  <dc:creator>CodeAfterDark | Team 6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