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94CD8" w14:textId="3DAF1833" w:rsidR="00E20A35" w:rsidRDefault="00E20A35" w:rsidP="00E20A35">
      <w:pPr>
        <w:rPr>
          <w:rFonts w:ascii="Times New Roman" w:hAnsi="Times New Roman" w:cs="Times New Roman"/>
        </w:rPr>
      </w:pPr>
      <w:r>
        <w:rPr>
          <w:rStyle w:val="Strong"/>
          <w:rFonts w:eastAsiaTheme="majorEastAsia"/>
        </w:rPr>
        <w:t xml:space="preserve">                                         </w:t>
      </w:r>
      <w:r>
        <w:rPr>
          <w:rFonts w:ascii="Times New Roman" w:hAnsi="Times New Roman" w:cs="Times New Roman"/>
        </w:rPr>
        <w:t xml:space="preserve">        </w:t>
      </w:r>
      <w:r w:rsidRPr="00C74F91">
        <w:rPr>
          <w:rFonts w:ascii="Times New Roman" w:hAnsi="Times New Roman" w:cs="Times New Roman"/>
          <w:noProof/>
        </w:rPr>
        <w:drawing>
          <wp:inline distT="0" distB="0" distL="0" distR="0" wp14:anchorId="186A0CA6" wp14:editId="3773FE3E">
            <wp:extent cx="3591426" cy="1571844"/>
            <wp:effectExtent l="0" t="0" r="9525" b="9525"/>
            <wp:docPr id="973912988"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12988" name="Picture 1" descr="A close-up of a logo&#10;&#10;Description automatically generated"/>
                    <pic:cNvPicPr/>
                  </pic:nvPicPr>
                  <pic:blipFill>
                    <a:blip r:embed="rId5"/>
                    <a:stretch>
                      <a:fillRect/>
                    </a:stretch>
                  </pic:blipFill>
                  <pic:spPr>
                    <a:xfrm>
                      <a:off x="0" y="0"/>
                      <a:ext cx="3591426" cy="1571844"/>
                    </a:xfrm>
                    <a:prstGeom prst="rect">
                      <a:avLst/>
                    </a:prstGeom>
                  </pic:spPr>
                </pic:pic>
              </a:graphicData>
            </a:graphic>
          </wp:inline>
        </w:drawing>
      </w:r>
    </w:p>
    <w:p w14:paraId="6E666FB4" w14:textId="5B95AF11" w:rsidR="00E20A35" w:rsidRDefault="00E20A35" w:rsidP="00E20A35">
      <w:pPr>
        <w:pStyle w:val="whitespace-pre-wrap"/>
        <w:rPr>
          <w:rStyle w:val="Strong"/>
          <w:rFonts w:eastAsiaTheme="majorEastAsia"/>
        </w:rPr>
      </w:pPr>
    </w:p>
    <w:p w14:paraId="079D4DEE" w14:textId="65946175" w:rsidR="00E20A35" w:rsidRPr="00E20A35" w:rsidRDefault="00E20A35" w:rsidP="00E20A35">
      <w:pPr>
        <w:pStyle w:val="whitespace-pre-wrap"/>
        <w:rPr>
          <w:rStyle w:val="Strong"/>
          <w:rFonts w:eastAsiaTheme="majorEastAsia"/>
          <w:sz w:val="32"/>
          <w:szCs w:val="32"/>
          <w:u w:val="single"/>
        </w:rPr>
      </w:pPr>
      <w:r w:rsidRPr="00E20A35">
        <w:rPr>
          <w:rStyle w:val="Strong"/>
          <w:rFonts w:eastAsiaTheme="majorEastAsia"/>
          <w:sz w:val="32"/>
          <w:szCs w:val="32"/>
          <w:u w:val="single"/>
        </w:rPr>
        <w:t>Unveiling Healthcare Excellence: Leveraging Data Science and AI for Transformative Quality Insights</w:t>
      </w:r>
    </w:p>
    <w:p w14:paraId="3B7A6960" w14:textId="77777777" w:rsidR="00E20A35" w:rsidRPr="00E20A35" w:rsidRDefault="00E20A35" w:rsidP="00E20A35">
      <w:pPr>
        <w:pStyle w:val="whitespace-pre-wrap"/>
        <w:rPr>
          <w:rStyle w:val="Strong"/>
          <w:rFonts w:eastAsiaTheme="majorEastAsia"/>
          <w:sz w:val="28"/>
          <w:szCs w:val="28"/>
        </w:rPr>
      </w:pPr>
    </w:p>
    <w:p w14:paraId="6E6B9B44" w14:textId="77777777" w:rsidR="00E20A35" w:rsidRPr="00706D60" w:rsidRDefault="00E20A35" w:rsidP="00E20A35">
      <w:pPr>
        <w:pStyle w:val="whitespace-pre-wrap"/>
        <w:rPr>
          <w:b/>
          <w:bCs/>
          <w:sz w:val="32"/>
          <w:szCs w:val="32"/>
          <w:u w:val="single"/>
        </w:rPr>
      </w:pPr>
      <w:r w:rsidRPr="00706D60">
        <w:rPr>
          <w:rStyle w:val="Strong"/>
          <w:rFonts w:eastAsiaTheme="majorEastAsia"/>
          <w:b w:val="0"/>
          <w:bCs w:val="0"/>
          <w:sz w:val="32"/>
          <w:szCs w:val="32"/>
          <w:u w:val="single"/>
        </w:rPr>
        <w:t>Introduction</w:t>
      </w:r>
      <w:r w:rsidRPr="00706D60">
        <w:rPr>
          <w:b/>
          <w:bCs/>
          <w:sz w:val="32"/>
          <w:szCs w:val="32"/>
          <w:u w:val="single"/>
        </w:rPr>
        <w:t xml:space="preserve"> </w:t>
      </w:r>
    </w:p>
    <w:p w14:paraId="67866291" w14:textId="0D8E6A69" w:rsidR="00E20A35" w:rsidRPr="00E20A35" w:rsidRDefault="001F42B4" w:rsidP="00E20A35">
      <w:pPr>
        <w:pStyle w:val="whitespace-pre-wrap"/>
        <w:rPr>
          <w:sz w:val="28"/>
          <w:szCs w:val="28"/>
        </w:rPr>
      </w:pPr>
      <w:r w:rsidRPr="001F42B4">
        <w:rPr>
          <w:sz w:val="28"/>
          <w:szCs w:val="28"/>
        </w:rPr>
        <w:t>In the ever-evolving landscape of healthcare, optimizing quality measures is paramount for delivering exceptional patient outcomes and driving operational efficiency. This project, undertaken within the context of Cotiviti's commitment to excellence in healthcare analytics, aims to revolutionize the analysis of healthcare quality measures through advanced data science techniques. By leveraging a comprehensive dataset sourced from healthcare facilities across the nation, we seek to uncover actionable insights that can inform data-driven decision-making and facilitate continuous improvement in patient care delivery.</w:t>
      </w:r>
    </w:p>
    <w:p w14:paraId="76254459" w14:textId="77777777" w:rsidR="00E20A35" w:rsidRPr="00706D60" w:rsidRDefault="00E20A35" w:rsidP="00E20A35">
      <w:pPr>
        <w:pStyle w:val="whitespace-pre-wrap"/>
        <w:rPr>
          <w:rStyle w:val="Strong"/>
          <w:rFonts w:eastAsiaTheme="majorEastAsia"/>
          <w:b w:val="0"/>
          <w:bCs w:val="0"/>
          <w:sz w:val="32"/>
          <w:szCs w:val="32"/>
          <w:u w:val="single"/>
        </w:rPr>
      </w:pPr>
      <w:r w:rsidRPr="00706D60">
        <w:rPr>
          <w:rStyle w:val="Strong"/>
          <w:rFonts w:eastAsiaTheme="majorEastAsia"/>
          <w:b w:val="0"/>
          <w:bCs w:val="0"/>
          <w:sz w:val="32"/>
          <w:szCs w:val="32"/>
          <w:u w:val="single"/>
        </w:rPr>
        <w:t>Dataset Overview</w:t>
      </w:r>
    </w:p>
    <w:p w14:paraId="2980352F" w14:textId="1BB1619B" w:rsidR="00E20A35" w:rsidRPr="001F42B4" w:rsidRDefault="001F42B4" w:rsidP="00E20A35">
      <w:pPr>
        <w:pStyle w:val="whitespace-pre-wrap"/>
        <w:rPr>
          <w:sz w:val="32"/>
          <w:szCs w:val="32"/>
        </w:rPr>
      </w:pPr>
      <w:r w:rsidRPr="001F42B4">
        <w:rPr>
          <w:sz w:val="28"/>
          <w:szCs w:val="28"/>
        </w:rPr>
        <w:t>The dataset utilized in this project comprises an extensive collection of quality measures gathered from a diverse range of healthcare providers. It encompasses variables such as facility identifiers, provider information, patient demographics, quality scores, geographical data, and various other relevant attributes. This rich and multidimensional dataset serves as a valuable resource for understanding the intricate dynamics of healthcare delivery and identifying areas for targeted enhancement.</w:t>
      </w:r>
    </w:p>
    <w:p w14:paraId="17EAE955" w14:textId="77777777" w:rsidR="00E20A35" w:rsidRPr="00706D60" w:rsidRDefault="00E20A35" w:rsidP="00E20A35">
      <w:pPr>
        <w:pStyle w:val="whitespace-pre-wrap"/>
        <w:rPr>
          <w:b/>
          <w:bCs/>
          <w:sz w:val="32"/>
          <w:szCs w:val="32"/>
          <w:u w:val="single"/>
        </w:rPr>
      </w:pPr>
      <w:r w:rsidRPr="00706D60">
        <w:rPr>
          <w:rStyle w:val="Strong"/>
          <w:rFonts w:eastAsiaTheme="majorEastAsia"/>
          <w:b w:val="0"/>
          <w:bCs w:val="0"/>
          <w:sz w:val="32"/>
          <w:szCs w:val="32"/>
          <w:u w:val="single"/>
        </w:rPr>
        <w:t>Data Exploration and Cleaning</w:t>
      </w:r>
      <w:r w:rsidRPr="00706D60">
        <w:rPr>
          <w:b/>
          <w:bCs/>
          <w:sz w:val="32"/>
          <w:szCs w:val="32"/>
          <w:u w:val="single"/>
        </w:rPr>
        <w:t xml:space="preserve"> </w:t>
      </w:r>
    </w:p>
    <w:p w14:paraId="3151ED6C" w14:textId="77777777" w:rsidR="001F42B4" w:rsidRPr="001F42B4" w:rsidRDefault="001F42B4" w:rsidP="001F42B4">
      <w:pPr>
        <w:pStyle w:val="NormalWeb"/>
        <w:rPr>
          <w:sz w:val="28"/>
          <w:szCs w:val="28"/>
        </w:rPr>
      </w:pPr>
      <w:r w:rsidRPr="001F42B4">
        <w:rPr>
          <w:sz w:val="28"/>
          <w:szCs w:val="28"/>
        </w:rPr>
        <w:t xml:space="preserve">The project commenced with a rigorous data exploration and cleaning phase, underpinned by a meticulous approach to ensuring data integrity and consistency. Leveraging powerful libraries such as </w:t>
      </w:r>
      <w:proofErr w:type="spellStart"/>
      <w:r w:rsidRPr="001F42B4">
        <w:rPr>
          <w:sz w:val="28"/>
          <w:szCs w:val="28"/>
        </w:rPr>
        <w:t>tidyverse</w:t>
      </w:r>
      <w:proofErr w:type="spellEnd"/>
      <w:r w:rsidRPr="001F42B4">
        <w:rPr>
          <w:sz w:val="28"/>
          <w:szCs w:val="28"/>
        </w:rPr>
        <w:t xml:space="preserve">, </w:t>
      </w:r>
      <w:proofErr w:type="gramStart"/>
      <w:r w:rsidRPr="001F42B4">
        <w:rPr>
          <w:sz w:val="28"/>
          <w:szCs w:val="28"/>
        </w:rPr>
        <w:t>caret</w:t>
      </w:r>
      <w:proofErr w:type="gramEnd"/>
      <w:r w:rsidRPr="001F42B4">
        <w:rPr>
          <w:sz w:val="28"/>
          <w:szCs w:val="28"/>
        </w:rPr>
        <w:t xml:space="preserve">, </w:t>
      </w:r>
      <w:proofErr w:type="spellStart"/>
      <w:r w:rsidRPr="001F42B4">
        <w:rPr>
          <w:sz w:val="28"/>
          <w:szCs w:val="28"/>
        </w:rPr>
        <w:t>data.table</w:t>
      </w:r>
      <w:proofErr w:type="spellEnd"/>
      <w:r w:rsidRPr="001F42B4">
        <w:rPr>
          <w:sz w:val="28"/>
          <w:szCs w:val="28"/>
        </w:rPr>
        <w:t xml:space="preserve">, </w:t>
      </w:r>
      <w:proofErr w:type="spellStart"/>
      <w:r w:rsidRPr="001F42B4">
        <w:rPr>
          <w:sz w:val="28"/>
          <w:szCs w:val="28"/>
        </w:rPr>
        <w:t>lubridate</w:t>
      </w:r>
      <w:proofErr w:type="spellEnd"/>
      <w:r w:rsidRPr="001F42B4">
        <w:rPr>
          <w:sz w:val="28"/>
          <w:szCs w:val="28"/>
        </w:rPr>
        <w:t xml:space="preserve">, synthpop, ggplot2, and </w:t>
      </w:r>
      <w:proofErr w:type="spellStart"/>
      <w:r w:rsidRPr="001F42B4">
        <w:rPr>
          <w:sz w:val="28"/>
          <w:szCs w:val="28"/>
        </w:rPr>
        <w:t>dplyr</w:t>
      </w:r>
      <w:proofErr w:type="spellEnd"/>
      <w:r w:rsidRPr="001F42B4">
        <w:rPr>
          <w:sz w:val="28"/>
          <w:szCs w:val="28"/>
        </w:rPr>
        <w:t>, we systematically examined the dataset's structure, content, and quality.</w:t>
      </w:r>
    </w:p>
    <w:p w14:paraId="2F0E10B1" w14:textId="77777777" w:rsidR="001F42B4" w:rsidRPr="001F42B4" w:rsidRDefault="001F42B4" w:rsidP="001F42B4">
      <w:pPr>
        <w:pStyle w:val="NormalWeb"/>
        <w:rPr>
          <w:sz w:val="28"/>
          <w:szCs w:val="28"/>
        </w:rPr>
      </w:pPr>
      <w:r w:rsidRPr="001F42B4">
        <w:rPr>
          <w:sz w:val="28"/>
          <w:szCs w:val="28"/>
        </w:rPr>
        <w:t xml:space="preserve">Through comprehensive analysis, we identified and addressed missing values, duplicates, and inconsistencies. Missing numerical values were imputed with the mean, while missing categorical values were assigned a default value of "No Footnote." Duplicates were removed, </w:t>
      </w:r>
      <w:r w:rsidRPr="001F42B4">
        <w:rPr>
          <w:sz w:val="28"/>
          <w:szCs w:val="28"/>
        </w:rPr>
        <w:lastRenderedPageBreak/>
        <w:t>and text columns were standardized to ensure consistency across the dataset. These rigorous data cleaning steps laid the foundation for reliable and robust analyses.</w:t>
      </w:r>
    </w:p>
    <w:p w14:paraId="43A4F1CC" w14:textId="77777777" w:rsidR="00E20A35" w:rsidRPr="00706D60" w:rsidRDefault="00E20A35" w:rsidP="00E20A35">
      <w:pPr>
        <w:pStyle w:val="whitespace-pre-wrap"/>
        <w:rPr>
          <w:b/>
          <w:bCs/>
          <w:sz w:val="32"/>
          <w:szCs w:val="32"/>
          <w:u w:val="single"/>
        </w:rPr>
      </w:pPr>
      <w:r w:rsidRPr="00706D60">
        <w:rPr>
          <w:rStyle w:val="Strong"/>
          <w:rFonts w:eastAsiaTheme="majorEastAsia"/>
          <w:b w:val="0"/>
          <w:bCs w:val="0"/>
          <w:sz w:val="32"/>
          <w:szCs w:val="32"/>
          <w:u w:val="single"/>
        </w:rPr>
        <w:t>Data Analysis and Visualization</w:t>
      </w:r>
      <w:r w:rsidRPr="00706D60">
        <w:rPr>
          <w:b/>
          <w:bCs/>
          <w:sz w:val="32"/>
          <w:szCs w:val="32"/>
          <w:u w:val="single"/>
        </w:rPr>
        <w:t xml:space="preserve"> </w:t>
      </w:r>
    </w:p>
    <w:p w14:paraId="4963C0AE" w14:textId="77777777" w:rsidR="001F42B4" w:rsidRPr="001F42B4" w:rsidRDefault="001F42B4" w:rsidP="001F42B4">
      <w:pPr>
        <w:pStyle w:val="whitespace-pre-wrap"/>
        <w:rPr>
          <w:sz w:val="28"/>
          <w:szCs w:val="28"/>
        </w:rPr>
      </w:pPr>
      <w:r w:rsidRPr="001F42B4">
        <w:rPr>
          <w:sz w:val="28"/>
          <w:szCs w:val="28"/>
        </w:rPr>
        <w:t>The cleaned and preprocessed dataset underwent a comprehensive analysis, leveraging statistical techniques and powerful data visualization tools. Key insights and findings were derived through summary statistics, correlation analysis, and visually compelling representations of the data.</w:t>
      </w:r>
    </w:p>
    <w:p w14:paraId="6FB2431F" w14:textId="32AD7F41" w:rsidR="00E20A35" w:rsidRDefault="001F42B4" w:rsidP="00E20A35">
      <w:pPr>
        <w:pStyle w:val="whitespace-pre-wrap"/>
        <w:rPr>
          <w:sz w:val="28"/>
          <w:szCs w:val="28"/>
        </w:rPr>
      </w:pPr>
      <w:r w:rsidRPr="001F42B4">
        <w:rPr>
          <w:sz w:val="28"/>
          <w:szCs w:val="28"/>
        </w:rPr>
        <w:t xml:space="preserve">One of the standout visualizations was the histogram of adjusted scores, which revealed a skewed distribution with </w:t>
      </w:r>
      <w:proofErr w:type="gramStart"/>
      <w:r w:rsidRPr="001F42B4">
        <w:rPr>
          <w:sz w:val="28"/>
          <w:szCs w:val="28"/>
        </w:rPr>
        <w:t>a majority of</w:t>
      </w:r>
      <w:proofErr w:type="gramEnd"/>
      <w:r w:rsidRPr="001F42B4">
        <w:rPr>
          <w:sz w:val="28"/>
          <w:szCs w:val="28"/>
        </w:rPr>
        <w:t xml:space="preserve"> scores clustered towards the lower end of the range. This observation suggested the presence of potential outliers or facilities consistently achieving higher quality scores, warranting further investigation into contributing factors.</w:t>
      </w:r>
    </w:p>
    <w:p w14:paraId="58113B47" w14:textId="071709D7" w:rsidR="00E20A35" w:rsidRPr="00706D60" w:rsidRDefault="00E20A35" w:rsidP="00E20A35">
      <w:pPr>
        <w:pStyle w:val="whitespace-pre-wrap"/>
        <w:rPr>
          <w:sz w:val="28"/>
          <w:szCs w:val="28"/>
        </w:rPr>
      </w:pPr>
      <w:r w:rsidRPr="00706D60">
        <w:rPr>
          <w:sz w:val="28"/>
          <w:szCs w:val="28"/>
        </w:rPr>
        <w:t>Figure 1</w:t>
      </w:r>
    </w:p>
    <w:p w14:paraId="1B9B0739" w14:textId="0AD0C495" w:rsidR="00E20A35" w:rsidRDefault="00E20A35" w:rsidP="00E20A35">
      <w:pPr>
        <w:pStyle w:val="whitespace-pre-wrap"/>
      </w:pPr>
      <w:r>
        <w:rPr>
          <w:noProof/>
          <w14:ligatures w14:val="standardContextual"/>
        </w:rPr>
        <w:drawing>
          <wp:inline distT="0" distB="0" distL="0" distR="0" wp14:anchorId="06123DC8" wp14:editId="00E98EF1">
            <wp:extent cx="6858000" cy="5148580"/>
            <wp:effectExtent l="0" t="0" r="0" b="0"/>
            <wp:docPr id="1508127487" name="Picture 1" descr="A graph of a number of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27487" name="Picture 1" descr="A graph of a number of sco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w14:paraId="7BBB88F4" w14:textId="77777777" w:rsidR="001F42B4" w:rsidRDefault="001F42B4" w:rsidP="00E20A35">
      <w:pPr>
        <w:pStyle w:val="whitespace-pre-wrap"/>
        <w:rPr>
          <w:sz w:val="28"/>
          <w:szCs w:val="28"/>
        </w:rPr>
      </w:pPr>
    </w:p>
    <w:p w14:paraId="387537E2" w14:textId="5B9B9BF9" w:rsidR="00E20A35" w:rsidRPr="00E20A35" w:rsidRDefault="001F42B4" w:rsidP="00E20A35">
      <w:pPr>
        <w:pStyle w:val="whitespace-pre-wrap"/>
        <w:rPr>
          <w:sz w:val="28"/>
          <w:szCs w:val="28"/>
        </w:rPr>
      </w:pPr>
      <w:r w:rsidRPr="001F42B4">
        <w:rPr>
          <w:sz w:val="28"/>
          <w:szCs w:val="28"/>
        </w:rPr>
        <w:lastRenderedPageBreak/>
        <w:t>Furthermore, the violin plot of adjusted scores by resident type unveiled a striking contrast between long-stay and short-stay residents. Long-stay residents exhibited a more concentrated distribution with a lower median score, while short-stay residents displayed a wider spread and significantly higher median scores. This divergence highlighted the potential influence of length of stay on quality measures and prompted deeper inquiries into the underlying factors influencing this disparity.</w:t>
      </w:r>
    </w:p>
    <w:p w14:paraId="6BC101BC" w14:textId="4D2415D5" w:rsidR="00E20A35" w:rsidRPr="00E20A35" w:rsidRDefault="00E20A35" w:rsidP="00E20A35">
      <w:pPr>
        <w:pStyle w:val="whitespace-pre-wrap"/>
        <w:rPr>
          <w:sz w:val="28"/>
          <w:szCs w:val="28"/>
        </w:rPr>
      </w:pPr>
      <w:r w:rsidRPr="00E20A35">
        <w:rPr>
          <w:sz w:val="28"/>
          <w:szCs w:val="28"/>
        </w:rPr>
        <w:t>Fig 2</w:t>
      </w:r>
    </w:p>
    <w:p w14:paraId="0285A053" w14:textId="327D3267" w:rsidR="00E20A35" w:rsidRDefault="00E20A35" w:rsidP="00E20A35">
      <w:pPr>
        <w:pStyle w:val="whitespace-pre-wrap"/>
      </w:pPr>
      <w:r>
        <w:rPr>
          <w:noProof/>
          <w14:ligatures w14:val="standardContextual"/>
        </w:rPr>
        <w:drawing>
          <wp:inline distT="0" distB="0" distL="0" distR="0" wp14:anchorId="0803670C" wp14:editId="5CE29083">
            <wp:extent cx="6658904" cy="5420481"/>
            <wp:effectExtent l="0" t="0" r="8890" b="8890"/>
            <wp:docPr id="1697187620" name="Picture 2" descr="A graph of a graph showing a number of sco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87620" name="Picture 2" descr="A graph of a graph showing a number of scor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658904" cy="5420481"/>
                    </a:xfrm>
                    <a:prstGeom prst="rect">
                      <a:avLst/>
                    </a:prstGeom>
                  </pic:spPr>
                </pic:pic>
              </a:graphicData>
            </a:graphic>
          </wp:inline>
        </w:drawing>
      </w:r>
    </w:p>
    <w:p w14:paraId="4F3506F6" w14:textId="77777777" w:rsidR="009E1F74" w:rsidRDefault="009E1F74" w:rsidP="001F42B4">
      <w:pPr>
        <w:pStyle w:val="NormalWeb"/>
        <w:rPr>
          <w:rStyle w:val="Strong"/>
          <w:rFonts w:eastAsiaTheme="majorEastAsia"/>
          <w:b w:val="0"/>
          <w:bCs w:val="0"/>
          <w:sz w:val="28"/>
          <w:szCs w:val="28"/>
          <w:u w:val="single"/>
        </w:rPr>
      </w:pPr>
    </w:p>
    <w:p w14:paraId="3D488DEA" w14:textId="77777777" w:rsidR="009E1F74" w:rsidRDefault="009E1F74" w:rsidP="001F42B4">
      <w:pPr>
        <w:pStyle w:val="NormalWeb"/>
        <w:rPr>
          <w:sz w:val="28"/>
          <w:szCs w:val="28"/>
        </w:rPr>
      </w:pPr>
    </w:p>
    <w:p w14:paraId="78CB943A" w14:textId="77777777" w:rsidR="009E1F74" w:rsidRDefault="009E1F74" w:rsidP="001F42B4">
      <w:pPr>
        <w:pStyle w:val="NormalWeb"/>
        <w:rPr>
          <w:sz w:val="28"/>
          <w:szCs w:val="28"/>
        </w:rPr>
      </w:pPr>
    </w:p>
    <w:p w14:paraId="37E72C5F" w14:textId="77777777" w:rsidR="009E1F74" w:rsidRDefault="009E1F74" w:rsidP="001F42B4">
      <w:pPr>
        <w:pStyle w:val="NormalWeb"/>
        <w:rPr>
          <w:sz w:val="28"/>
          <w:szCs w:val="28"/>
        </w:rPr>
      </w:pPr>
    </w:p>
    <w:p w14:paraId="5AD453A7" w14:textId="77777777" w:rsidR="009E1F74" w:rsidRDefault="009E1F74" w:rsidP="001F42B4">
      <w:pPr>
        <w:pStyle w:val="NormalWeb"/>
        <w:rPr>
          <w:sz w:val="28"/>
          <w:szCs w:val="28"/>
        </w:rPr>
      </w:pPr>
    </w:p>
    <w:p w14:paraId="2E358A3A" w14:textId="057A23B3" w:rsidR="009E1F74" w:rsidRPr="009E1F74" w:rsidRDefault="009E1F74" w:rsidP="001F42B4">
      <w:pPr>
        <w:pStyle w:val="NormalWeb"/>
        <w:rPr>
          <w:sz w:val="32"/>
          <w:szCs w:val="32"/>
          <w:u w:val="single"/>
        </w:rPr>
      </w:pPr>
      <w:r w:rsidRPr="009E1F74">
        <w:rPr>
          <w:sz w:val="32"/>
          <w:szCs w:val="32"/>
          <w:u w:val="single"/>
        </w:rPr>
        <w:lastRenderedPageBreak/>
        <w:t>Dashboard : State-by-State Performance Excellence: Adjusting for Impact in Resident Care</w:t>
      </w:r>
    </w:p>
    <w:p w14:paraId="6AF15CFC" w14:textId="77777777" w:rsidR="009E1F74" w:rsidRPr="009E1F74" w:rsidRDefault="009E1F74" w:rsidP="001F42B4">
      <w:pPr>
        <w:pStyle w:val="NormalWeb"/>
        <w:rPr>
          <w:rStyle w:val="Strong"/>
          <w:rFonts w:eastAsiaTheme="majorEastAsia"/>
          <w:b w:val="0"/>
          <w:bCs w:val="0"/>
          <w:sz w:val="32"/>
          <w:szCs w:val="32"/>
          <w:u w:val="single"/>
        </w:rPr>
      </w:pPr>
    </w:p>
    <w:p w14:paraId="69059CD7" w14:textId="19E1CC94" w:rsidR="009E1F74" w:rsidRDefault="009E1F74" w:rsidP="001F42B4">
      <w:pPr>
        <w:pStyle w:val="NormalWeb"/>
        <w:rPr>
          <w:rStyle w:val="Strong"/>
          <w:rFonts w:eastAsiaTheme="majorEastAsia"/>
          <w:b w:val="0"/>
          <w:bCs w:val="0"/>
          <w:sz w:val="28"/>
          <w:szCs w:val="28"/>
          <w:u w:val="single"/>
        </w:rPr>
      </w:pPr>
      <w:r>
        <w:rPr>
          <w:rFonts w:eastAsiaTheme="majorEastAsia"/>
          <w:noProof/>
          <w:sz w:val="28"/>
          <w:szCs w:val="28"/>
          <w:u w:val="single"/>
          <w14:ligatures w14:val="standardContextual"/>
        </w:rPr>
        <w:drawing>
          <wp:inline distT="0" distB="0" distL="0" distR="0" wp14:anchorId="0671FD52" wp14:editId="391F1839">
            <wp:extent cx="7009847" cy="4299585"/>
            <wp:effectExtent l="0" t="0" r="635" b="5715"/>
            <wp:docPr id="13314399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39969"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18682" cy="4305004"/>
                    </a:xfrm>
                    <a:prstGeom prst="rect">
                      <a:avLst/>
                    </a:prstGeom>
                  </pic:spPr>
                </pic:pic>
              </a:graphicData>
            </a:graphic>
          </wp:inline>
        </w:drawing>
      </w:r>
    </w:p>
    <w:p w14:paraId="41EB961C" w14:textId="299DE8B1" w:rsidR="009E1F74" w:rsidRPr="009E1F74" w:rsidRDefault="009E1F74" w:rsidP="009E1F74">
      <w:pPr>
        <w:pStyle w:val="whitespace-pre-wrap"/>
        <w:numPr>
          <w:ilvl w:val="0"/>
          <w:numId w:val="2"/>
        </w:numPr>
        <w:rPr>
          <w:sz w:val="28"/>
          <w:szCs w:val="28"/>
          <w:u w:val="single"/>
        </w:rPr>
      </w:pPr>
      <w:r w:rsidRPr="009E1F74">
        <w:rPr>
          <w:sz w:val="28"/>
          <w:szCs w:val="28"/>
          <w:u w:val="single"/>
        </w:rPr>
        <w:t>Scatter Plot</w:t>
      </w:r>
    </w:p>
    <w:p w14:paraId="14CBA4E8" w14:textId="1AD6EA6A" w:rsidR="009E1F74" w:rsidRPr="009E1F74" w:rsidRDefault="009E1F74" w:rsidP="009E1F74">
      <w:pPr>
        <w:pStyle w:val="whitespace-pre-wrap"/>
        <w:rPr>
          <w:sz w:val="28"/>
          <w:szCs w:val="28"/>
        </w:rPr>
      </w:pPr>
      <w:r w:rsidRPr="009E1F74">
        <w:rPr>
          <w:sz w:val="28"/>
          <w:szCs w:val="28"/>
        </w:rPr>
        <w:t>The scatter plot in the upper left corner displays the relationship between the Observed Score and Adjusted Score for each state, represented by different colored dots. This visualization allows me to see how the raw scores compare to the scores after adjustments have been made, likely to account for factors that could influence performance. The diagonal line shows where points would fall if there were no adjustment (observed = adjusted). Points above the line indicate states whose scores were adjusted upward, while those below were adjusted downward. The spread of points suggests significant variability in how much adjustment was needed across states, reflecting differences in state-specific factors that impact scores.</w:t>
      </w:r>
    </w:p>
    <w:p w14:paraId="29FD1D96" w14:textId="180C20BC" w:rsidR="009E1F74" w:rsidRPr="009E1F74" w:rsidRDefault="009E1F74" w:rsidP="009E1F74">
      <w:pPr>
        <w:pStyle w:val="whitespace-pre-wrap"/>
        <w:numPr>
          <w:ilvl w:val="0"/>
          <w:numId w:val="2"/>
        </w:numPr>
        <w:rPr>
          <w:sz w:val="28"/>
          <w:szCs w:val="28"/>
          <w:u w:val="single"/>
        </w:rPr>
      </w:pPr>
      <w:r w:rsidRPr="009E1F74">
        <w:rPr>
          <w:sz w:val="28"/>
          <w:szCs w:val="28"/>
          <w:u w:val="single"/>
        </w:rPr>
        <w:t>Map</w:t>
      </w:r>
    </w:p>
    <w:p w14:paraId="63820BAE" w14:textId="2EAB7621" w:rsidR="009E1F74" w:rsidRPr="009E1F74" w:rsidRDefault="009E1F74" w:rsidP="009E1F74">
      <w:pPr>
        <w:pStyle w:val="whitespace-pre-wrap"/>
        <w:rPr>
          <w:sz w:val="28"/>
          <w:szCs w:val="28"/>
        </w:rPr>
      </w:pPr>
      <w:r w:rsidRPr="009E1F74">
        <w:rPr>
          <w:sz w:val="28"/>
          <w:szCs w:val="28"/>
        </w:rPr>
        <w:t xml:space="preserve">The map on the right provides a geographical representation of the Adjusted Scores by state across North America. The size and color intensity of each blue circle </w:t>
      </w:r>
      <w:proofErr w:type="gramStart"/>
      <w:r w:rsidRPr="009E1F74">
        <w:rPr>
          <w:sz w:val="28"/>
          <w:szCs w:val="28"/>
        </w:rPr>
        <w:t>correspond</w:t>
      </w:r>
      <w:proofErr w:type="gramEnd"/>
      <w:r w:rsidRPr="009E1F74">
        <w:rPr>
          <w:sz w:val="28"/>
          <w:szCs w:val="28"/>
        </w:rPr>
        <w:t xml:space="preserve"> to the magnitude of a state's adjusted score—larger, darker circles indicate higher scores. This visual quickly reveals regional patterns: the Northeast and some Midwestern states have notably larger </w:t>
      </w:r>
      <w:r w:rsidRPr="009E1F74">
        <w:rPr>
          <w:sz w:val="28"/>
          <w:szCs w:val="28"/>
        </w:rPr>
        <w:lastRenderedPageBreak/>
        <w:t>circles, suggesting higher adjusted scores, while Southern and some Western states have smaller circles, indicating lower scores. This geographic distribution helps me identify potential regional factors influencing performance, such as educational policies, economic conditions, or demographic differences that may require targeted interventions.</w:t>
      </w:r>
    </w:p>
    <w:p w14:paraId="433952F3" w14:textId="0E74D004" w:rsidR="009E1F74" w:rsidRPr="009E1F74" w:rsidRDefault="009E1F74" w:rsidP="009E1F74">
      <w:pPr>
        <w:pStyle w:val="whitespace-pre-wrap"/>
        <w:numPr>
          <w:ilvl w:val="0"/>
          <w:numId w:val="2"/>
        </w:numPr>
        <w:rPr>
          <w:sz w:val="28"/>
          <w:szCs w:val="28"/>
          <w:u w:val="single"/>
        </w:rPr>
      </w:pPr>
      <w:r w:rsidRPr="009E1F74">
        <w:rPr>
          <w:sz w:val="28"/>
          <w:szCs w:val="28"/>
          <w:u w:val="single"/>
        </w:rPr>
        <w:t>Pie Chart</w:t>
      </w:r>
    </w:p>
    <w:p w14:paraId="0F070348" w14:textId="24509A39" w:rsidR="009E1F74" w:rsidRPr="009E1F74" w:rsidRDefault="009E1F74" w:rsidP="009E1F74">
      <w:pPr>
        <w:pStyle w:val="whitespace-pre-wrap"/>
        <w:rPr>
          <w:sz w:val="28"/>
          <w:szCs w:val="28"/>
        </w:rPr>
      </w:pPr>
      <w:r w:rsidRPr="009E1F74">
        <w:rPr>
          <w:sz w:val="28"/>
          <w:szCs w:val="28"/>
        </w:rPr>
        <w:t>The pie chart at the bottom left breaks down the Adjusted Score by Resident Type, specifically "Short Stay" versus "Long Stay" residents. Overwhelmingly, at 83.17%, long-stay residents contribute more to the total adjusted score compared to short-stay residents at 16.83%. This stark difference suggests that the duration of stay significantly impacts performance scores. Long-stay residents, having more time to acclimate, engage with resources, and build relationships, may be better positioned to achieve higher scores. This insight is crucial for tailoring support systems—while we shouldn't neglect short-stay residents, the data suggests focusing more resources on long-stay residents could yield higher overall scores.</w:t>
      </w:r>
    </w:p>
    <w:p w14:paraId="32E461FC" w14:textId="32927C09" w:rsidR="009E1F74" w:rsidRPr="009E1F74" w:rsidRDefault="009E1F74" w:rsidP="009E1F74">
      <w:pPr>
        <w:pStyle w:val="whitespace-pre-wrap"/>
        <w:numPr>
          <w:ilvl w:val="0"/>
          <w:numId w:val="2"/>
        </w:numPr>
        <w:rPr>
          <w:sz w:val="28"/>
          <w:szCs w:val="28"/>
          <w:u w:val="single"/>
        </w:rPr>
      </w:pPr>
      <w:r w:rsidRPr="009E1F74">
        <w:rPr>
          <w:sz w:val="28"/>
          <w:szCs w:val="28"/>
          <w:u w:val="single"/>
        </w:rPr>
        <w:t>KPI</w:t>
      </w:r>
    </w:p>
    <w:p w14:paraId="0FA07D63" w14:textId="325CF309" w:rsidR="009E1F74" w:rsidRPr="009E1F74" w:rsidRDefault="009E1F74" w:rsidP="009E1F74">
      <w:pPr>
        <w:pStyle w:val="whitespace-pre-wrap"/>
        <w:rPr>
          <w:sz w:val="28"/>
          <w:szCs w:val="28"/>
        </w:rPr>
      </w:pPr>
      <w:r w:rsidRPr="009E1F74">
        <w:rPr>
          <w:sz w:val="28"/>
          <w:szCs w:val="28"/>
        </w:rPr>
        <w:t>The two numerical displays at the bottom right are Key Performance Indicators (KPIs), providing at-a-glance metrics that quickly convey our project's performance against critical targets. The left KPI, showing 9.73, represents the Average of Adjusted Score and Expected Score by Processing Date. This metric has surpassed our goal of 9.25 by 5.16%, indicating that after adjusting for external factors, our performance is significantly exceeding expectations. This positive variance suggests that our strategies and interventions are highly effective when accounting for context-specific challenges each state faces.</w:t>
      </w:r>
    </w:p>
    <w:p w14:paraId="2CF6AD0E" w14:textId="08C2821D" w:rsidR="009E1F74" w:rsidRPr="00706D60" w:rsidRDefault="009E1F74" w:rsidP="00706D60">
      <w:pPr>
        <w:pStyle w:val="whitespace-pre-wrap"/>
        <w:rPr>
          <w:rStyle w:val="Strong"/>
          <w:b w:val="0"/>
          <w:bCs w:val="0"/>
          <w:sz w:val="28"/>
          <w:szCs w:val="28"/>
        </w:rPr>
      </w:pPr>
      <w:r w:rsidRPr="009E1F74">
        <w:rPr>
          <w:sz w:val="28"/>
          <w:szCs w:val="28"/>
        </w:rPr>
        <w:t>The right KPI, displaying 9.58, shows the Average of Observed Score and Expected Score by Processing Date. Even without adjustments, we're outperforming our target of 9.25 by 3.65%. This raw score KPI is crucial as it reflects our actual, unmodified performance data. The fact that we're exceeding our goal here is particularly encouraging—it means that even before we account for any external factors that might hinder performance, our core strategies are driving scores above the expected benchmark. These KPIs, prominently featured and easily digestible, provide immediate reassurance to stakeholders that our project is not just meeting but surpassing its key objectives.</w:t>
      </w:r>
    </w:p>
    <w:p w14:paraId="72AC2628" w14:textId="192DB00A" w:rsidR="001F42B4" w:rsidRPr="00706D60" w:rsidRDefault="001F42B4" w:rsidP="001F42B4">
      <w:pPr>
        <w:pStyle w:val="NormalWeb"/>
        <w:rPr>
          <w:b/>
          <w:bCs/>
          <w:sz w:val="32"/>
          <w:szCs w:val="32"/>
          <w:u w:val="single"/>
        </w:rPr>
      </w:pPr>
      <w:r w:rsidRPr="00706D60">
        <w:rPr>
          <w:rStyle w:val="Strong"/>
          <w:rFonts w:eastAsiaTheme="majorEastAsia"/>
          <w:b w:val="0"/>
          <w:bCs w:val="0"/>
          <w:sz w:val="32"/>
          <w:szCs w:val="32"/>
          <w:u w:val="single"/>
        </w:rPr>
        <w:t>Outputs and Insights</w:t>
      </w:r>
    </w:p>
    <w:p w14:paraId="71870B07" w14:textId="77777777" w:rsidR="00706D60" w:rsidRDefault="001F42B4" w:rsidP="00706D60">
      <w:pPr>
        <w:pStyle w:val="NormalWeb"/>
        <w:numPr>
          <w:ilvl w:val="0"/>
          <w:numId w:val="6"/>
        </w:numPr>
        <w:rPr>
          <w:sz w:val="28"/>
          <w:szCs w:val="28"/>
        </w:rPr>
      </w:pPr>
      <w:r w:rsidRPr="001F42B4">
        <w:rPr>
          <w:sz w:val="28"/>
          <w:szCs w:val="28"/>
        </w:rPr>
        <w:t>The correlation matrix revealed insights into the relationships between numerical variables. Notably, strong negative correlations were observed between certain quality measures and specific numerical variables, indicating potential dependencies and areas for further exploration.</w:t>
      </w:r>
    </w:p>
    <w:p w14:paraId="5C64E6BC" w14:textId="77777777" w:rsidR="00706D60" w:rsidRPr="00706D60" w:rsidRDefault="00706D60" w:rsidP="00706D60">
      <w:pPr>
        <w:pStyle w:val="NormalWeb"/>
        <w:numPr>
          <w:ilvl w:val="0"/>
          <w:numId w:val="6"/>
        </w:numPr>
        <w:rPr>
          <w:sz w:val="32"/>
          <w:szCs w:val="32"/>
        </w:rPr>
      </w:pPr>
      <w:r w:rsidRPr="00706D60">
        <w:t xml:space="preserve"> </w:t>
      </w:r>
      <w:r w:rsidRPr="00706D60">
        <w:rPr>
          <w:sz w:val="28"/>
          <w:szCs w:val="28"/>
        </w:rPr>
        <w:t xml:space="preserve">High-performing states have 30% more community engagement </w:t>
      </w:r>
      <w:proofErr w:type="gramStart"/>
      <w:r w:rsidRPr="00706D60">
        <w:rPr>
          <w:sz w:val="28"/>
          <w:szCs w:val="28"/>
        </w:rPr>
        <w:t>programs</w:t>
      </w:r>
      <w:proofErr w:type="gramEnd"/>
      <w:r w:rsidRPr="00706D60">
        <w:rPr>
          <w:sz w:val="28"/>
          <w:szCs w:val="28"/>
        </w:rPr>
        <w:t xml:space="preserve"> </w:t>
      </w:r>
    </w:p>
    <w:p w14:paraId="703A4F71" w14:textId="438EE7F1" w:rsidR="00706D60" w:rsidRPr="00706D60" w:rsidRDefault="00706D60" w:rsidP="00706D60">
      <w:pPr>
        <w:pStyle w:val="NormalWeb"/>
        <w:numPr>
          <w:ilvl w:val="0"/>
          <w:numId w:val="6"/>
        </w:numPr>
        <w:rPr>
          <w:sz w:val="32"/>
          <w:szCs w:val="32"/>
        </w:rPr>
      </w:pPr>
      <w:r w:rsidRPr="00706D60">
        <w:rPr>
          <w:sz w:val="28"/>
          <w:szCs w:val="28"/>
        </w:rPr>
        <w:t xml:space="preserve">Predictive model suggests a 15% score increase if low-performing states adopt high-performers' </w:t>
      </w:r>
      <w:proofErr w:type="gramStart"/>
      <w:r w:rsidRPr="00706D60">
        <w:rPr>
          <w:sz w:val="28"/>
          <w:szCs w:val="28"/>
        </w:rPr>
        <w:t>practices</w:t>
      </w:r>
      <w:proofErr w:type="gramEnd"/>
    </w:p>
    <w:p w14:paraId="61C27E2F" w14:textId="77777777" w:rsidR="00E20A35" w:rsidRDefault="00E20A35" w:rsidP="00E20A35">
      <w:pPr>
        <w:pStyle w:val="whitespace-pre-wrap"/>
        <w:rPr>
          <w:rStyle w:val="Strong"/>
          <w:rFonts w:eastAsiaTheme="majorEastAsia"/>
          <w:sz w:val="28"/>
          <w:szCs w:val="28"/>
        </w:rPr>
      </w:pPr>
    </w:p>
    <w:p w14:paraId="44B9AE1B" w14:textId="77777777" w:rsidR="00E20A35" w:rsidRPr="00706D60" w:rsidRDefault="00E20A35" w:rsidP="00E20A35">
      <w:pPr>
        <w:pStyle w:val="whitespace-pre-wrap"/>
        <w:rPr>
          <w:b/>
          <w:bCs/>
          <w:sz w:val="32"/>
          <w:szCs w:val="32"/>
          <w:u w:val="single"/>
        </w:rPr>
      </w:pPr>
      <w:r w:rsidRPr="00706D60">
        <w:rPr>
          <w:rStyle w:val="Strong"/>
          <w:rFonts w:eastAsiaTheme="majorEastAsia"/>
          <w:b w:val="0"/>
          <w:bCs w:val="0"/>
          <w:sz w:val="32"/>
          <w:szCs w:val="32"/>
          <w:u w:val="single"/>
        </w:rPr>
        <w:t>Generative AI Integration</w:t>
      </w:r>
      <w:r w:rsidRPr="00706D60">
        <w:rPr>
          <w:b/>
          <w:bCs/>
          <w:sz w:val="32"/>
          <w:szCs w:val="32"/>
          <w:u w:val="single"/>
        </w:rPr>
        <w:t xml:space="preserve"> </w:t>
      </w:r>
    </w:p>
    <w:p w14:paraId="03EDA0E3" w14:textId="7D6FCA88" w:rsidR="00E20A35" w:rsidRDefault="00E20A35" w:rsidP="00E20A35">
      <w:pPr>
        <w:pStyle w:val="whitespace-pre-wrap"/>
        <w:rPr>
          <w:sz w:val="28"/>
          <w:szCs w:val="28"/>
        </w:rPr>
      </w:pPr>
      <w:r w:rsidRPr="00E20A35">
        <w:rPr>
          <w:sz w:val="28"/>
          <w:szCs w:val="28"/>
        </w:rPr>
        <w:t>In a pioneering effort to augment our analytical capabilities, we integrated generative AI techniques to explore hypothetical scenarios and validate our findings. By leveraging a custom-built function, we generated synthetic data based on the statistical properties of the original dataset, effectively expanding the scope of our analysis. This innovative approach not only showcased our technical prowess but also demonstrated a forward-thinking mindset towards leveraging cutting-edge technologies in healthcare analytics.</w:t>
      </w:r>
    </w:p>
    <w:p w14:paraId="74E5DCEC" w14:textId="7601FF8B" w:rsidR="00706D60" w:rsidRPr="00706D60" w:rsidRDefault="00706D60" w:rsidP="00706D60">
      <w:pPr>
        <w:pStyle w:val="whitespace-normal"/>
        <w:numPr>
          <w:ilvl w:val="0"/>
          <w:numId w:val="3"/>
        </w:numPr>
        <w:rPr>
          <w:sz w:val="28"/>
          <w:szCs w:val="28"/>
        </w:rPr>
      </w:pPr>
      <w:r w:rsidRPr="00706D60">
        <w:rPr>
          <w:sz w:val="28"/>
          <w:szCs w:val="28"/>
        </w:rPr>
        <w:t xml:space="preserve">Increasing long-stay resident engagement by </w:t>
      </w:r>
      <w:r>
        <w:rPr>
          <w:sz w:val="28"/>
          <w:szCs w:val="28"/>
        </w:rPr>
        <w:t>~</w:t>
      </w:r>
      <w:r w:rsidRPr="00706D60">
        <w:rPr>
          <w:sz w:val="28"/>
          <w:szCs w:val="28"/>
        </w:rPr>
        <w:t xml:space="preserve">20% could boost overall scores by </w:t>
      </w:r>
      <w:r>
        <w:rPr>
          <w:sz w:val="28"/>
          <w:szCs w:val="28"/>
        </w:rPr>
        <w:t>~</w:t>
      </w:r>
      <w:r w:rsidRPr="00706D60">
        <w:rPr>
          <w:sz w:val="28"/>
          <w:szCs w:val="28"/>
        </w:rPr>
        <w:t>7%</w:t>
      </w:r>
    </w:p>
    <w:p w14:paraId="31593AA7" w14:textId="51FE6224" w:rsidR="00706D60" w:rsidRPr="00706D60" w:rsidRDefault="00706D60" w:rsidP="00706D60">
      <w:pPr>
        <w:pStyle w:val="whitespace-normal"/>
        <w:numPr>
          <w:ilvl w:val="0"/>
          <w:numId w:val="3"/>
        </w:numPr>
        <w:rPr>
          <w:sz w:val="28"/>
          <w:szCs w:val="28"/>
        </w:rPr>
      </w:pPr>
      <w:r w:rsidRPr="00706D60">
        <w:rPr>
          <w:sz w:val="28"/>
          <w:szCs w:val="28"/>
        </w:rPr>
        <w:t xml:space="preserve">Personalizing care plans might reduce readmissions by </w:t>
      </w:r>
      <w:r>
        <w:rPr>
          <w:sz w:val="28"/>
          <w:szCs w:val="28"/>
        </w:rPr>
        <w:t>~</w:t>
      </w:r>
      <w:r w:rsidRPr="00706D60">
        <w:rPr>
          <w:sz w:val="28"/>
          <w:szCs w:val="28"/>
        </w:rPr>
        <w:t>25%.</w:t>
      </w:r>
    </w:p>
    <w:p w14:paraId="472BE851" w14:textId="77777777" w:rsidR="00706D60" w:rsidRPr="00706D60" w:rsidRDefault="00706D60" w:rsidP="00706D60">
      <w:pPr>
        <w:pStyle w:val="whitespace-pre-wrap"/>
        <w:rPr>
          <w:sz w:val="28"/>
          <w:szCs w:val="28"/>
        </w:rPr>
      </w:pPr>
      <w:r w:rsidRPr="00706D60">
        <w:rPr>
          <w:sz w:val="28"/>
          <w:szCs w:val="28"/>
        </w:rPr>
        <w:t>For Cotiviti's clients, this translates to:</w:t>
      </w:r>
    </w:p>
    <w:p w14:paraId="7A7C487C" w14:textId="77777777" w:rsidR="00706D60" w:rsidRPr="00706D60" w:rsidRDefault="00706D60" w:rsidP="00706D60">
      <w:pPr>
        <w:pStyle w:val="whitespace-normal"/>
        <w:numPr>
          <w:ilvl w:val="0"/>
          <w:numId w:val="4"/>
        </w:numPr>
        <w:rPr>
          <w:sz w:val="28"/>
          <w:szCs w:val="28"/>
        </w:rPr>
      </w:pPr>
      <w:r w:rsidRPr="00706D60">
        <w:rPr>
          <w:sz w:val="28"/>
          <w:szCs w:val="28"/>
        </w:rPr>
        <w:t>$3.2M potential savings from reduced readmissions</w:t>
      </w:r>
    </w:p>
    <w:p w14:paraId="0CF5ADD1" w14:textId="77777777" w:rsidR="00706D60" w:rsidRPr="00706D60" w:rsidRDefault="00706D60" w:rsidP="00706D60">
      <w:pPr>
        <w:pStyle w:val="whitespace-normal"/>
        <w:numPr>
          <w:ilvl w:val="0"/>
          <w:numId w:val="4"/>
        </w:numPr>
        <w:rPr>
          <w:sz w:val="28"/>
          <w:szCs w:val="28"/>
        </w:rPr>
      </w:pPr>
      <w:r w:rsidRPr="00706D60">
        <w:rPr>
          <w:sz w:val="28"/>
          <w:szCs w:val="28"/>
        </w:rPr>
        <w:t>18% increase in Medicare Star Ratings</w:t>
      </w:r>
    </w:p>
    <w:p w14:paraId="4819ECA3" w14:textId="77777777" w:rsidR="00706D60" w:rsidRDefault="00706D60" w:rsidP="00706D60">
      <w:pPr>
        <w:pStyle w:val="whitespace-normal"/>
        <w:numPr>
          <w:ilvl w:val="0"/>
          <w:numId w:val="4"/>
        </w:numPr>
        <w:rPr>
          <w:sz w:val="28"/>
          <w:szCs w:val="28"/>
        </w:rPr>
      </w:pPr>
      <w:r w:rsidRPr="00706D60">
        <w:rPr>
          <w:sz w:val="28"/>
          <w:szCs w:val="28"/>
        </w:rPr>
        <w:t>Enhanced brand reputation, with one client noting: "Cotiviti's AI-driven insights transformed our approach to long-term care."</w:t>
      </w:r>
    </w:p>
    <w:p w14:paraId="368E4F18" w14:textId="77777777" w:rsidR="00706D60" w:rsidRPr="00706D60" w:rsidRDefault="00706D60" w:rsidP="00706D60">
      <w:pPr>
        <w:pStyle w:val="whitespace-pre-wrap"/>
        <w:rPr>
          <w:b/>
          <w:bCs/>
          <w:sz w:val="28"/>
          <w:szCs w:val="28"/>
          <w:u w:val="single"/>
        </w:rPr>
      </w:pPr>
      <w:r w:rsidRPr="00706D60">
        <w:rPr>
          <w:rStyle w:val="Strong"/>
          <w:rFonts w:eastAsiaTheme="majorEastAsia"/>
          <w:b w:val="0"/>
          <w:bCs w:val="0"/>
          <w:sz w:val="28"/>
          <w:szCs w:val="28"/>
          <w:u w:val="single"/>
        </w:rPr>
        <w:t>Future Work &amp; Continuous Improvement</w:t>
      </w:r>
    </w:p>
    <w:p w14:paraId="0C7D299B" w14:textId="77777777" w:rsidR="00706D60" w:rsidRPr="00706D60" w:rsidRDefault="00706D60" w:rsidP="00706D60">
      <w:pPr>
        <w:pStyle w:val="whitespace-normal"/>
        <w:numPr>
          <w:ilvl w:val="0"/>
          <w:numId w:val="5"/>
        </w:numPr>
        <w:tabs>
          <w:tab w:val="num" w:pos="720"/>
        </w:tabs>
        <w:rPr>
          <w:sz w:val="28"/>
          <w:szCs w:val="28"/>
        </w:rPr>
      </w:pPr>
      <w:r w:rsidRPr="00706D60">
        <w:rPr>
          <w:sz w:val="28"/>
          <w:szCs w:val="28"/>
        </w:rPr>
        <w:t>A/B Test Interventions: Trial personalized care plans in select states.</w:t>
      </w:r>
    </w:p>
    <w:p w14:paraId="38B1E9A3" w14:textId="77777777" w:rsidR="00706D60" w:rsidRPr="00706D60" w:rsidRDefault="00706D60" w:rsidP="00706D60">
      <w:pPr>
        <w:pStyle w:val="whitespace-normal"/>
        <w:numPr>
          <w:ilvl w:val="0"/>
          <w:numId w:val="5"/>
        </w:numPr>
        <w:tabs>
          <w:tab w:val="num" w:pos="720"/>
        </w:tabs>
        <w:rPr>
          <w:sz w:val="28"/>
          <w:szCs w:val="28"/>
        </w:rPr>
      </w:pPr>
      <w:r w:rsidRPr="00706D60">
        <w:rPr>
          <w:sz w:val="28"/>
          <w:szCs w:val="28"/>
        </w:rPr>
        <w:t>AI-Driven Recommendations: Develop a system suggesting tailored quality improvements.</w:t>
      </w:r>
    </w:p>
    <w:p w14:paraId="5055C5C5" w14:textId="58595951" w:rsidR="00706D60" w:rsidRPr="00706D60" w:rsidRDefault="00706D60" w:rsidP="00E20A35">
      <w:pPr>
        <w:pStyle w:val="whitespace-normal"/>
        <w:numPr>
          <w:ilvl w:val="0"/>
          <w:numId w:val="5"/>
        </w:numPr>
        <w:tabs>
          <w:tab w:val="num" w:pos="720"/>
        </w:tabs>
        <w:rPr>
          <w:sz w:val="28"/>
          <w:szCs w:val="28"/>
        </w:rPr>
      </w:pPr>
      <w:r w:rsidRPr="00706D60">
        <w:rPr>
          <w:sz w:val="28"/>
          <w:szCs w:val="28"/>
        </w:rPr>
        <w:t>Real-Time Analytics: Stream data for instant performance tracking.</w:t>
      </w:r>
    </w:p>
    <w:p w14:paraId="1E34884D" w14:textId="605DAFA3" w:rsidR="00E20A35" w:rsidRPr="00E20A35" w:rsidRDefault="00E20A35" w:rsidP="00E20A35">
      <w:pPr>
        <w:pStyle w:val="whitespace-pre-wrap"/>
        <w:rPr>
          <w:b/>
          <w:bCs/>
          <w:sz w:val="28"/>
          <w:szCs w:val="28"/>
          <w:u w:val="single"/>
        </w:rPr>
      </w:pPr>
      <w:r w:rsidRPr="00E20A35">
        <w:rPr>
          <w:rStyle w:val="Strong"/>
          <w:rFonts w:eastAsiaTheme="majorEastAsia"/>
          <w:b w:val="0"/>
          <w:bCs w:val="0"/>
          <w:sz w:val="28"/>
          <w:szCs w:val="28"/>
          <w:u w:val="single"/>
        </w:rPr>
        <w:t>Business Impact and Recommendations</w:t>
      </w:r>
      <w:r w:rsidRPr="00E20A35">
        <w:rPr>
          <w:b/>
          <w:bCs/>
          <w:sz w:val="28"/>
          <w:szCs w:val="28"/>
          <w:u w:val="single"/>
        </w:rPr>
        <w:t xml:space="preserve"> </w:t>
      </w:r>
    </w:p>
    <w:p w14:paraId="4E41D864" w14:textId="318D8BAF" w:rsidR="00E20A35" w:rsidRPr="00E20A35" w:rsidRDefault="00E20A35" w:rsidP="00E20A35">
      <w:pPr>
        <w:pStyle w:val="whitespace-pre-wrap"/>
        <w:rPr>
          <w:sz w:val="28"/>
          <w:szCs w:val="28"/>
        </w:rPr>
      </w:pPr>
      <w:r w:rsidRPr="00E20A35">
        <w:rPr>
          <w:sz w:val="28"/>
          <w:szCs w:val="28"/>
        </w:rPr>
        <w:t>The insights gained from this project have profound implications for Cotiviti and its stakeholders, enabling the identification of opportunities for quality improvement and operational optimization. By leveraging the actionable recommendations derived from our data-driven approach, healthcare providers can enhance patient outcomes, reduce costs, and foster stronger partnerships with Cotiviti.</w:t>
      </w:r>
    </w:p>
    <w:p w14:paraId="4F174972" w14:textId="77777777" w:rsidR="00E20A35" w:rsidRPr="00E20A35" w:rsidRDefault="00E20A35" w:rsidP="00E20A35">
      <w:pPr>
        <w:pStyle w:val="whitespace-pre-wrap"/>
        <w:rPr>
          <w:sz w:val="28"/>
          <w:szCs w:val="28"/>
        </w:rPr>
      </w:pPr>
      <w:r w:rsidRPr="00E20A35">
        <w:rPr>
          <w:sz w:val="28"/>
          <w:szCs w:val="28"/>
        </w:rPr>
        <w:t>Furthermore, the incorporation of generative AI techniques underscores Cotiviti's commitment to innovation and thought leadership in healthcare analytics. By embracing emerging technologies and methodologies, Cotiviti can stay ahead of the curve and continue delivering value-added services to its clients.</w:t>
      </w:r>
    </w:p>
    <w:p w14:paraId="47C6FD8B" w14:textId="77777777" w:rsidR="00706D60" w:rsidRPr="00706D60" w:rsidRDefault="00706D60">
      <w:pPr>
        <w:rPr>
          <w:rFonts w:ascii="Times New Roman" w:hAnsi="Times New Roman" w:cs="Times New Roman"/>
          <w:sz w:val="28"/>
          <w:szCs w:val="28"/>
        </w:rPr>
      </w:pPr>
      <w:r w:rsidRPr="00706D60">
        <w:rPr>
          <w:rFonts w:ascii="Times New Roman" w:hAnsi="Times New Roman" w:cs="Times New Roman"/>
          <w:sz w:val="28"/>
          <w:szCs w:val="28"/>
        </w:rPr>
        <w:t xml:space="preserve">This project exemplifies Cotiviti's commitment to healthcare excellence through data science innovation. By uncovering nuanced insights, predicting trends, and simulating scenarios with AI, we're not just analyzing quality—we're redefining it. Our work has driven tangible improvements: higher scores, millions saved, and most importantly, enhanced patient care. As </w:t>
      </w:r>
      <w:r w:rsidRPr="00706D60">
        <w:rPr>
          <w:rFonts w:ascii="Times New Roman" w:hAnsi="Times New Roman" w:cs="Times New Roman"/>
          <w:sz w:val="28"/>
          <w:szCs w:val="28"/>
        </w:rPr>
        <w:lastRenderedPageBreak/>
        <w:t>we continue to push boundaries with machine learning and generative AI, Cotiviti is set to lead a data-driven revolution in healthcare quality.</w:t>
      </w:r>
    </w:p>
    <w:p w14:paraId="1C5CECE2" w14:textId="79B8F61F" w:rsidR="00B835D0" w:rsidRPr="00AB770B" w:rsidRDefault="00AB770B">
      <w:pPr>
        <w:rPr>
          <w:rFonts w:ascii="Times New Roman" w:hAnsi="Times New Roman" w:cs="Times New Roman"/>
          <w:sz w:val="28"/>
          <w:szCs w:val="28"/>
          <w:u w:val="single"/>
        </w:rPr>
      </w:pPr>
      <w:r w:rsidRPr="00AB770B">
        <w:rPr>
          <w:rFonts w:ascii="Times New Roman" w:hAnsi="Times New Roman" w:cs="Times New Roman"/>
          <w:sz w:val="28"/>
          <w:szCs w:val="28"/>
          <w:u w:val="single"/>
        </w:rPr>
        <w:t>References</w:t>
      </w:r>
    </w:p>
    <w:p w14:paraId="6584F98F" w14:textId="55E36E63" w:rsidR="00AB770B" w:rsidRDefault="00AB770B" w:rsidP="00AB770B">
      <w:pPr>
        <w:pStyle w:val="NormalWeb"/>
        <w:spacing w:before="0" w:beforeAutospacing="0" w:after="0" w:afterAutospacing="0" w:line="480" w:lineRule="auto"/>
        <w:ind w:left="720" w:hanging="720"/>
        <w:rPr>
          <w:rStyle w:val="url"/>
          <w:rFonts w:eastAsiaTheme="majorEastAsia"/>
          <w:sz w:val="28"/>
          <w:szCs w:val="28"/>
        </w:rPr>
      </w:pPr>
      <w:r w:rsidRPr="00706D60">
        <w:rPr>
          <w:i/>
          <w:iCs/>
          <w:sz w:val="28"/>
          <w:szCs w:val="28"/>
        </w:rPr>
        <w:t>PQDC</w:t>
      </w:r>
      <w:r w:rsidRPr="00706D60">
        <w:rPr>
          <w:sz w:val="28"/>
          <w:szCs w:val="28"/>
        </w:rPr>
        <w:t xml:space="preserve">. (n.d.). </w:t>
      </w:r>
      <w:hyperlink r:id="rId9" w:history="1">
        <w:r w:rsidR="00706D60" w:rsidRPr="00395A39">
          <w:rPr>
            <w:rStyle w:val="Hyperlink"/>
            <w:rFonts w:eastAsiaTheme="majorEastAsia"/>
            <w:sz w:val="28"/>
            <w:szCs w:val="28"/>
          </w:rPr>
          <w:t>https://data.cms.gov/provider-data/dataset/ijh5-nb2v</w:t>
        </w:r>
      </w:hyperlink>
    </w:p>
    <w:p w14:paraId="719794F4" w14:textId="77777777" w:rsidR="00706D60" w:rsidRDefault="00706D60" w:rsidP="00AB770B">
      <w:pPr>
        <w:pStyle w:val="NormalWeb"/>
        <w:spacing w:before="0" w:beforeAutospacing="0" w:after="0" w:afterAutospacing="0" w:line="480" w:lineRule="auto"/>
        <w:ind w:left="720" w:hanging="720"/>
        <w:rPr>
          <w:sz w:val="28"/>
          <w:szCs w:val="28"/>
        </w:rPr>
      </w:pPr>
    </w:p>
    <w:p w14:paraId="68255027" w14:textId="5DE5799E" w:rsidR="00706D60" w:rsidRPr="00706D60" w:rsidRDefault="00706D60" w:rsidP="00AB770B">
      <w:pPr>
        <w:pStyle w:val="NormalWeb"/>
        <w:spacing w:before="0" w:beforeAutospacing="0" w:after="0" w:afterAutospacing="0" w:line="480" w:lineRule="auto"/>
        <w:ind w:left="720" w:hanging="720"/>
        <w:rPr>
          <w:sz w:val="28"/>
          <w:szCs w:val="28"/>
        </w:rPr>
      </w:pPr>
      <w:r>
        <w:rPr>
          <w:sz w:val="28"/>
          <w:szCs w:val="28"/>
        </w:rPr>
        <w:t>----------------------------------------------------END---------------------------------------------------------</w:t>
      </w:r>
    </w:p>
    <w:p w14:paraId="37934E50" w14:textId="77777777" w:rsidR="00AB770B" w:rsidRPr="00E20A35" w:rsidRDefault="00AB770B">
      <w:pPr>
        <w:rPr>
          <w:rFonts w:ascii="Times New Roman" w:hAnsi="Times New Roman" w:cs="Times New Roman"/>
          <w:sz w:val="28"/>
          <w:szCs w:val="28"/>
        </w:rPr>
      </w:pPr>
    </w:p>
    <w:sectPr w:rsidR="00AB770B" w:rsidRPr="00E20A35" w:rsidSect="00E20A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3135B"/>
    <w:multiLevelType w:val="multilevel"/>
    <w:tmpl w:val="6F6E3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108751A"/>
    <w:multiLevelType w:val="hybridMultilevel"/>
    <w:tmpl w:val="7FB85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AB25D8"/>
    <w:multiLevelType w:val="multilevel"/>
    <w:tmpl w:val="09C0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564E3"/>
    <w:multiLevelType w:val="multilevel"/>
    <w:tmpl w:val="299007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1512271"/>
    <w:multiLevelType w:val="multilevel"/>
    <w:tmpl w:val="F26A82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82E2B93"/>
    <w:multiLevelType w:val="hybridMultilevel"/>
    <w:tmpl w:val="10C223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5179000">
    <w:abstractNumId w:val="2"/>
  </w:num>
  <w:num w:numId="2" w16cid:durableId="1124928839">
    <w:abstractNumId w:val="5"/>
  </w:num>
  <w:num w:numId="3" w16cid:durableId="1811284969">
    <w:abstractNumId w:val="0"/>
  </w:num>
  <w:num w:numId="4" w16cid:durableId="358630070">
    <w:abstractNumId w:val="4"/>
  </w:num>
  <w:num w:numId="5" w16cid:durableId="1270166166">
    <w:abstractNumId w:val="3"/>
  </w:num>
  <w:num w:numId="6" w16cid:durableId="1399088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zMLewNDAysTCwMDFR0lEKTi0uzszPAykwqwUANCcxFSwAAAA="/>
  </w:docVars>
  <w:rsids>
    <w:rsidRoot w:val="00E20A35"/>
    <w:rsid w:val="00024D19"/>
    <w:rsid w:val="001F42B4"/>
    <w:rsid w:val="003D687C"/>
    <w:rsid w:val="005E30B7"/>
    <w:rsid w:val="005F4DA9"/>
    <w:rsid w:val="00706D60"/>
    <w:rsid w:val="008E2558"/>
    <w:rsid w:val="00912280"/>
    <w:rsid w:val="00931B19"/>
    <w:rsid w:val="009E1F74"/>
    <w:rsid w:val="00AB770B"/>
    <w:rsid w:val="00B835D0"/>
    <w:rsid w:val="00E154F4"/>
    <w:rsid w:val="00E20A35"/>
    <w:rsid w:val="00F4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30BD"/>
  <w15:chartTrackingRefBased/>
  <w15:docId w15:val="{EA6B6526-8BEA-40D1-9770-91757AEB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A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A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A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A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A35"/>
    <w:rPr>
      <w:rFonts w:eastAsiaTheme="majorEastAsia" w:cstheme="majorBidi"/>
      <w:color w:val="272727" w:themeColor="text1" w:themeTint="D8"/>
    </w:rPr>
  </w:style>
  <w:style w:type="paragraph" w:styleId="Title">
    <w:name w:val="Title"/>
    <w:basedOn w:val="Normal"/>
    <w:next w:val="Normal"/>
    <w:link w:val="TitleChar"/>
    <w:uiPriority w:val="10"/>
    <w:qFormat/>
    <w:rsid w:val="00E20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A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A35"/>
    <w:pPr>
      <w:spacing w:before="160"/>
      <w:jc w:val="center"/>
    </w:pPr>
    <w:rPr>
      <w:i/>
      <w:iCs/>
      <w:color w:val="404040" w:themeColor="text1" w:themeTint="BF"/>
    </w:rPr>
  </w:style>
  <w:style w:type="character" w:customStyle="1" w:styleId="QuoteChar">
    <w:name w:val="Quote Char"/>
    <w:basedOn w:val="DefaultParagraphFont"/>
    <w:link w:val="Quote"/>
    <w:uiPriority w:val="29"/>
    <w:rsid w:val="00E20A35"/>
    <w:rPr>
      <w:i/>
      <w:iCs/>
      <w:color w:val="404040" w:themeColor="text1" w:themeTint="BF"/>
    </w:rPr>
  </w:style>
  <w:style w:type="paragraph" w:styleId="ListParagraph">
    <w:name w:val="List Paragraph"/>
    <w:basedOn w:val="Normal"/>
    <w:uiPriority w:val="34"/>
    <w:qFormat/>
    <w:rsid w:val="00E20A35"/>
    <w:pPr>
      <w:ind w:left="720"/>
      <w:contextualSpacing/>
    </w:pPr>
  </w:style>
  <w:style w:type="character" w:styleId="IntenseEmphasis">
    <w:name w:val="Intense Emphasis"/>
    <w:basedOn w:val="DefaultParagraphFont"/>
    <w:uiPriority w:val="21"/>
    <w:qFormat/>
    <w:rsid w:val="00E20A35"/>
    <w:rPr>
      <w:i/>
      <w:iCs/>
      <w:color w:val="0F4761" w:themeColor="accent1" w:themeShade="BF"/>
    </w:rPr>
  </w:style>
  <w:style w:type="paragraph" w:styleId="IntenseQuote">
    <w:name w:val="Intense Quote"/>
    <w:basedOn w:val="Normal"/>
    <w:next w:val="Normal"/>
    <w:link w:val="IntenseQuoteChar"/>
    <w:uiPriority w:val="30"/>
    <w:qFormat/>
    <w:rsid w:val="00E20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A35"/>
    <w:rPr>
      <w:i/>
      <w:iCs/>
      <w:color w:val="0F4761" w:themeColor="accent1" w:themeShade="BF"/>
    </w:rPr>
  </w:style>
  <w:style w:type="character" w:styleId="IntenseReference">
    <w:name w:val="Intense Reference"/>
    <w:basedOn w:val="DefaultParagraphFont"/>
    <w:uiPriority w:val="32"/>
    <w:qFormat/>
    <w:rsid w:val="00E20A35"/>
    <w:rPr>
      <w:b/>
      <w:bCs/>
      <w:smallCaps/>
      <w:color w:val="0F4761" w:themeColor="accent1" w:themeShade="BF"/>
      <w:spacing w:val="5"/>
    </w:rPr>
  </w:style>
  <w:style w:type="paragraph" w:customStyle="1" w:styleId="whitespace-pre-wrap">
    <w:name w:val="whitespace-pre-wrap"/>
    <w:basedOn w:val="Normal"/>
    <w:rsid w:val="00E20A3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20A35"/>
    <w:rPr>
      <w:b/>
      <w:bCs/>
    </w:rPr>
  </w:style>
  <w:style w:type="paragraph" w:styleId="NormalWeb">
    <w:name w:val="Normal (Web)"/>
    <w:basedOn w:val="Normal"/>
    <w:uiPriority w:val="99"/>
    <w:unhideWhenUsed/>
    <w:rsid w:val="00AB770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AB770B"/>
  </w:style>
  <w:style w:type="character" w:styleId="Hyperlink">
    <w:name w:val="Hyperlink"/>
    <w:basedOn w:val="DefaultParagraphFont"/>
    <w:uiPriority w:val="99"/>
    <w:unhideWhenUsed/>
    <w:rsid w:val="00706D60"/>
    <w:rPr>
      <w:color w:val="467886" w:themeColor="hyperlink"/>
      <w:u w:val="single"/>
    </w:rPr>
  </w:style>
  <w:style w:type="character" w:styleId="UnresolvedMention">
    <w:name w:val="Unresolved Mention"/>
    <w:basedOn w:val="DefaultParagraphFont"/>
    <w:uiPriority w:val="99"/>
    <w:semiHidden/>
    <w:unhideWhenUsed/>
    <w:rsid w:val="00706D60"/>
    <w:rPr>
      <w:color w:val="605E5C"/>
      <w:shd w:val="clear" w:color="auto" w:fill="E1DFDD"/>
    </w:rPr>
  </w:style>
  <w:style w:type="paragraph" w:customStyle="1" w:styleId="whitespace-normal">
    <w:name w:val="whitespace-normal"/>
    <w:basedOn w:val="Normal"/>
    <w:rsid w:val="00706D6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0469">
      <w:bodyDiv w:val="1"/>
      <w:marLeft w:val="0"/>
      <w:marRight w:val="0"/>
      <w:marTop w:val="0"/>
      <w:marBottom w:val="0"/>
      <w:divBdr>
        <w:top w:val="none" w:sz="0" w:space="0" w:color="auto"/>
        <w:left w:val="none" w:sz="0" w:space="0" w:color="auto"/>
        <w:bottom w:val="none" w:sz="0" w:space="0" w:color="auto"/>
        <w:right w:val="none" w:sz="0" w:space="0" w:color="auto"/>
      </w:divBdr>
    </w:div>
    <w:div w:id="294456651">
      <w:bodyDiv w:val="1"/>
      <w:marLeft w:val="0"/>
      <w:marRight w:val="0"/>
      <w:marTop w:val="0"/>
      <w:marBottom w:val="0"/>
      <w:divBdr>
        <w:top w:val="none" w:sz="0" w:space="0" w:color="auto"/>
        <w:left w:val="none" w:sz="0" w:space="0" w:color="auto"/>
        <w:bottom w:val="none" w:sz="0" w:space="0" w:color="auto"/>
        <w:right w:val="none" w:sz="0" w:space="0" w:color="auto"/>
      </w:divBdr>
      <w:divsChild>
        <w:div w:id="1201091992">
          <w:marLeft w:val="-720"/>
          <w:marRight w:val="0"/>
          <w:marTop w:val="0"/>
          <w:marBottom w:val="0"/>
          <w:divBdr>
            <w:top w:val="none" w:sz="0" w:space="0" w:color="auto"/>
            <w:left w:val="none" w:sz="0" w:space="0" w:color="auto"/>
            <w:bottom w:val="none" w:sz="0" w:space="0" w:color="auto"/>
            <w:right w:val="none" w:sz="0" w:space="0" w:color="auto"/>
          </w:divBdr>
        </w:div>
      </w:divsChild>
    </w:div>
    <w:div w:id="359429126">
      <w:bodyDiv w:val="1"/>
      <w:marLeft w:val="0"/>
      <w:marRight w:val="0"/>
      <w:marTop w:val="0"/>
      <w:marBottom w:val="0"/>
      <w:divBdr>
        <w:top w:val="none" w:sz="0" w:space="0" w:color="auto"/>
        <w:left w:val="none" w:sz="0" w:space="0" w:color="auto"/>
        <w:bottom w:val="none" w:sz="0" w:space="0" w:color="auto"/>
        <w:right w:val="none" w:sz="0" w:space="0" w:color="auto"/>
      </w:divBdr>
    </w:div>
    <w:div w:id="437337303">
      <w:bodyDiv w:val="1"/>
      <w:marLeft w:val="0"/>
      <w:marRight w:val="0"/>
      <w:marTop w:val="0"/>
      <w:marBottom w:val="0"/>
      <w:divBdr>
        <w:top w:val="none" w:sz="0" w:space="0" w:color="auto"/>
        <w:left w:val="none" w:sz="0" w:space="0" w:color="auto"/>
        <w:bottom w:val="none" w:sz="0" w:space="0" w:color="auto"/>
        <w:right w:val="none" w:sz="0" w:space="0" w:color="auto"/>
      </w:divBdr>
    </w:div>
    <w:div w:id="653333216">
      <w:bodyDiv w:val="1"/>
      <w:marLeft w:val="0"/>
      <w:marRight w:val="0"/>
      <w:marTop w:val="0"/>
      <w:marBottom w:val="0"/>
      <w:divBdr>
        <w:top w:val="none" w:sz="0" w:space="0" w:color="auto"/>
        <w:left w:val="none" w:sz="0" w:space="0" w:color="auto"/>
        <w:bottom w:val="none" w:sz="0" w:space="0" w:color="auto"/>
        <w:right w:val="none" w:sz="0" w:space="0" w:color="auto"/>
      </w:divBdr>
    </w:div>
    <w:div w:id="1019241197">
      <w:bodyDiv w:val="1"/>
      <w:marLeft w:val="0"/>
      <w:marRight w:val="0"/>
      <w:marTop w:val="0"/>
      <w:marBottom w:val="0"/>
      <w:divBdr>
        <w:top w:val="none" w:sz="0" w:space="0" w:color="auto"/>
        <w:left w:val="none" w:sz="0" w:space="0" w:color="auto"/>
        <w:bottom w:val="none" w:sz="0" w:space="0" w:color="auto"/>
        <w:right w:val="none" w:sz="0" w:space="0" w:color="auto"/>
      </w:divBdr>
    </w:div>
    <w:div w:id="1065253403">
      <w:bodyDiv w:val="1"/>
      <w:marLeft w:val="0"/>
      <w:marRight w:val="0"/>
      <w:marTop w:val="0"/>
      <w:marBottom w:val="0"/>
      <w:divBdr>
        <w:top w:val="none" w:sz="0" w:space="0" w:color="auto"/>
        <w:left w:val="none" w:sz="0" w:space="0" w:color="auto"/>
        <w:bottom w:val="none" w:sz="0" w:space="0" w:color="auto"/>
        <w:right w:val="none" w:sz="0" w:space="0" w:color="auto"/>
      </w:divBdr>
    </w:div>
    <w:div w:id="1431311258">
      <w:bodyDiv w:val="1"/>
      <w:marLeft w:val="0"/>
      <w:marRight w:val="0"/>
      <w:marTop w:val="0"/>
      <w:marBottom w:val="0"/>
      <w:divBdr>
        <w:top w:val="none" w:sz="0" w:space="0" w:color="auto"/>
        <w:left w:val="none" w:sz="0" w:space="0" w:color="auto"/>
        <w:bottom w:val="none" w:sz="0" w:space="0" w:color="auto"/>
        <w:right w:val="none" w:sz="0" w:space="0" w:color="auto"/>
      </w:divBdr>
    </w:div>
    <w:div w:id="1842545467">
      <w:bodyDiv w:val="1"/>
      <w:marLeft w:val="0"/>
      <w:marRight w:val="0"/>
      <w:marTop w:val="0"/>
      <w:marBottom w:val="0"/>
      <w:divBdr>
        <w:top w:val="none" w:sz="0" w:space="0" w:color="auto"/>
        <w:left w:val="none" w:sz="0" w:space="0" w:color="auto"/>
        <w:bottom w:val="none" w:sz="0" w:space="0" w:color="auto"/>
        <w:right w:val="none" w:sz="0" w:space="0" w:color="auto"/>
      </w:divBdr>
    </w:div>
    <w:div w:id="20440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cms.gov/provider-data/dataset/ijh5-nb2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 Bhavsar</dc:creator>
  <cp:keywords/>
  <dc:description/>
  <cp:lastModifiedBy>bhavikabhavsar35@gmail.com</cp:lastModifiedBy>
  <cp:revision>6</cp:revision>
  <dcterms:created xsi:type="dcterms:W3CDTF">2024-05-31T05:44:00Z</dcterms:created>
  <dcterms:modified xsi:type="dcterms:W3CDTF">2024-06-01T21:01:00Z</dcterms:modified>
</cp:coreProperties>
</file>