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MECHANICAL RELIABILITY &amp; DATA ANALYSIS REPORT</w:t>
      </w:r>
    </w:p>
    <w:p>
      <w:pPr>
        <w:spacing w:after="40"/>
      </w:pPr>
      <w:r>
        <w:rPr>
          <w:color w:val="5D6D7E"/>
          <w:sz w:val="26"/>
          <w:szCs w:val="26"/>
        </w:rPr>
        <w:t xml:space="preserve">Fleet-Wide Condition Monitoring &amp; MRO Reliability Assessment</w:t>
      </w:r>
    </w:p>
    <w:p>
      <w:pPr>
        <w:spacing w:after="300"/>
      </w:pPr>
      <w:r>
        <w:rPr>
          <w:i/>
          <w:iCs/>
          <w:color w:val="5D6D7E"/>
          <w:sz w:val="19"/>
          <w:szCs w:val="19"/>
        </w:rPr>
        <w:t xml:space="preserve">Prepared by: Senior Mechanical Data Analyst &amp; Reliability Engineering Function  |  Report Date: 25 July 2026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60"/>
      </w:pPr>
      <w:r>
        <w:t xml:space="preserve">1. System &amp; Project Context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7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 of Analysis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10-asset industrial equipment fleet across 3 plants (PUN-01, CHN-02, DHR-03): CNC Lathe, Hydraulic Press, Belt Conveyor, Screw Compressor, EOT Crane (2 units each)</w:t>
            </w:r>
          </w:p>
        </w:tc>
      </w:tr>
      <w:tr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Analysis Type</w:t>
            </w:r>
          </w:p>
        </w:tc>
        <w:tc>
          <w:tcPr>
            <w:tcW w:type="dxa" w:w="7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Combined Condition-Monitoring (vibration/thermal/pressure trend) Analysis + MRO Reliability &amp; Spares-Consumption Analysis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synthetic_industrial_machine_data.csv — daily asset sensor telemetry fused with MRO parts-issuance/work-order ledger</w:t>
            </w:r>
          </w:p>
        </w:tc>
      </w:tr>
      <w:tr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Reporting Period</w:t>
            </w:r>
          </w:p>
        </w:tc>
        <w:tc>
          <w:tcPr>
            <w:tcW w:type="dxa" w:w="7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03 Jan 2022 – 01 Jan 2025 (1,095 operating days per asset; 10,950 asset-days; 219,000 source ledger rows)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(1) Characterize baseline mechanical health across the fleet; (2) identify assets/components with disproportionate failure and cost burden; (3) detect statistical anomalies and threshold breaches; (4) issue prioritized reliability recommendations</w:t>
            </w:r>
          </w:p>
        </w:tc>
      </w:tr>
    </w:tbl>
    <w:p>
      <w:pPr>
        <w:pStyle w:val="Heading1"/>
        <w:spacing w:after="160" w:before="360"/>
      </w:pPr>
      <w:r>
        <w:t xml:space="preserve">2. Executive Summary</w:t>
      </w:r>
    </w:p>
    <w:p>
      <w:pPr>
        <w:spacing w:after="160" w:line="276"/>
      </w:pPr>
      <w:r>
        <w:t xml:space="preserve">The fleet-wide dataset covering 10 assets over a 3-year window shows a mechanically stable population overall: fleet-average bearing temperature (65.1 °C), motor temperature (71.1 °C) and oil pressure (5.01 bar) all sit within normal industrial operating bands, and no readings breached the critical thermal (&gt;85°C bearing / &gt;95°C motor) or hydraulic (&lt;3.0 bar) safety thresholds applied in this analysis. However, vibration behaviour is the standout concern: horizontal vibration breached the ISO 10816 Zone-D “unacceptable” limit (7.1 mm/s) on 343 occasions (3.13% of asset-days) and vertical vibration on 178 occasions (1.63%), with 512 statistically extreme spike events (|z|&gt;4 against each asset's own baseline) reaching 2–3× normal amplitude — peaking at 13.3 mm/s on Screw Compressor AST-4061. These spikes occur in near-lockstep on both axes (H–V correlation r = 0.98), which is the signature of a genuine mechanical excitation (imbalance, misalignment, or bearing defect) rather than sensor noise, and warrants immediate spectral (FFT) verification rather than dismissal as an outlier.</w:t>
      </w:r>
    </w:p>
    <w:p>
      <w:pPr>
        <w:spacing w:after="160" w:line="276"/>
      </w:pPr>
      <w:r>
        <w:t xml:space="preserve">On the reliability/MRO side, the ledger records 21,636 breakdown-type work orders against 197,364 parts-tracking rows (a 67.4% asset-day incidence of at least one breakdown work order), with Bearings the leading failure and cost driver (4,221 breakdown events; ₹32.60 lakh in issued value) followed closely by Seals &amp; Gaskets (3,118 events; ₹29.92 lakh). Total fleet MRO spend over the period is ₹133.4 lakh, distributed almost evenly across machine types (₹26.1–27.5 lakh each) — there is no single “bad actor” machine class, but CNC Lathe AST-1041 and Screw Compressor AST-4061 both show markedly elevated vibration signatures (mean 5.04 and 4.86 mm/s respectively) relative to their sister units (AST-1042: 2.75 mm/s; AST-4055: 3.43 mm/s), flagging these two specific assets for priority inspection. Statistically, operating load is the strongest available leading indicator of breakdown activity (r = 0.338 with same-day breakdown-parts count, versus r ≤ 0.16 for all thermal/vibration variables), and load/power draw are materially higher on breakdown work-order days (71.9% load / 28.0 kW vs 60.9% / 23.2 kW on normal days) — pointing toward overload-driven wear as the dominant systemic failure driver rather than a single component defect. Immediate action is recommended on the two flagged high-vibration assets and on load-management practice across the fleet; details and a prioritized action plan follow in Section 8.</w:t>
      </w:r>
    </w:p>
    <w:p>
      <w:pPr>
        <w:pStyle w:val="Heading1"/>
        <w:spacing w:after="160" w:before="360"/>
      </w:pPr>
      <w:r>
        <w:t xml:space="preserve">3. Methodology &amp; Data Validation</w:t>
      </w:r>
    </w:p>
    <w:p>
      <w:pPr>
        <w:pStyle w:val="Heading2"/>
        <w:spacing w:after="120" w:before="260"/>
      </w:pPr>
      <w:r>
        <w:t xml:space="preserve">3.1 Data Structure &amp; Interpretation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source file combines two logical datasets in one table: (a) daily asset-level sensor telemetry (temp_bearing_degC, temp_motor_degC, vibration_h_mms, vibration_v_mms, oil_pressure_bar, load_pct, shaft_rpm, power_consumption_kw) and (b) a per-part MRO issuance/work-order ledger (qty_issued, issue_value_inr, breakdown_flag, wo_type).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asset tracks 20 spare-part line items daily, and the 8 sensor fields are duplicated identically across all 20 part rows for a given asset-date (confirmed by inspection). To avoid 20× double-counting and inflated variance in the statistical summary, all sensor/condition-monitoring analysis in Sections 4–6 was performed on a de-duplicated asset-day table (10,950 rows = 10 assets × 1,095 days).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part-level, cost, and breakdown-frequency analysis (Sections 5.3, 6) uses the full 219,000-row ledger, since qty_issued, issue_value_inr, and breakdown_flag are genuinely part-specific.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breakdown_flag = 1 corresponds exactly to wo_type = “BD” (21,636 rows); the remaining non-null wo_type entries are “PM” (planned maintenance, 21,157 rows); 176,207 rows have no work order (routine inventory tracking, no transaction).</w:t>
      </w:r>
    </w:p>
    <w:p>
      <w:pPr>
        <w:pStyle w:val="Heading2"/>
        <w:spacing w:after="120" w:before="260"/>
      </w:pPr>
      <w:r>
        <w:t xml:space="preserve">3.2 Data Quality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Completeness: no missing values in any sensor, cost, or identifier field. wo_type is null only where no work order applies (expected/valid nulls, 80.5% of rows), not a data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duplicate rows; no negative or physically impossible values in any sensor channel (all ranges checked: temp, vibration, pressure, load, RPM, power all ≥0 and within plausible industrial bounds).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Notable data characteristic: </w:t>
      </w:r>
      <w:r>
        <w:t xml:space="preserve">breakdown work orders are recorded on 67.4% of all asset-days (7,376 of 10,950), at an average of ~2.9 flagged parts per event day. This incidence rate is far higher than a typical unplanned-failure rate for rotating/reciprocating industrial equipment and most plausibly represents a broader definition of “breakdown work order” (e.g., including minor corrective replacements bundled with the event) rather than catastrophic machine stoppage. Because of this near-saturation, simple event-in-next-N-days correlation between vibration spikes and breakdown flags was tested and found statistically uninformative (spike-preceded-breakdown rate 100% vs. an unconditional 3-day-window base rate of 99.8%) — the flag is too dense at daily granularity to serve as a leading-indicator target. Section 6 therefore relies on magnitude/threshold-based anomaly detection and cross-sectional load correlation, which remain valid and are the analytically sound signals in this dataset.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Recommendation for future data capture: </w:t>
      </w:r>
      <w:r>
        <w:t xml:space="preserve">tag breakdown work orders with a severity/downtime-hours field, and timestamp them at the event (not daily-bucket) level. This would allow genuine precursor/leading-indicator analysis in the next iteration of this report.</w:t>
      </w:r>
    </w:p>
    <w:p>
      <w:pPr>
        <w:pStyle w:val="Heading1"/>
        <w:spacing w:after="160" w:before="360"/>
      </w:pPr>
      <w:r>
        <w:t xml:space="preserve">4. Statistical Data Summary</w:t>
      </w:r>
    </w:p>
    <w:p>
      <w:pPr>
        <w:spacing w:after="160" w:line="276"/>
      </w:pPr>
      <w:r>
        <w:t xml:space="preserve">Table 1 — Fleet-wide sensor statistics (asset-day level, n = 10,950 observations, all 10 assets pooled):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50"/>
        <w:gridCol w:w="950"/>
        <w:gridCol w:w="950"/>
        <w:gridCol w:w="1150"/>
        <w:gridCol w:w="950"/>
        <w:gridCol w:w="95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9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</w:t>
            </w:r>
          </w:p>
        </w:tc>
        <w:tc>
          <w:tcPr>
            <w:tcW w:type="dxa" w:w="9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Median</w:t>
            </w:r>
          </w:p>
        </w:tc>
        <w:tc>
          <w:tcPr>
            <w:tcW w:type="dxa" w:w="9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Std Dev</w:t>
            </w:r>
          </w:p>
        </w:tc>
        <w:tc>
          <w:tcPr>
            <w:tcW w:type="dxa" w:w="11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Variance</w:t>
            </w:r>
          </w:p>
        </w:tc>
        <w:tc>
          <w:tcPr>
            <w:tcW w:type="dxa" w:w="9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9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Bearing Temperature (°C)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65.10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66.30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4.92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24.20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43.50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73.50</w:t>
            </w:r>
          </w:p>
        </w:tc>
      </w:tr>
      <w:tr>
        <w:tc>
          <w:tcPr>
            <w:tcW w:type="dxa" w:w="32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Temperature (°C)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71.09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71.50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6.90</w:t>
            </w:r>
          </w:p>
        </w:tc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47.58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49.80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88.40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 – Horizontal (mm/s)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3.87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3.62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1.35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1.81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0.67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13.31</w:t>
            </w:r>
          </w:p>
        </w:tc>
      </w:tr>
      <w:tr>
        <w:tc>
          <w:tcPr>
            <w:tcW w:type="dxa" w:w="32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 – Vertical (mm/s)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2.90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2.74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1.03</w:t>
            </w:r>
          </w:p>
        </w:tc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1.05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10.09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Oil Pressure (bar)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5.01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4.94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3.30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7.39</w:t>
            </w:r>
          </w:p>
        </w:tc>
      </w:tr>
      <w:tr>
        <w:tc>
          <w:tcPr>
            <w:tcW w:type="dxa" w:w="32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 (%)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68.34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68.80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12.19</w:t>
            </w:r>
          </w:p>
        </w:tc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148.57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34.20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95.40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Shaft Speed (RPM)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1,553.7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1,437.0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773.4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598,113.0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654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2,980</w:t>
            </w:r>
          </w:p>
        </w:tc>
      </w:tr>
      <w:tr>
        <w:tc>
          <w:tcPr>
            <w:tcW w:type="dxa" w:w="32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Power Consumption (kW)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26.46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16.73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19.28</w:t>
            </w:r>
          </w:p>
        </w:tc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371.70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4.43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82.50</w:t>
            </w:r>
          </w:p>
        </w:tc>
      </w:tr>
    </w:tbl>
    <w:p>
      <w:pPr>
        <w:spacing w:after="160" w:line="276"/>
      </w:pPr>
      <w:r>
        <w:rPr>
          <w:i/>
          <w:iCs/>
          <w:color w:val="5D6D7E"/>
          <w:sz w:val="19"/>
          <w:szCs w:val="19"/>
        </w:rPr>
        <w:t xml:space="preserve">Note: Shaft speed and power consumption show very high variance because five structurally different machine classes (CNC Lathe, Hydraulic Press, Belt Conveyor, Screw Compressor, EOT Crane) are pooled together — each operates at a different inherent speed/power baseline. Machine-type-segmented statistics are given in Section 5.1; pooled figures above should be read as fleet context only, not as a single machine's operating envelope.</w:t>
      </w:r>
    </w:p>
    <w:p>
      <w:pPr>
        <w:pStyle w:val="Heading1"/>
        <w:spacing w:after="160" w:before="360"/>
      </w:pPr>
      <w:r>
        <w:t xml:space="preserve">5. Detailed Component Analysis</w:t>
      </w:r>
    </w:p>
    <w:p>
      <w:pPr>
        <w:pStyle w:val="Heading2"/>
        <w:spacing w:after="120" w:before="260"/>
      </w:pPr>
      <w:r>
        <w:t xml:space="preserve">5.1 By Machine Type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50"/>
        <w:gridCol w:w="1650"/>
        <w:gridCol w:w="1400"/>
        <w:gridCol w:w="1500"/>
        <w:gridCol w:w="15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Machine Type</w:t>
            </w:r>
          </w:p>
        </w:tc>
        <w:tc>
          <w:tcPr>
            <w:tcW w:type="dxa" w:w="17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Brg Temp (°C)</w:t>
            </w:r>
          </w:p>
        </w:tc>
        <w:tc>
          <w:tcPr>
            <w:tcW w:type="dxa" w:w="16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Vib-H (mm/s)</w:t>
            </w:r>
          </w:p>
        </w:tc>
        <w:tc>
          <w:tcPr>
            <w:tcW w:type="dxa" w:w="1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Load (%)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Power (kW)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MRO Spend (₹ Lakh)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Hydraulic Press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66.7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4.28*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66.4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55.7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26.3</w:t>
            </w:r>
          </w:p>
        </w:tc>
      </w:tr>
      <w:tr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Screw Compressor</w:t>
            </w:r>
          </w:p>
        </w:tc>
        <w:tc>
          <w:tcPr>
            <w:tcW w:type="dxa" w:w="1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59.0</w:t>
            </w:r>
          </w:p>
        </w:tc>
        <w:tc>
          <w:tcPr>
            <w:tcW w:type="dxa" w:w="16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4.15*</w:t>
            </w:r>
          </w:p>
        </w:tc>
        <w:tc>
          <w:tcPr>
            <w:tcW w:type="dxa" w:w="1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68.1</w:t>
            </w:r>
          </w:p>
        </w:tc>
        <w:tc>
          <w:tcPr>
            <w:tcW w:type="dxa" w:w="1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37.5</w:t>
            </w:r>
          </w:p>
        </w:tc>
        <w:tc>
          <w:tcPr>
            <w:tcW w:type="dxa" w:w="1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27.1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CNC Lathe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67.2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3.90*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79.6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14.8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26.1</w:t>
            </w:r>
          </w:p>
        </w:tc>
      </w:tr>
      <w:tr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EOT Crane</w:t>
            </w:r>
          </w:p>
        </w:tc>
        <w:tc>
          <w:tcPr>
            <w:tcW w:type="dxa" w:w="1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65.6</w:t>
            </w:r>
          </w:p>
        </w:tc>
        <w:tc>
          <w:tcPr>
            <w:tcW w:type="dxa" w:w="16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3.48</w:t>
            </w:r>
          </w:p>
        </w:tc>
        <w:tc>
          <w:tcPr>
            <w:tcW w:type="dxa" w:w="1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63.1</w:t>
            </w:r>
          </w:p>
        </w:tc>
        <w:tc>
          <w:tcPr>
            <w:tcW w:type="dxa" w:w="1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  <w:tc>
          <w:tcPr>
            <w:tcW w:type="dxa" w:w="1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26.4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Belt Conveyor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66.9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3.56*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64.5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8.3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27.5</w:t>
            </w:r>
          </w:p>
        </w:tc>
      </w:tr>
    </w:tbl>
    <w:p>
      <w:pPr>
        <w:spacing w:after="160" w:line="276"/>
      </w:pPr>
      <w:r>
        <w:rPr>
          <w:i/>
          <w:iCs/>
          <w:color w:val="5D6D7E"/>
          <w:sz w:val="19"/>
          <w:szCs w:val="19"/>
        </w:rPr>
        <w:t xml:space="preserve">*Machine-type average vibration masks a wide within-type asset spread — see Section 5.2. CNC Lathe average load (79.6%) is the highest of any machine class, consistent with the load–breakdown correlation identified in Section 6.</w:t>
      </w:r>
    </w:p>
    <w:p>
      <w:pPr>
        <w:pStyle w:val="Heading2"/>
        <w:spacing w:after="120" w:before="260"/>
      </w:pPr>
      <w:r>
        <w:t xml:space="preserve">5.2 By Individual Asset (10,950 asset-days)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1350"/>
        <w:gridCol w:w="1250"/>
        <w:gridCol w:w="1300"/>
        <w:gridCol w:w="1300"/>
        <w:gridCol w:w="1300"/>
        <w:gridCol w:w="1000"/>
      </w:tblGrid>
      <w:tr>
        <w:trPr>
          <w:tblHeader/>
        </w:trPr>
        <w:tc>
          <w:tcPr>
            <w:tcW w:type="dxa" w:w="11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6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Mtc-WO Days (%)</w:t>
            </w:r>
          </w:p>
        </w:tc>
        <w:tc>
          <w:tcPr>
            <w:tcW w:type="dxa" w:w="12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Implied MTBF (days)</w:t>
            </w:r>
          </w:p>
        </w:tc>
        <w:tc>
          <w:tcPr>
            <w:tcW w:type="dxa" w:w="1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Vib-H (mm/s)</w:t>
            </w:r>
          </w:p>
        </w:tc>
        <w:tc>
          <w:tcPr>
            <w:tcW w:type="dxa" w:w="1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Vib-H (mm/s)</w:t>
            </w:r>
          </w:p>
        </w:tc>
        <w:tc>
          <w:tcPr>
            <w:tcW w:type="dxa" w:w="1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Brg Temp (°C)</w:t>
            </w:r>
          </w:p>
        </w:tc>
        <w:tc>
          <w:tcPr>
            <w:tcW w:type="dxa" w:w="10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Load (%)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AST-1041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CNC Lathe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67.4%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5.04 ⚠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13.06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67.5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79.5</w:t>
            </w:r>
          </w:p>
        </w:tc>
      </w:tr>
      <w:tr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AST-1042</w:t>
            </w:r>
          </w:p>
        </w:tc>
        <w:tc>
          <w:tcPr>
            <w:tcW w:type="dxa" w:w="16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CNC Lathe</w:t>
            </w:r>
          </w:p>
        </w:tc>
        <w:tc>
          <w:tcPr>
            <w:tcW w:type="dxa" w:w="13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65.9%</w:t>
            </w:r>
          </w:p>
        </w:tc>
        <w:tc>
          <w:tcPr>
            <w:tcW w:type="dxa" w:w="1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2.75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10.22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67.0</w:t>
            </w:r>
          </w:p>
        </w:tc>
        <w:tc>
          <w:tcPr>
            <w:tcW w:type="dxa" w:w="1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79.6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AST-2017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Hydraulic Press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69.3%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11.57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53.6</w:t>
            </w:r>
          </w:p>
        </w:tc>
      </w:tr>
      <w:tr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AST-2031</w:t>
            </w:r>
          </w:p>
        </w:tc>
        <w:tc>
          <w:tcPr>
            <w:tcW w:type="dxa" w:w="16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Hydraulic Press</w:t>
            </w:r>
          </w:p>
        </w:tc>
        <w:tc>
          <w:tcPr>
            <w:tcW w:type="dxa" w:w="13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67.8%</w:t>
            </w:r>
          </w:p>
        </w:tc>
        <w:tc>
          <w:tcPr>
            <w:tcW w:type="dxa" w:w="1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4.53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12.10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68.2</w:t>
            </w:r>
          </w:p>
        </w:tc>
        <w:tc>
          <w:tcPr>
            <w:tcW w:type="dxa" w:w="1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79.2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AST-3008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Belt Conveyor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67.3%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3.93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12.21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68.1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71.4</w:t>
            </w:r>
          </w:p>
        </w:tc>
      </w:tr>
      <w:tr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AST-3019</w:t>
            </w:r>
          </w:p>
        </w:tc>
        <w:tc>
          <w:tcPr>
            <w:tcW w:type="dxa" w:w="16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Belt Conveyor</w:t>
            </w:r>
          </w:p>
        </w:tc>
        <w:tc>
          <w:tcPr>
            <w:tcW w:type="dxa" w:w="13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64.4%</w:t>
            </w:r>
          </w:p>
        </w:tc>
        <w:tc>
          <w:tcPr>
            <w:tcW w:type="dxa" w:w="1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3.19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11.47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65.8</w:t>
            </w:r>
          </w:p>
        </w:tc>
        <w:tc>
          <w:tcPr>
            <w:tcW w:type="dxa" w:w="1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57.6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AST-4055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Screw Compressor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69.9%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3.43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11.49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52.8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76.7</w:t>
            </w:r>
          </w:p>
        </w:tc>
      </w:tr>
      <w:tr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AST-4061</w:t>
            </w:r>
          </w:p>
        </w:tc>
        <w:tc>
          <w:tcPr>
            <w:tcW w:type="dxa" w:w="16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Screw Compressor</w:t>
            </w:r>
          </w:p>
        </w:tc>
        <w:tc>
          <w:tcPr>
            <w:tcW w:type="dxa" w:w="13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68.0%</w:t>
            </w:r>
          </w:p>
        </w:tc>
        <w:tc>
          <w:tcPr>
            <w:tcW w:type="dxa" w:w="1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4.86 ⚠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13.30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65.3</w:t>
            </w:r>
          </w:p>
        </w:tc>
        <w:tc>
          <w:tcPr>
            <w:tcW w:type="dxa" w:w="1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59.6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AST-5003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EOT Crane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69.2%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3.47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11.82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66.9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71.1</w:t>
            </w:r>
          </w:p>
        </w:tc>
      </w:tr>
      <w:tr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AST-5007</w:t>
            </w:r>
          </w:p>
        </w:tc>
        <w:tc>
          <w:tcPr>
            <w:tcW w:type="dxa" w:w="16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EOT Crane</w:t>
            </w:r>
          </w:p>
        </w:tc>
        <w:tc>
          <w:tcPr>
            <w:tcW w:type="dxa" w:w="13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64.4%</w:t>
            </w:r>
          </w:p>
        </w:tc>
        <w:tc>
          <w:tcPr>
            <w:tcW w:type="dxa" w:w="1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3.48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11.48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64.4</w:t>
            </w:r>
          </w:p>
        </w:tc>
        <w:tc>
          <w:tcPr>
            <w:tcW w:type="dxa" w:w="1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55.2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⚠ Flagged assets: </w:t>
      </w:r>
      <w:r>
        <w:t xml:space="preserve">AST-1041 (avg vibration 5.04 mm/s, 83% higher than sister unit AST-1042 at 2.75 mm/s) and AST-4061 (4.86 mm/s vs. sister unit AST-4055 at 3.43 mm/s, +42%). Both pairs are nominally identical machine types operating in the same fleet, so the gap is attributable to asset-specific mechanical condition (wear, imbalance, mounting, or alignment) rather than process/duty differences — see Section 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“Implied MTBF” caveat: </w:t>
      </w:r>
      <w:r>
        <w:t xml:space="preserve">computed as total tracked days ÷ breakdown work-order days per asset. Given the high daily incidence discussed in Section 3.2, this reflects work-order frequency, not true mean-time-between-catastrophic-failure; it is presented for relative cross-asset comparison only.</w:t>
      </w:r>
    </w:p>
    <w:p>
      <w:pPr>
        <w:pStyle w:val="Heading2"/>
        <w:spacing w:after="120" w:before="260"/>
      </w:pPr>
      <w:r>
        <w:t xml:space="preserve">5.3 By Part Family (Full 219,000-row Ledger)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400"/>
        <w:gridCol w:w="24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 Family</w:t>
            </w:r>
          </w:p>
        </w:tc>
        <w:tc>
          <w:tcPr>
            <w:tcW w:type="dxa" w:w="21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Breakdown WOs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All Breakdowns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MRO Spend (₹)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Bearing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4,221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19.5%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32,60,200</w:t>
            </w:r>
          </w:p>
        </w:tc>
      </w:tr>
      <w:tr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 &amp; Gasket</w:t>
            </w:r>
          </w:p>
        </w:tc>
        <w:tc>
          <w:tcPr>
            <w:tcW w:type="dxa" w:w="2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3,118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14.4%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29,92,129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Sensor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2,454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5,36,300</w:t>
            </w:r>
          </w:p>
        </w:tc>
      </w:tr>
      <w:tr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Electrical</w:t>
            </w:r>
          </w:p>
        </w:tc>
        <w:tc>
          <w:tcPr>
            <w:tcW w:type="dxa" w:w="2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2,417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11.2%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4,75,290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2,136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9.9%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20,30,440</w:t>
            </w:r>
          </w:p>
        </w:tc>
      </w:tr>
      <w:tr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 Belt</w:t>
            </w:r>
          </w:p>
        </w:tc>
        <w:tc>
          <w:tcPr>
            <w:tcW w:type="dxa" w:w="2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2,134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9.9%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21,51,850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Coupling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1,987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9.2%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3,83,960</w:t>
            </w:r>
          </w:p>
        </w:tc>
      </w:tr>
      <w:tr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Fastener</w:t>
            </w:r>
          </w:p>
        </w:tc>
        <w:tc>
          <w:tcPr>
            <w:tcW w:type="dxa" w:w="2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1,626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7.5%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5,27,190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Lubrication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1,543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7.1%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9,83,586</w:t>
            </w:r>
          </w:p>
        </w:tc>
      </w:tr>
    </w:tbl>
    <w:p>
      <w:pPr>
        <w:spacing w:after="160" w:line="276"/>
      </w:pPr>
      <w:r>
        <w:t xml:space="preserve">Bearings are the single largest driver of both failure frequency and cost, consistent with their role as the primary rotating-element wear component across all five machine classes. Seals &amp; Gaskets rank second in both dimensions, typically indicative of thermal-cycling degradation or contamination ingress. Sensors and Electrical items generate high breakdown counts but comparatively low spend (low unit cost, high replacement frequency) — a pattern consistent with consumable/wear-item behaviour rather than structural failure.</w:t>
      </w:r>
    </w:p>
    <w:p>
      <w:pPr>
        <w:pStyle w:val="Heading2"/>
        <w:spacing w:after="120" w:before="260"/>
      </w:pPr>
      <w:r>
        <w:t xml:space="preserve">5.4 Top 5 Costliest Line Items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00"/>
      </w:tblGrid>
      <w:tr>
        <w:trPr>
          <w:tblHeader/>
        </w:trPr>
        <w:tc>
          <w:tcPr>
            <w:tcW w:type="dxa" w:w="6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 Description</w:t>
            </w:r>
          </w:p>
        </w:tc>
        <w:tc>
          <w:tcPr>
            <w:tcW w:type="dxa" w:w="2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Issue Value (₹)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Hydraulic Seal Kit 50mm Bore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28,48,000</w:t>
            </w:r>
          </w:p>
        </w:tc>
      </w:tr>
      <w:tr>
        <w:tc>
          <w:tcPr>
            <w:tcW w:type="dxa" w:w="6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Poly-V Belt 6PK1780</w:t>
            </w:r>
          </w:p>
        </w:tc>
        <w:tc>
          <w:tcPr>
            <w:tcW w:type="dxa" w:w="2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14,74,730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Cylindrical Roller Bearing NU-2210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14,70,000</w:t>
            </w:r>
          </w:p>
        </w:tc>
      </w:tr>
      <w:tr>
        <w:tc>
          <w:tcPr>
            <w:tcW w:type="dxa" w:w="6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Air Filter Cartridge AF-2500</w:t>
            </w:r>
          </w:p>
        </w:tc>
        <w:tc>
          <w:tcPr>
            <w:tcW w:type="dxa" w:w="2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14,23,480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Taper Roller Bearing 30206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10,88,950</w:t>
            </w:r>
          </w:p>
        </w:tc>
      </w:tr>
    </w:tbl>
    <w:p>
      <w:pPr>
        <w:pStyle w:val="Heading1"/>
        <w:spacing w:after="160" w:before="360"/>
      </w:pPr>
      <w:r>
        <w:t xml:space="preserve">6. Visualizations &amp; Charting Data</w:t>
      </w:r>
    </w:p>
    <w:p>
      <w:pPr>
        <w:spacing w:after="160" w:line="276"/>
      </w:pPr>
      <w:r>
        <w:t xml:space="preserve">Six charts are provided below, each covering a distinct analytical angle required for full mechanical/reliability characterization. Underlying aggregated data tables are included beneath each chart for direct copy-paste into Excel or Power BI (raw 10,950/219,000-row exports are impractical to reproduce in-document; aggregates preserve the signal needed to rebuild each visual).</w:t>
      </w:r>
    </w:p>
    <w:p>
      <w:pPr>
        <w:pStyle w:val="Heading2"/>
        <w:spacing w:after="120" w:before="260"/>
      </w:pPr>
      <w:r>
        <w:t xml:space="preserve">6.1 Chart 1 — Bearing Temperature &amp; Vibration Trend (Representative Asset)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D6D7E"/>
          <w:sz w:val="18"/>
          <w:szCs w:val="18"/>
        </w:rPr>
        <w:t xml:space="preserve">Figure 1. AST-2017 (Hydraulic Press) — 7-day rolling average of horizontal vibration and bearing temperature, Jan 2022–Jan 2025, with breakdown work-order days overlaid (black dots) and the ISO 10816 Zone-D limit marked.</w:t>
      </w:r>
    </w:p>
    <w:p>
      <w:pPr>
        <w:spacing w:after="160" w:line="276"/>
      </w:pPr>
      <w:r>
        <w:t xml:space="preserve">AST-2017 was selected as the representative asset (highest absolute breakdown-work-order count in the fleet, 2,647 events). The rolling trend shows vibration oscillating within a broadly stable band with periodic short-duration spikes; no sustained multi-month upward drift is visible, indicating the asset is not in a classic long-run degradation curve but experiences intermittent excitation events (see Section 7).</w:t>
      </w:r>
    </w:p>
    <w:p>
      <w:pPr>
        <w:spacing w:after="160" w:line="276"/>
      </w:pPr>
      <w:r>
        <w:rPr>
          <w:b/>
          <w:bCs/>
        </w:rPr>
        <w:t xml:space="preserve">Chart data (recommended: reproduce with a full daily export per asset; summary below shows quarterly aggregates for AST-2017):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300"/>
        <w:gridCol w:w="2300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Quarter</w:t>
            </w:r>
          </w:p>
        </w:tc>
        <w:tc>
          <w:tcPr>
            <w:tcW w:type="dxa" w:w="2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Vib-H (mm/s)</w:t>
            </w:r>
          </w:p>
        </w:tc>
        <w:tc>
          <w:tcPr>
            <w:tcW w:type="dxa" w:w="2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Brg Temp (°C)</w:t>
            </w:r>
          </w:p>
        </w:tc>
        <w:tc>
          <w:tcPr>
            <w:tcW w:type="dxa" w:w="2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Breakdown WO Days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2022-Q1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3.95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2022-Q2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4.01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65.3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2022-Q3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4.08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2022-Q4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3.97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65.4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2023-Q1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4.05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2023-Q2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3.99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65.0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2023-Q3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4.02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2023-Q4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4.10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65.4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2024-Q1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3.98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2024-Q2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4.06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65.2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2024-Q3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4.03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2024-Q4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4.01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65.2</w:t>
            </w:r>
          </w:p>
        </w:tc>
        <w:tc>
          <w:tcPr>
            <w:tcW w:type="dxa" w:w="2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</w:tr>
    </w:tbl>
    <w:p>
      <w:pPr>
        <w:pStyle w:val="Heading2"/>
        <w:spacing w:after="120" w:before="260"/>
      </w:pPr>
      <w:r>
        <w:t xml:space="preserve">6.2 Chart 2 — Pareto: Breakdown Work Orders by Part Family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D6D7E"/>
          <w:sz w:val="18"/>
          <w:szCs w:val="18"/>
        </w:rPr>
        <w:t xml:space="preserve">Figure 2. Breakdown work-order count by part family (bars, left axis) with cumulative percentage (line, right axis), fleet-wide, 2022–2025.</w:t>
      </w:r>
    </w:p>
    <w:p>
      <w:pPr>
        <w:spacing w:after="160" w:line="276"/>
      </w:pPr>
      <w:r>
        <w:t xml:space="preserve">Bearings, Seals &amp; Gaskets, and Sensors together account for 45.2% of all breakdown events — the classic Pareto “vital few” for a targeted reliability program. Full data table is provided in Section 5.3 (Table — By Part Family).</w:t>
      </w:r>
    </w:p>
    <w:p>
      <w:pPr>
        <w:pStyle w:val="Heading2"/>
        <w:spacing w:after="120" w:before="260"/>
      </w:pPr>
      <w:r>
        <w:t xml:space="preserve">6.3 Chart 3 — Sensor Parameter Correlation Matrix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D6D7E"/>
          <w:sz w:val="18"/>
          <w:szCs w:val="18"/>
        </w:rPr>
        <w:t xml:space="preserve">Figure 3. Pearson correlation matrix across all 8 condition-monitoring variables, asset-day level (n=10,950).</w:t>
      </w:r>
    </w:p>
    <w:p>
      <w:pPr>
        <w:spacing w:after="160" w:line="276"/>
      </w:pPr>
      <w:r>
        <w:t xml:space="preserve">Key relationships: Vibration-H and Vibration-V are almost perfectly co-linear (r=0.98), confirming both axes respond to the same mechanical excitation source. Oil pressure and power consumption are strongly positively correlated (r=0.64) — expected, since higher hydraulic/pneumatic power draw is mechanically linked to system pressure on the Hydraulic Press and Screw Compressor assets. Shaft RPM is moderately negatively correlated with bearing temperature (r=−0.49), which is counter-intuitive for pure friction heating and instead reflects the fact that lower-RPM machine classes in this fleet (Screw Compressors) also run at different thermal setpoints — a machine-type confound rather than a physical RPM–temperature relationship (see Section 5.2 per-asset table).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50"/>
        <w:gridCol w:w="1150"/>
        <w:gridCol w:w="950"/>
        <w:gridCol w:w="950"/>
        <w:gridCol w:w="1050"/>
        <w:gridCol w:w="900"/>
        <w:gridCol w:w="1100"/>
        <w:gridCol w:w="1050"/>
      </w:tblGrid>
      <w:tr>
        <w:trPr>
          <w:tblHeader/>
        </w:trPr>
        <w:tc>
          <w:tcPr>
            <w:tcW w:type="dxa" w:w="1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Brg Temp</w:t>
            </w:r>
          </w:p>
        </w:tc>
        <w:tc>
          <w:tcPr>
            <w:tcW w:type="dxa" w:w="11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Motor Temp</w:t>
            </w:r>
          </w:p>
        </w:tc>
        <w:tc>
          <w:tcPr>
            <w:tcW w:type="dxa" w:w="9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Vib-H</w:t>
            </w:r>
          </w:p>
        </w:tc>
        <w:tc>
          <w:tcPr>
            <w:tcW w:type="dxa" w:w="9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Vib-V</w:t>
            </w:r>
          </w:p>
        </w:tc>
        <w:tc>
          <w:tcPr>
            <w:tcW w:type="dxa" w:w="10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Oil Press</w:t>
            </w:r>
          </w:p>
        </w:tc>
        <w:tc>
          <w:tcPr>
            <w:tcW w:type="dxa" w:w="9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Load %</w:t>
            </w:r>
          </w:p>
        </w:tc>
        <w:tc>
          <w:tcPr>
            <w:tcW w:type="dxa" w:w="11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Shaft RPM</w:t>
            </w:r>
          </w:p>
        </w:tc>
        <w:tc>
          <w:tcPr>
            <w:tcW w:type="dxa" w:w="10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Power kW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Brg Temp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-0.49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-0.17</w:t>
            </w:r>
          </w:p>
        </w:tc>
      </w:tr>
      <w:tr>
        <w:tc>
          <w:tcPr>
            <w:tcW w:type="dxa" w:w="1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Temp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-0.17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-0.17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0.04</w:t>
            </w:r>
          </w:p>
        </w:tc>
        <w:tc>
          <w:tcPr>
            <w:tcW w:type="dxa" w:w="9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-0.19</w:t>
            </w:r>
          </w:p>
        </w:tc>
        <w:tc>
          <w:tcPr>
            <w:tcW w:type="dxa" w:w="1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-0.20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Vib-H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-0.17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1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Vib-V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-0.17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-0.02</w:t>
            </w:r>
          </w:p>
        </w:tc>
        <w:tc>
          <w:tcPr>
            <w:tcW w:type="dxa" w:w="9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  <w:tc>
          <w:tcPr>
            <w:tcW w:type="dxa" w:w="1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Oil Press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0.04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-0.02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-0.02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-0.28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</w:tr>
      <w:tr>
        <w:tc>
          <w:tcPr>
            <w:tcW w:type="dxa" w:w="1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 %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-0.19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9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0.21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Shaft RPM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-0.49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-0.20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-0.28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</w:tr>
      <w:tr>
        <w:tc>
          <w:tcPr>
            <w:tcW w:type="dxa" w:w="14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Power kW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-0.17</w:t>
            </w:r>
          </w:p>
        </w:tc>
        <w:tc>
          <w:tcPr>
            <w:tcW w:type="dxa" w:w="11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9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  <w:tc>
          <w:tcPr>
            <w:tcW w:type="dxa" w:w="9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0.21</w:t>
            </w:r>
          </w:p>
        </w:tc>
        <w:tc>
          <w:tcPr>
            <w:tcW w:type="dxa" w:w="1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10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</w:tbl>
    <w:p>
      <w:pPr>
        <w:pStyle w:val="Heading2"/>
        <w:spacing w:after="120" w:before="260"/>
      </w:pPr>
      <w:r>
        <w:t xml:space="preserve">6.4 Chart 4 — Operating Load: Normal vs. Breakdown Work-Order Days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D6D7E"/>
          <w:sz w:val="18"/>
          <w:szCs w:val="18"/>
        </w:rPr>
        <w:t xml:space="preserve">Figure 4. Load (%) distribution on normal days vs. breakdown work-order days, faceted by machine type.</w:t>
      </w:r>
    </w:p>
    <w:p>
      <w:pPr>
        <w:spacing w:after="160" w:line="276"/>
      </w:pPr>
      <w:r>
        <w:t xml:space="preserve">Across every machine type, load is visibly higher (median shifted up) on breakdown work-order days than on normal operating days. This is the strongest cross-sectional signal in the dataset (fleet-wide r=0.338 between load and same-day breakdown-parts count — more than double the next-strongest predictor). Fleet-wide summary: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  <w:gridCol w:w="22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Load (%)</w:t>
            </w:r>
          </w:p>
        </w:tc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Power (kW)</w:t>
            </w:r>
          </w:p>
        </w:tc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Vib-H (mm/s)</w:t>
            </w:r>
          </w:p>
        </w:tc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Brg Temp (°C)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 Day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60.9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23.2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3.74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64.4</w:t>
            </w:r>
          </w:p>
        </w:tc>
      </w:tr>
      <w:tr>
        <w:tc>
          <w:tcPr>
            <w:tcW w:type="dxa" w:w="2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Breakdown WO Day</w:t>
            </w:r>
          </w:p>
        </w:tc>
        <w:tc>
          <w:tcPr>
            <w:tcW w:type="dxa" w:w="22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71.9</w:t>
            </w:r>
          </w:p>
        </w:tc>
        <w:tc>
          <w:tcPr>
            <w:tcW w:type="dxa" w:w="22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28.0</w:t>
            </w:r>
          </w:p>
        </w:tc>
        <w:tc>
          <w:tcPr>
            <w:tcW w:type="dxa" w:w="22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3.93</w:t>
            </w:r>
          </w:p>
        </w:tc>
        <w:tc>
          <w:tcPr>
            <w:tcW w:type="dxa" w:w="22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65.4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Delta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+11.0 pts (+18.1%)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+4.8 (+20.6%)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+0.19 (+5.2%)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+1.0 (+1.6%)</w:t>
            </w:r>
          </w:p>
        </w:tc>
      </w:tr>
    </w:tbl>
    <w:p>
      <w:pPr>
        <w:pStyle w:val="Heading2"/>
        <w:spacing w:after="120" w:before="260"/>
      </w:pPr>
      <w:r>
        <w:t xml:space="preserve">6.5 Chart 5 — MRO Spend by Part Family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D6D7E"/>
          <w:sz w:val="18"/>
          <w:szCs w:val="18"/>
        </w:rPr>
        <w:t xml:space="preserve">Figure 5. Total MRO issue value (INR Lakhs) by part family, 2022–2025. Data table provided in Section 5.3.</w:t>
      </w:r>
    </w:p>
    <w:p>
      <w:pPr>
        <w:pStyle w:val="Heading2"/>
        <w:spacing w:after="120" w:before="260"/>
      </w:pPr>
      <w:r>
        <w:t xml:space="preserve">6.6 Chart 6 — Vibration Signature Map (Anomaly Detection)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D6D7E"/>
          <w:sz w:val="18"/>
          <w:szCs w:val="18"/>
        </w:rPr>
        <w:t xml:space="preserve">Figure 6. Horizontal vs. vertical vibration for every asset-day (n=10,950); red points are statistical anomalies (|z|&gt;4 vs. each asset's own baseline, n=512). Dashed lines mark the ISO 10816 Zone-D 7.1 mm/s limit.</w:t>
      </w:r>
    </w:p>
    <w:p>
      <w:pPr>
        <w:spacing w:after="160" w:line="276"/>
      </w:pPr>
      <w:r>
        <w:t xml:space="preserve">The anomaly cluster sits cleanly along the H≈V diagonal at 2–3× the normal cloud's amplitude, confirming these are coherent mechanical events rather than random sensor error (random noise would not preserve the H/V ratio). This pattern is discussed further in Section 7.</w:t>
      </w:r>
    </w:p>
    <w:p>
      <w:pPr>
        <w:pStyle w:val="Heading1"/>
        <w:spacing w:after="160" w:before="360"/>
      </w:pPr>
      <w:r>
        <w:t xml:space="preserve">7. Failure Mode / Anomaly Detection</w:t>
      </w:r>
    </w:p>
    <w:p>
      <w:pPr>
        <w:pStyle w:val="Heading2"/>
        <w:spacing w:after="120" w:before="260"/>
      </w:pPr>
      <w:r>
        <w:t xml:space="preserve">7.1 Threshold Breach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3100"/>
        <w:gridCol w:w="1100"/>
        <w:gridCol w:w="13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9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Applied Threshold</w:t>
            </w:r>
          </w:p>
        </w:tc>
        <w:tc>
          <w:tcPr>
            <w:tcW w:type="dxa" w:w="31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  <w:tc>
          <w:tcPr>
            <w:tcW w:type="dxa" w:w="11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Breaches</w:t>
            </w:r>
          </w:p>
        </w:tc>
        <w:tc>
          <w:tcPr>
            <w:tcW w:type="dxa" w:w="1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Readings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 – Horizontal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7.1 mm/s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ISO 10816-3 Zone D (unacceptable, medium rigid-mount machines)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3.13%</w:t>
            </w:r>
          </w:p>
        </w:tc>
      </w:tr>
      <w:tr>
        <w:tc>
          <w:tcPr>
            <w:tcW w:type="dxa" w:w="2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 – Vertical</w:t>
            </w:r>
          </w:p>
        </w:tc>
        <w:tc>
          <w:tcPr>
            <w:tcW w:type="dxa" w:w="19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7.1 mm/s</w:t>
            </w:r>
          </w:p>
        </w:tc>
        <w:tc>
          <w:tcPr>
            <w:tcW w:type="dxa" w:w="3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ISO 10816-3 Zone D</w:t>
            </w:r>
          </w:p>
        </w:tc>
        <w:tc>
          <w:tcPr>
            <w:tcW w:type="dxa" w:w="1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178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1.63%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Bearing Temperature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85 °C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Typical grease-lubricated ball/roller bearing alarm limit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0.00%</w:t>
            </w:r>
          </w:p>
        </w:tc>
      </w:tr>
      <w:tr>
        <w:tc>
          <w:tcPr>
            <w:tcW w:type="dxa" w:w="2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Temperature</w:t>
            </w:r>
          </w:p>
        </w:tc>
        <w:tc>
          <w:tcPr>
            <w:tcW w:type="dxa" w:w="19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95 °C</w:t>
            </w:r>
          </w:p>
        </w:tc>
        <w:tc>
          <w:tcPr>
            <w:tcW w:type="dxa" w:w="3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Typical Class B/F insulation caution threshold</w:t>
            </w:r>
          </w:p>
        </w:tc>
        <w:tc>
          <w:tcPr>
            <w:tcW w:type="dxa" w:w="11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Oil/Hydraulic Pressure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3.0 bar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Typical minimum system pressure for stable lubrication/actuation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0.00%</w:t>
            </w:r>
          </w:p>
        </w:tc>
      </w:tr>
    </w:tbl>
    <w:p>
      <w:pPr>
        <w:spacing w:after="160" w:line="276"/>
      </w:pPr>
      <w:r>
        <w:t xml:space="preserve">Thermal and hydraulic parameters are well controlled fleet-wide — zero breaches across 10,950 asset-days indicates no systemic overheating or lubrication-starvation risk at present. Vibration is the sole parameter showing threshold excursions, concentrated as short-duration spikes rather than sustained elevation.</w:t>
      </w:r>
    </w:p>
    <w:p>
      <w:pPr>
        <w:pStyle w:val="Heading2"/>
        <w:spacing w:after="120" w:before="260"/>
      </w:pPr>
      <w:r>
        <w:t xml:space="preserve">7.2 Statistically Extreme Anomalies (|z| &gt; 4, Fleet-wide)</w:t>
      </w:r>
    </w:p>
    <w:p>
      <w:pPr>
        <w:spacing w:after="160" w:line="276"/>
      </w:pPr>
      <w:r>
        <w:t xml:space="preserve">512 asset-day readings across vibration and temperature channels exceeded 4 standard deviations from that asset's own mean. The 20 most extreme are listed below: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600"/>
        <w:gridCol w:w="1600"/>
        <w:gridCol w:w="1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7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Z-score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AST-3008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2024-09-08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Vibration-H (mm/s)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12.212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7.74</w:t>
            </w:r>
          </w:p>
        </w:tc>
      </w:tr>
      <w:tr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AST-4055</w:t>
            </w:r>
          </w:p>
        </w:tc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2024-07-02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Vibration-V (mm/s)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8.833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7.67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AST-4055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2024-07-02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Vibration-H (mm/s)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11.493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7.61</w:t>
            </w:r>
          </w:p>
        </w:tc>
      </w:tr>
      <w:tr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AST-4055</w:t>
            </w:r>
          </w:p>
        </w:tc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2023-05-15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Vibration-H (mm/s)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11.407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7.53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AST-3008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2024-09-08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Vibration-V (mm/s)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9.103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7.45</w:t>
            </w:r>
          </w:p>
        </w:tc>
      </w:tr>
      <w:tr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AST-3008</w:t>
            </w:r>
          </w:p>
        </w:tc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2024-12-20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Vibration-H (mm/s)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11.690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7.25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AST-4061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2024-09-25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Vibration-H (mm/s)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13.305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7.20</w:t>
            </w:r>
          </w:p>
        </w:tc>
      </w:tr>
      <w:tr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AST-4055</w:t>
            </w:r>
          </w:p>
        </w:tc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2023-05-15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Vibration-V (mm/s)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8.433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7.18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AST-4055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2023-12-29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Vibration-H (mm/s)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10.970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7.11</w:t>
            </w:r>
          </w:p>
        </w:tc>
      </w:tr>
      <w:tr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AST-4061</w:t>
            </w:r>
          </w:p>
        </w:tc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2024-09-25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Vibration-V (mm/s)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10.088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7.09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AST-2031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2023-04-05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Vibration-H (mm/s)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12.096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7.05</w:t>
            </w:r>
          </w:p>
        </w:tc>
      </w:tr>
      <w:tr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AST-2031</w:t>
            </w:r>
          </w:p>
        </w:tc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2024-03-03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Vibration-V (mm/s)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9.192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7.03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AST-5003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2024-03-21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Vibration-H (mm/s)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11.819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7.02</w:t>
            </w:r>
          </w:p>
        </w:tc>
      </w:tr>
      <w:tr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AST-4055</w:t>
            </w:r>
          </w:p>
        </w:tc>
        <w:tc>
          <w:tcPr>
            <w:tcW w:type="dxa" w:w="17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2022-12-30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Vibration-V (mm/s)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8.302</w:t>
            </w:r>
          </w:p>
        </w:tc>
        <w:tc>
          <w:tcPr>
            <w:tcW w:type="dxa" w:w="16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7.02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AST-3008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2023-08-16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Vibration-H (mm/s)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11.369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6.95</w:t>
            </w:r>
          </w:p>
        </w:tc>
      </w:tr>
    </w:tbl>
    <w:p>
      <w:pPr>
        <w:spacing w:after="160" w:line="276"/>
      </w:pPr>
      <w:r>
        <w:t xml:space="preserve">These spikes occur on isolated single days (not sustained runs) and are distributed across all 10 assets and all 3 years — there is no single failing unit driving the anomaly count, and no obvious seasonal clustering. The consistent H/V co-movement (r=0.98 fleet-wide, confirmed at the individual-spike level too) is diagnostically significant.</w:t>
      </w:r>
    </w:p>
    <w:p>
      <w:pPr>
        <w:pStyle w:val="Heading2"/>
        <w:spacing w:after="120" w:before="260"/>
      </w:pPr>
      <w:r>
        <w:t xml:space="preserve">7.3 Probable Root Causes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Rotor imbalance or resonance excitation (most likely): </w:t>
      </w:r>
      <w:r>
        <w:t xml:space="preserve">The synchronous rise in both horizontal and vertical vibration, at amplitudes 2–3× baseline, occurring as brief isolated events rather than a gradual trend, is classically consistent with intermittent imbalance (e.g., process material build-up on Belt Conveyor pulleys, uneven loading on the Hydraulic Press, or transient resonance crossing a critical speed on Screw Compressors/EOT Cranes during start-stop cycles). FFT/spectral analysis at the next occurrence is needed to confirm the exact 1×, 2× RPM, or bearing-defect-frequency signature.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Bearing defect initiation (secondary hypothesis): </w:t>
      </w:r>
      <w:r>
        <w:t xml:space="preserve">Given Bearings are the leading part-family for breakdown events (Section 5.3) and AST-1041/AST-4061 show persistently elevated (not just spiking) vibration baselines, a developing bearing race/rolling-element defect is plausible for these two specific assets and should be prioritized for detailed vibration spectrum and oil-analysis inspection.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Overload-driven wear acceleration (systemic driver): </w:t>
      </w:r>
      <w:r>
        <w:t xml:space="preserve">Load is the strongest correlate of breakdown activity fleet-wide (r=0.338, and +18% average load on breakdown days — Section 6.4). This points to duty-cycle/overload management as a contributing systemic factor across all machine types, independent of any single component defect.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Sensor/mounting artifact (ruled largely out but not eliminated): </w:t>
      </w:r>
      <w:r>
        <w:t xml:space="preserve">If spikes were pure sensor noise, horizontal and vertical channels would not co-vary this tightly (r=0.98); a wiring/mounting fault affecting both accelerometers simultaneously on 10 independent assets over 3 years is statistically improbable. Genuine mechanical excitation is the more parsimonious explanation, though loose sensor bracket/mounting resonance at specific assets cannot be fully excluded without a physical inspection.</w:t>
      </w:r>
    </w:p>
    <w:p>
      <w:pPr>
        <w:pStyle w:val="Heading1"/>
        <w:spacing w:after="160" w:before="360"/>
      </w:pPr>
      <w:r>
        <w:t xml:space="preserve">8. Conclusions &amp; Engineering Recommendations</w:t>
      </w:r>
    </w:p>
    <w:p>
      <w:pPr>
        <w:spacing w:after="160" w:line="276"/>
      </w:pPr>
      <w:r>
        <w:t xml:space="preserve">Overall fleet health is sound on the thermal and hydraulic dimensions (zero threshold breaches), with the reliability risk concentrated in (a) intermittent high-amplitude vibration events across the fleet and (b) two specific assets running persistently elevated vibration baselines. MRO spend and breakdown frequency are dominated by Bearings and Seals &amp; Gaskets, and load level is the strongest available cross-sectional predictor of breakdown activity. Recommendations below are prioritized for direct handoff to the maintenance planning function.</w:t>
      </w:r>
    </w:p>
    <w:p>
      <w:pPr>
        <w:pStyle w:val="Heading2"/>
        <w:spacing w:after="120" w:before="260"/>
      </w:pPr>
      <w:r>
        <w:t xml:space="preserve">8.1 Immediate Actions (Safety / Critical) — Target: within 1–2 weeks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Schedule FFT/spectral vibration analysis on AST-1041 (CNC Lathe) and AST-4061 (Screw Compressor) — both show 42–83% higher mean horizontal vibration than their sister units, exceeding ISO Zone-D on 39–42 asset-days each. Determine whether the dominant frequency is 1× RPM (imbalance), 2× RPM (misalignment), or a bearing defect frequency (BPFO/BPFI/BSF).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 a physical inspection (mounting bolts, coupling alignment, accelerometer bracket integrity) on any asset that logs a fresh |z|&gt;4 vibration spike within 24–48 hours of the event, while the causative condition is most likely still present, rather than waiting for the next scheduled PM window.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Cross-check the 15 most extreme anomaly dates in Section 7.2 against maintenance logs / operator shift notes to identify whether a process event (e.g., jam, sudden load application, start-up transient) coincided — this can convert a statistical anomaly into a confirmed root cause with no new data collection required.</w:t>
      </w:r>
    </w:p>
    <w:p>
      <w:pPr>
        <w:pStyle w:val="Heading2"/>
        <w:spacing w:after="120" w:before="260"/>
      </w:pPr>
      <w:r>
        <w:t xml:space="preserve">8.2 Short-Term Maintenance / Adjustments — Target: 1–3 months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Introduce a load-management/duty-cycle review for all five machine classes: since breakdown-day average load is 18% higher than normal-day load fleet-wide, evaluate whether current duty cycles, batch sizes, or lift/press setpoints can be smoothed to reduce peak loading, particularly on CNC Lathes (fleet-highest average load at 79.6%).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Tighten bearing and seal PM intervals specifically — these two part families jointly account for 33.9% of all breakdown work orders and 46.9% of part-family MRO spend (₹62.5 lakh combined). A condition-based (vibration-triggered) replacement trigger for bearings, rather than pure time-based PM, is likely to reduce both unplanned events and premature replacement cost.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a standing vibration-anomaly alert (e.g., |z|&gt;4 or absolute &gt;7.1 mm/s on either axis) feeding directly to the maintenance planner, since the current data pipeline evidently captures this signal but it is not yet being actioned as an alarm.</w:t>
      </w:r>
    </w:p>
    <w:p>
      <w:pPr>
        <w:pStyle w:val="Heading2"/>
        <w:spacing w:after="120" w:before="260"/>
      </w:pPr>
      <w:r>
        <w:t xml:space="preserve">8.3 Long-Term Design / Process Modifications — Target: 3–12 months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Upgrade breakdown work-order data capture to event-level timestamps with a downtime/severity field (rather than a daily flag bundling multiple parts). This is a prerequisite for genuine leading-indicator/precursor modelling in future analyses — the current daily-aggregate structure saturates at 67% incidence and cannot statistically distinguish a leading signal from noise.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root-cause design fixes for the two flagged assets once spectral diagnosis is complete: options may include dynamic rebalancing, updated coupling alignment procedure, revised bearing selection/preload spec, or isolation mounts if resonance is confirmed.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 sensor mounting and calibration procedure across all 10 assets, and consider adding a third (axial) vibration channel, since horizontal/vertical alone cannot fully distinguish between imbalance, misalignment, and looseness fault modes — axial data would materially strengthen future root-cause diagnosis without requiring new hardware beyond the existing accelerometer package.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 the MRO ledger with a supplier/batch field for Bearings and Seals &amp; Gaskets to test whether failure clustering correlates with a specific supply source — given these two families dominate both cost and frequency, even a modest quality improvement here would have outsized fleet-wide impact.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6"/>
        <w:szCs w:val="16"/>
      </w:rPr>
      <w:t xml:space="preserve">Page </w:t>
    </w:r>
    <w:r>
      <w:rPr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D6D7E"/>
        <w:sz w:val="16"/>
        <w:szCs w:val="16"/>
      </w:rPr>
      <w:t xml:space="preserve"> of </w:t>
    </w:r>
    <w:r>
      <w:rPr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D6D7E"/>
        <w:sz w:val="16"/>
        <w:szCs w:val="16"/>
      </w:rPr>
      <w:t xml:space="preserve">Mechanical Reliability &amp; Data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60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31a15aa0758116e31ef420ad057efa8acda284.png"/><Relationship Id="rId10" Type="http://schemas.openxmlformats.org/officeDocument/2006/relationships/image" Target="media/e2d8fc82955afb469f4a4892323e3e3ea5654244.png"/><Relationship Id="rId11" Type="http://schemas.openxmlformats.org/officeDocument/2006/relationships/image" Target="media/b988cc3996874e0929a457d6a30238bc9a7ff96e.png"/><Relationship Id="rId12" Type="http://schemas.openxmlformats.org/officeDocument/2006/relationships/image" Target="media/968ef4460bee69055fbeda92c2cadbb6349a6830.png"/><Relationship Id="rId13" Type="http://schemas.openxmlformats.org/officeDocument/2006/relationships/image" Target="media/9f1bb6310df28123ca1874cd2c9ea94c4e164d68.png"/><Relationship Id="rId14" Type="http://schemas.openxmlformats.org/officeDocument/2006/relationships/image" Target="media/8d91fbf2a523211c52f28e7fd63b498a7816db0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2026-07-25T05:50:24.527Z</dcterms:created>
  <dcterms:modified xsi:type="dcterms:W3CDTF">2026-07-25T05:50:24.540Z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