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8d51ec0d8e4323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5c5c9273d79488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26adbc69e0b4a9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a1872cb3f8c403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3ff16e20a864ee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f10f52f707a4d7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00552ca82eb4444e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5c5c9273d79488d" /><Relationship Type="http://schemas.openxmlformats.org/officeDocument/2006/relationships/image" Target="/media/image2.jpg" Id="R326adbc69e0b4a9e" /><Relationship Type="http://schemas.openxmlformats.org/officeDocument/2006/relationships/image" Target="/media/image3.jpg" Id="R8a1872cb3f8c4038" /><Relationship Type="http://schemas.openxmlformats.org/officeDocument/2006/relationships/image" Target="/media/image4.jpg" Id="R53ff16e20a864ee0" /><Relationship Type="http://schemas.openxmlformats.org/officeDocument/2006/relationships/image" Target="/media/image5.jpg" Id="R4f10f52f707a4d78" /><Relationship Type="http://schemas.openxmlformats.org/officeDocument/2006/relationships/footer" Target="/word/footer1.xml" Id="R00552ca82eb4444e" /><Relationship Type="http://schemas.openxmlformats.org/officeDocument/2006/relationships/settings" Target="/word/settings.xml" Id="R117c21a8fa7e4404" /></Relationships>
</file>