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b34d9424217d4b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34d9424217d4bc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