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sectPr>
      <w:footerReference w:type="default" r:id="R73c99a076efa44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3c99a076efa44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