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mbria" w:hAnsi="Cambria"/>
          <w:b/>
          <w:color w:val="122A54"/>
          <w:sz w:val="44"/>
        </w:rPr>
        <w:t>Personally Identifiable Information, Information Security</w:t>
        <w:br/>
        <w:t>and Research Ethics</w:t>
      </w:r>
    </w:p>
    <w:p>
      <w:pPr>
        <w:jc w:val="center"/>
      </w:pPr>
      <w:r>
        <w:rPr>
          <w:rFonts w:ascii="Cambria" w:hAnsi="Cambria"/>
          <w:i/>
          <w:color w:val="555F6D"/>
          <w:sz w:val="27"/>
        </w:rPr>
        <w:t>Governance Framework of the AP Police Family Assessment Platform (APFAP)</w:t>
      </w:r>
    </w:p>
    <w:p/>
    <w:p>
      <w:pPr>
        <w:jc w:val="center"/>
      </w:pPr>
      <w:r>
        <w:rPr>
          <w:color w:val="555F6D"/>
          <w:sz w:val="22"/>
        </w:rPr>
        <w:t>A technical, legal and ethical account of how personal data is</w:t>
        <w:br/>
        <w:t>minimised, protected, governed and audited in a bilingual,</w:t>
        <w:br/>
        <w:t>anonymous, population-scale well-being assessment platform</w:t>
      </w:r>
    </w:p>
    <w:p/>
    <w:p/>
    <w:p/>
    <w:p/>
    <w:p/>
    <w:p/>
    <w:p>
      <w:pPr>
        <w:jc w:val="center"/>
      </w:pPr>
      <w:r>
        <w:rPr>
          <w:sz w:val="22"/>
        </w:rPr>
        <w:t>Submitted in partial fulfilment of the requirements for the degree of</w:t>
        <w:br/>
        <w:t>Doctor of Philosophy</w:t>
        <w:br/>
        <w:br/>
        <w:t>Supporting documentation for the Institutional Ethics Committee (IEC/IRB)</w:t>
        <w:br/>
        <w:t>and the Data Protection Impact Assessment (DPIA)</w:t>
      </w:r>
    </w:p>
    <w:p/>
    <w:p/>
    <w:p/>
    <w:p/>
    <w:p>
      <w:pPr>
        <w:jc w:val="center"/>
      </w:pPr>
      <w:r>
        <w:rPr>
          <w:color w:val="555F6D"/>
          <w:sz w:val="19"/>
        </w:rPr>
        <w:t>Document class: Controlled — Internal / Ethics Submission</w:t>
        <w:br/>
        <w:t>Version 1.0  ·  Andhra Pradesh Police Department  ·  Deployment: apfap (Supabase / PostgreSQL)</w:t>
      </w:r>
    </w:p>
    <w:p>
      <w:r>
        <w:br w:type="page"/>
      </w:r>
    </w:p>
    <w:p>
      <w:pPr>
        <w:pStyle w:val="Heading1"/>
      </w:pPr>
      <w:r>
        <w:t>Contents</w:t>
      </w:r>
    </w:p>
    <w:p>
      <w:r>
        <w:rPr>
          <w:b w:val="0"/>
          <w:i/>
          <w:sz w:val="19"/>
        </w:rPr>
        <w:t>The table below is a live Word field. To populate it, click anywhere inside it and press F9 (or right-click → Update Field → Update entire table).</w:t>
      </w:r>
    </w:p>
    <w:p>
      <w:r>
        <w:fldChar w:fldCharType="begin"/>
      </w:r>
      <w:r>
        <w:instrText xml:space="preserve">TOC \o "1-3" \h \z \u</w:instrText>
      </w:r>
      <w:r>
        <w:fldChar w:fldCharType="separate"/>
      </w:r>
      <w:r>
        <w:t>1</w:t>
      </w:r>
      <w:r>
        <w:fldChar w:fldCharType="end"/>
      </w:r>
    </w:p>
    <w:p>
      <w:r>
        <w:br w:type="page"/>
      </w:r>
    </w:p>
    <w:p>
      <w:pPr>
        <w:pStyle w:val="Heading1"/>
      </w:pPr>
      <w:r>
        <w:t>1. Introduction, Scope and Method</w:t>
      </w:r>
    </w:p>
    <w:p>
      <w:pPr>
        <w:pStyle w:val="Heading2"/>
      </w:pPr>
      <w:r>
        <w:t>1.1 Purpose of this chapter</w:t>
      </w:r>
    </w:p>
    <w:p>
      <w:r>
        <w:rPr>
          <w:b w:val="0"/>
          <w:i w:val="0"/>
        </w:rPr>
        <w:t>This chapter documents the information-governance posture of the AP Police Family Assessment Platform (hereafter APFAP or “the platform”): a web application commissioned by the Andhra Pradesh Police Department to administer validated psychological and behavioural self-report instruments to police families and, more broadly, to a community population, and to aggregate the resulting data for well-being research and support programming.</w:t>
      </w:r>
    </w:p>
    <w:p>
      <w:r>
        <w:rPr>
          <w:b w:val="0"/>
          <w:i w:val="0"/>
        </w:rPr>
        <w:t>Because the platform collects data about mental state — empathy, compulsive internet use, personality traits, mood, hopelessness, anger and, in certain instrument modules, suicidal ideation — it collects the most ethically demanding class of personal information that a civilian research system can handle. That the sponsoring institution is a police organisation raises the stakes further: any perception that a respondent's disclosure of psychological distress could be attributed back to them by an employer, a commanding officer, or a law enforcement agency would not merely be a privacy failure, it would invalidate the science by systematically suppressing honest response.</w:t>
      </w:r>
    </w:p>
    <w:p>
      <w:r>
        <w:rPr>
          <w:b w:val="0"/>
          <w:i w:val="0"/>
        </w:rPr>
        <w:t>The chapter therefore has three objectives. First, to state precisely what personal data the platform does and does not process. Second, to map the platform's controls onto the statutory, regulatory, ethical and technical frameworks that govern such processing in India and internationally. Third — and this is the part most often omitted from system documentation — to state honestly the residual risks that remain after those controls are applied, and to specify the remediation that the ethics committee should require before or during field deployment.</w:t>
      </w:r>
    </w:p>
    <w:p>
      <w:pPr>
        <w:pStyle w:val="Heading2"/>
      </w:pPr>
      <w:r>
        <w:t>1.2 The system under assessment</w:t>
      </w:r>
    </w:p>
    <w:p>
      <w:r>
        <w:rPr>
          <w:b w:val="0"/>
          <w:i w:val="0"/>
        </w:rPr>
        <w:t>APFAP is a single-page web application (Vite, React, TypeScript) served over HTTPS, backed by a managed PostgreSQL database with integrated authentication and serverless edge functions (Supabase). Its operating model is deliberately asymmetric:</w:t>
      </w:r>
    </w:p>
    <w:p>
      <w:pPr>
        <w:pStyle w:val="ListBullet"/>
        <w:spacing w:after="80"/>
        <w:ind w:left="403"/>
        <w:jc w:val="both"/>
      </w:pPr>
      <w:r>
        <w:t>A single privileged administrative role (super_admin) authenticates with an email/password credential and may compose surveys, publish them, view aggregate analytics, and export data.</w:t>
      </w:r>
    </w:p>
    <w:p>
      <w:pPr>
        <w:pStyle w:val="ListBullet"/>
        <w:spacing w:after="80"/>
        <w:ind w:left="403"/>
        <w:jc w:val="both"/>
      </w:pPr>
      <w:r>
        <w:t>The respondent population is never asked to authenticate. A published survey is reached through an unguessable slug URL (/s/&lt;slug&gt;), typically distributed by QR code, WhatsApp, SMS or e-mail. There is no account, no registration, no login, and no user identifier of any kind issued to a respondent.</w:t>
      </w:r>
    </w:p>
    <w:p>
      <w:r>
        <w:rPr>
          <w:b w:val="0"/>
          <w:i w:val="0"/>
        </w:rPr>
        <w:t>This asymmetry is the platform's principal privacy control. Anonymity is not an option a respondent selects; it is a structural property of the system, because the system has no mechanism by which a respondent could be identified even if an operator wished to identify them.</w:t>
      </w:r>
    </w:p>
    <w:p>
      <w:pPr>
        <w:pStyle w:val="Heading2"/>
      </w:pPr>
      <w:r>
        <w:t>1.3 Method and evidentiary basis</w:t>
      </w:r>
    </w:p>
    <w:p>
      <w:r>
        <w:rPr>
          <w:b w:val="0"/>
          <w:i w:val="0"/>
        </w:rPr>
        <w:t>Every claim in this chapter marked as Implemented is traceable to a specific artefact in the deployed codebase — a database migration, a row-level security policy, an edge function, or a client module — and the responsible file is named in the text so that an auditor can verify it independently. Claims marked Recommended, Residual risk or Not yet implemented describe controls that are absent or partial at the time of writing. This distinction is maintained rigorously throughout; a governance document that cannot distinguish its aspirations from its implementation is of no use to an ethics committee.</w:t>
      </w:r>
    </w:p>
    <w:p>
      <w:r>
        <w:rPr>
          <w:b w:val="0"/>
          <w:i w:val="0"/>
        </w:rPr>
        <w:t>The technical review covered the full schema and its twelve migrations, the row-level security policy set, both edge functions, the client-side session and export modules, and the encoded instrument library. Conclusions on statistical disclosure risk are analytical rather than empirical, since no production response corpus was available for re-identification testing at the time of assessment; this is stated as a limitation in §10.</w:t>
      </w:r>
    </w:p>
    <w:p>
      <w:r>
        <w:br w:type="page"/>
      </w:r>
    </w:p>
    <w:p>
      <w:pPr>
        <w:pStyle w:val="Heading1"/>
      </w:pPr>
      <w:r>
        <w:t>2. System Architecture and Trust Boundaries</w:t>
      </w:r>
    </w:p>
    <w:p>
      <w:pPr>
        <w:pStyle w:val="Heading2"/>
      </w:pPr>
      <w:r>
        <w:t>2.1 Layers and their security responsibilities</w:t>
      </w:r>
    </w:p>
    <w:p>
      <w:r>
        <w:rPr>
          <w:b w:val="0"/>
          <w:i w:val="0"/>
        </w:rPr>
        <w:t>Security in APFAP is not delegated to a single layer. The architecture assumes that the client is fully hostile — that an adversary controls the browser, can read all application source, can extract the public API key embedded in it, and can issue arbitrary requests directly to the database endpoint without ever loading the user interface. Under that assumption, no control enforced only in React is a control at all. Authorisation is therefore enforced in the database itself, and the sensitive write path is enforced in a server-side function that the client cannot bypass.</w:t>
      </w:r>
    </w:p>
    <w:tbl>
      <w:tblPr>
        <w:tblStyle w:val="TableGrid"/>
        <w:tblW w:type="auto" w:w="0"/>
        <w:jc w:val="center"/>
        <w:tblLook w:firstColumn="1" w:firstRow="1" w:lastColumn="0" w:lastRow="0" w:noHBand="0" w:noVBand="1" w:val="04A0"/>
      </w:tblPr>
      <w:tblGrid>
        <w:gridCol w:w="3024"/>
        <w:gridCol w:w="3024"/>
        <w:gridCol w:w="3024"/>
      </w:tblGrid>
      <w:tr>
        <w:tc>
          <w:tcPr>
            <w:tcW w:type="dxa" w:w="2304"/>
            <w:shd w:val="clear" w:color="auto" w:fill="122A54"/>
          </w:tcPr>
          <w:p>
            <w:pPr>
              <w:jc w:val="left"/>
            </w:pPr>
            <w:r/>
            <w:r>
              <w:rPr>
                <w:b/>
                <w:color w:val="FFFFFF"/>
                <w:sz w:val="18"/>
              </w:rPr>
              <w:t>Layer</w:t>
            </w:r>
          </w:p>
        </w:tc>
        <w:tc>
          <w:tcPr>
            <w:tcW w:type="dxa" w:w="4320"/>
            <w:shd w:val="clear" w:color="auto" w:fill="122A54"/>
          </w:tcPr>
          <w:p>
            <w:pPr>
              <w:jc w:val="left"/>
            </w:pPr>
            <w:r/>
            <w:r>
              <w:rPr>
                <w:b/>
                <w:color w:val="FFFFFF"/>
                <w:sz w:val="18"/>
              </w:rPr>
              <w:t>Security responsibility</w:t>
            </w:r>
          </w:p>
        </w:tc>
        <w:tc>
          <w:tcPr>
            <w:tcW w:type="dxa" w:w="2880"/>
            <w:shd w:val="clear" w:color="auto" w:fill="122A54"/>
          </w:tcPr>
          <w:p>
            <w:pPr>
              <w:jc w:val="left"/>
            </w:pPr>
            <w:r/>
            <w:r>
              <w:rPr>
                <w:b/>
                <w:color w:val="FFFFFF"/>
                <w:sz w:val="18"/>
              </w:rPr>
              <w:t>Enforcement artefact</w:t>
            </w:r>
          </w:p>
        </w:tc>
      </w:tr>
      <w:tr>
        <w:tc>
          <w:tcPr>
            <w:tcW w:type="dxa" w:w="2304"/>
          </w:tcPr>
          <w:p>
            <w:pPr>
              <w:spacing w:after="40"/>
              <w:jc w:val="left"/>
            </w:pPr>
            <w:r/>
            <w:r>
              <w:rPr>
                <w:sz w:val="18"/>
              </w:rPr>
              <w:t>Browser / client (React)</w:t>
            </w:r>
          </w:p>
        </w:tc>
        <w:tc>
          <w:tcPr>
            <w:tcW w:type="dxa" w:w="4320"/>
          </w:tcPr>
          <w:p>
            <w:pPr>
              <w:spacing w:after="40"/>
              <w:jc w:val="left"/>
            </w:pPr>
            <w:r/>
            <w:r>
              <w:rPr>
                <w:sz w:val="18"/>
              </w:rPr>
              <w:t>Presentation, consent capture, progressive disclosure, local draft persistence. Treated as untrusted.</w:t>
            </w:r>
          </w:p>
        </w:tc>
        <w:tc>
          <w:tcPr>
            <w:tcW w:type="dxa" w:w="2880"/>
          </w:tcPr>
          <w:p>
            <w:pPr>
              <w:spacing w:after="40"/>
              <w:jc w:val="left"/>
            </w:pPr>
            <w:r/>
            <w:r>
              <w:rPr>
                <w:sz w:val="18"/>
              </w:rPr>
              <w:t>src/pages/public/SurveyRunner.tsx; src/lib/assessmentSession.ts</w:t>
            </w:r>
          </w:p>
        </w:tc>
      </w:tr>
      <w:tr>
        <w:tc>
          <w:tcPr>
            <w:tcW w:type="dxa" w:w="2304"/>
          </w:tcPr>
          <w:p>
            <w:pPr>
              <w:spacing w:after="40"/>
              <w:jc w:val="left"/>
            </w:pPr>
            <w:r/>
            <w:r>
              <w:rPr>
                <w:sz w:val="18"/>
              </w:rPr>
              <w:t>Transport</w:t>
            </w:r>
          </w:p>
        </w:tc>
        <w:tc>
          <w:tcPr>
            <w:tcW w:type="dxa" w:w="4320"/>
          </w:tcPr>
          <w:p>
            <w:pPr>
              <w:spacing w:after="40"/>
              <w:jc w:val="left"/>
            </w:pPr>
            <w:r/>
            <w:r>
              <w:rPr>
                <w:sz w:val="18"/>
              </w:rPr>
              <w:t>Confidentiality and integrity in transit; HSTS-enabled TLS terminated by the managed platform.</w:t>
            </w:r>
          </w:p>
        </w:tc>
        <w:tc>
          <w:tcPr>
            <w:tcW w:type="dxa" w:w="2880"/>
          </w:tcPr>
          <w:p>
            <w:pPr>
              <w:spacing w:after="40"/>
              <w:jc w:val="left"/>
            </w:pPr>
            <w:r/>
            <w:r>
              <w:rPr>
                <w:sz w:val="18"/>
              </w:rPr>
              <w:t>Platform-managed TLS (hosting provider)</w:t>
            </w:r>
          </w:p>
        </w:tc>
      </w:tr>
      <w:tr>
        <w:tc>
          <w:tcPr>
            <w:tcW w:type="dxa" w:w="2304"/>
          </w:tcPr>
          <w:p>
            <w:pPr>
              <w:spacing w:after="40"/>
              <w:jc w:val="left"/>
            </w:pPr>
            <w:r/>
            <w:r>
              <w:rPr>
                <w:sz w:val="18"/>
              </w:rPr>
              <w:t>API gateway (PostgREST)</w:t>
            </w:r>
          </w:p>
        </w:tc>
        <w:tc>
          <w:tcPr>
            <w:tcW w:type="dxa" w:w="4320"/>
          </w:tcPr>
          <w:p>
            <w:pPr>
              <w:spacing w:after="40"/>
              <w:jc w:val="left"/>
            </w:pPr>
            <w:r/>
            <w:r>
              <w:rPr>
                <w:sz w:val="18"/>
              </w:rPr>
              <w:t>Translates HTTP to SQL under a role determined by the presented key: anon or authenticated.</w:t>
            </w:r>
          </w:p>
        </w:tc>
        <w:tc>
          <w:tcPr>
            <w:tcW w:type="dxa" w:w="2880"/>
          </w:tcPr>
          <w:p>
            <w:pPr>
              <w:spacing w:after="40"/>
              <w:jc w:val="left"/>
            </w:pPr>
            <w:r/>
            <w:r>
              <w:rPr>
                <w:sz w:val="18"/>
              </w:rPr>
              <w:t>Supabase API layer</w:t>
            </w:r>
          </w:p>
        </w:tc>
      </w:tr>
      <w:tr>
        <w:tc>
          <w:tcPr>
            <w:tcW w:type="dxa" w:w="2304"/>
          </w:tcPr>
          <w:p>
            <w:pPr>
              <w:spacing w:after="40"/>
              <w:jc w:val="left"/>
            </w:pPr>
            <w:r/>
            <w:r>
              <w:rPr>
                <w:sz w:val="18"/>
              </w:rPr>
              <w:t>Authorisation (PostgreSQL RLS)</w:t>
            </w:r>
          </w:p>
        </w:tc>
        <w:tc>
          <w:tcPr>
            <w:tcW w:type="dxa" w:w="4320"/>
          </w:tcPr>
          <w:p>
            <w:pPr>
              <w:spacing w:after="40"/>
              <w:jc w:val="left"/>
            </w:pPr>
            <w:r/>
            <w:r>
              <w:rPr>
                <w:sz w:val="18"/>
              </w:rPr>
              <w:t>The authoritative access-control decision for every row of every table. Cannot be bypassed by the client.</w:t>
            </w:r>
          </w:p>
        </w:tc>
        <w:tc>
          <w:tcPr>
            <w:tcW w:type="dxa" w:w="2880"/>
          </w:tcPr>
          <w:p>
            <w:pPr>
              <w:spacing w:after="40"/>
              <w:jc w:val="left"/>
            </w:pPr>
            <w:r/>
            <w:r>
              <w:rPr>
                <w:sz w:val="18"/>
              </w:rPr>
              <w:t>supabase/migrations/*.sql — policy set (see Appendix B)</w:t>
            </w:r>
          </w:p>
        </w:tc>
      </w:tr>
      <w:tr>
        <w:tc>
          <w:tcPr>
            <w:tcW w:type="dxa" w:w="2304"/>
          </w:tcPr>
          <w:p>
            <w:pPr>
              <w:spacing w:after="40"/>
              <w:jc w:val="left"/>
            </w:pPr>
            <w:r/>
            <w:r>
              <w:rPr>
                <w:sz w:val="18"/>
              </w:rPr>
              <w:t>Privileged write boundary (Edge Function)</w:t>
            </w:r>
          </w:p>
        </w:tc>
        <w:tc>
          <w:tcPr>
            <w:tcW w:type="dxa" w:w="4320"/>
          </w:tcPr>
          <w:p>
            <w:pPr>
              <w:spacing w:after="40"/>
              <w:jc w:val="left"/>
            </w:pPr>
            <w:r/>
            <w:r>
              <w:rPr>
                <w:sz w:val="18"/>
              </w:rPr>
              <w:t>Sole path for anonymous submissions; validates, bounds and rate-limits before any row is written.</w:t>
            </w:r>
          </w:p>
        </w:tc>
        <w:tc>
          <w:tcPr>
            <w:tcW w:type="dxa" w:w="2880"/>
          </w:tcPr>
          <w:p>
            <w:pPr>
              <w:spacing w:after="40"/>
              <w:jc w:val="left"/>
            </w:pPr>
            <w:r/>
            <w:r>
              <w:rPr>
                <w:sz w:val="18"/>
              </w:rPr>
              <w:t>supabase/functions/submit-response/index.ts</w:t>
            </w:r>
          </w:p>
        </w:tc>
      </w:tr>
      <w:tr>
        <w:tc>
          <w:tcPr>
            <w:tcW w:type="dxa" w:w="2304"/>
          </w:tcPr>
          <w:p>
            <w:pPr>
              <w:spacing w:after="40"/>
              <w:jc w:val="left"/>
            </w:pPr>
            <w:r/>
            <w:r>
              <w:rPr>
                <w:sz w:val="18"/>
              </w:rPr>
              <w:t>Data at rest</w:t>
            </w:r>
          </w:p>
        </w:tc>
        <w:tc>
          <w:tcPr>
            <w:tcW w:type="dxa" w:w="4320"/>
          </w:tcPr>
          <w:p>
            <w:pPr>
              <w:spacing w:after="40"/>
              <w:jc w:val="left"/>
            </w:pPr>
            <w:r/>
            <w:r>
              <w:rPr>
                <w:sz w:val="18"/>
              </w:rPr>
              <w:t>Managed encryption at rest, automated backup, point-in-time recovery as provisioned by the platform tier.</w:t>
            </w:r>
          </w:p>
        </w:tc>
        <w:tc>
          <w:tcPr>
            <w:tcW w:type="dxa" w:w="2880"/>
          </w:tcPr>
          <w:p>
            <w:pPr>
              <w:spacing w:after="40"/>
              <w:jc w:val="left"/>
            </w:pPr>
            <w:r/>
            <w:r>
              <w:rPr>
                <w:sz w:val="18"/>
              </w:rPr>
              <w:t>Supabase managed PostgreSQL</w:t>
            </w:r>
          </w:p>
        </w:tc>
      </w:tr>
    </w:tbl>
    <w:p>
      <w:pPr>
        <w:spacing w:after="0"/>
      </w:pPr>
    </w:p>
    <w:p>
      <w:pPr>
        <w:spacing w:after="240"/>
        <w:jc w:val="left"/>
      </w:pPr>
      <w:r>
        <w:rPr>
          <w:i/>
          <w:color w:val="555F6D"/>
          <w:sz w:val="18"/>
        </w:rPr>
        <w:t>Table 2.1 — Layered security responsibilities and the artefacts that enforce them.</w:t>
      </w:r>
    </w:p>
    <w:p>
      <w:pPr>
        <w:pStyle w:val="Heading2"/>
      </w:pPr>
      <w:r>
        <w:t>2.2 Actors, principals and least privilege</w:t>
      </w:r>
    </w:p>
    <w:p>
      <w:r>
        <w:rPr>
          <w:b w:val="0"/>
          <w:i w:val="0"/>
        </w:rPr>
        <w:t>Three database principals exist. Their capabilities are strictly nested, and the separation is expressed in SQL grants rather than in application logic.</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584"/>
            <w:shd w:val="clear" w:color="auto" w:fill="122A54"/>
          </w:tcPr>
          <w:p>
            <w:pPr>
              <w:jc w:val="left"/>
            </w:pPr>
            <w:r/>
            <w:r>
              <w:rPr>
                <w:b/>
                <w:color w:val="FFFFFF"/>
                <w:sz w:val="18"/>
              </w:rPr>
              <w:t>Principal</w:t>
            </w:r>
          </w:p>
        </w:tc>
        <w:tc>
          <w:tcPr>
            <w:tcW w:type="dxa" w:w="2304"/>
            <w:shd w:val="clear" w:color="auto" w:fill="122A54"/>
          </w:tcPr>
          <w:p>
            <w:pPr>
              <w:jc w:val="left"/>
            </w:pPr>
            <w:r/>
            <w:r>
              <w:rPr>
                <w:b/>
                <w:color w:val="FFFFFF"/>
                <w:sz w:val="18"/>
              </w:rPr>
              <w:t>How obtained</w:t>
            </w:r>
          </w:p>
        </w:tc>
        <w:tc>
          <w:tcPr>
            <w:tcW w:type="dxa" w:w="3600"/>
            <w:shd w:val="clear" w:color="auto" w:fill="122A54"/>
          </w:tcPr>
          <w:p>
            <w:pPr>
              <w:jc w:val="left"/>
            </w:pPr>
            <w:r/>
            <w:r>
              <w:rPr>
                <w:b/>
                <w:color w:val="FFFFFF"/>
                <w:sz w:val="18"/>
              </w:rPr>
              <w:t>Capabilities</w:t>
            </w:r>
          </w:p>
        </w:tc>
        <w:tc>
          <w:tcPr>
            <w:tcW w:type="dxa" w:w="3456"/>
            <w:shd w:val="clear" w:color="auto" w:fill="122A54"/>
          </w:tcPr>
          <w:p>
            <w:pPr>
              <w:jc w:val="left"/>
            </w:pPr>
            <w:r/>
            <w:r>
              <w:rPr>
                <w:b/>
                <w:color w:val="FFFFFF"/>
                <w:sz w:val="18"/>
              </w:rPr>
              <w:t>Explicit denials</w:t>
            </w:r>
          </w:p>
        </w:tc>
      </w:tr>
      <w:tr>
        <w:tc>
          <w:tcPr>
            <w:tcW w:type="dxa" w:w="1584"/>
          </w:tcPr>
          <w:p>
            <w:pPr>
              <w:spacing w:after="40"/>
              <w:jc w:val="left"/>
            </w:pPr>
            <w:r/>
            <w:r>
              <w:rPr>
                <w:sz w:val="18"/>
              </w:rPr>
              <w:t>anon</w:t>
            </w:r>
          </w:p>
        </w:tc>
        <w:tc>
          <w:tcPr>
            <w:tcW w:type="dxa" w:w="2304"/>
          </w:tcPr>
          <w:p>
            <w:pPr>
              <w:spacing w:after="40"/>
              <w:jc w:val="left"/>
            </w:pPr>
            <w:r/>
            <w:r>
              <w:rPr>
                <w:sz w:val="18"/>
              </w:rPr>
              <w:t>The publishable API key shipped in the client bundle; held by every anonymous respondent.</w:t>
            </w:r>
          </w:p>
        </w:tc>
        <w:tc>
          <w:tcPr>
            <w:tcW w:type="dxa" w:w="3600"/>
          </w:tcPr>
          <w:p>
            <w:pPr>
              <w:spacing w:after="40"/>
              <w:jc w:val="left"/>
            </w:pPr>
            <w:r/>
            <w:r>
              <w:rPr>
                <w:sz w:val="18"/>
              </w:rPr>
              <w:t>SELECT on surveys, survey_questions and survey_question_options, restricted to published surveys; INSERT on survey_views.</w:t>
            </w:r>
          </w:p>
        </w:tc>
        <w:tc>
          <w:tcPr>
            <w:tcW w:type="dxa" w:w="3456"/>
          </w:tcPr>
          <w:p>
            <w:pPr>
              <w:spacing w:after="40"/>
              <w:jc w:val="left"/>
            </w:pPr>
            <w:r/>
            <w:r>
              <w:rPr>
                <w:sz w:val="18"/>
              </w:rPr>
              <w:t>No INSERT on survey_responses or survey_answers (revoked); no SELECT on any response data; no EXECUTE on any analytics or rate-limit function.</w:t>
            </w:r>
          </w:p>
        </w:tc>
      </w:tr>
      <w:tr>
        <w:tc>
          <w:tcPr>
            <w:tcW w:type="dxa" w:w="1584"/>
          </w:tcPr>
          <w:p>
            <w:pPr>
              <w:spacing w:after="40"/>
              <w:jc w:val="left"/>
            </w:pPr>
            <w:r/>
            <w:r>
              <w:rPr>
                <w:sz w:val="18"/>
              </w:rPr>
              <w:t>authenticated</w:t>
            </w:r>
          </w:p>
        </w:tc>
        <w:tc>
          <w:tcPr>
            <w:tcW w:type="dxa" w:w="2304"/>
          </w:tcPr>
          <w:p>
            <w:pPr>
              <w:spacing w:after="40"/>
              <w:jc w:val="left"/>
            </w:pPr>
            <w:r/>
            <w:r>
              <w:rPr>
                <w:sz w:val="18"/>
              </w:rPr>
              <w:t>A valid Supabase Auth session.</w:t>
            </w:r>
          </w:p>
        </w:tc>
        <w:tc>
          <w:tcPr>
            <w:tcW w:type="dxa" w:w="3600"/>
          </w:tcPr>
          <w:p>
            <w:pPr>
              <w:spacing w:after="40"/>
              <w:jc w:val="left"/>
            </w:pPr>
            <w:r/>
            <w:r>
              <w:rPr>
                <w:sz w:val="18"/>
              </w:rPr>
              <w:t>As anon, plus EXECUTE on the analytics RPCs. Substantive read/write is gated on the super_admin role, not on mere authentication.</w:t>
            </w:r>
          </w:p>
        </w:tc>
        <w:tc>
          <w:tcPr>
            <w:tcW w:type="dxa" w:w="3456"/>
          </w:tcPr>
          <w:p>
            <w:pPr>
              <w:spacing w:after="40"/>
              <w:jc w:val="left"/>
            </w:pPr>
            <w:r/>
            <w:r>
              <w:rPr>
                <w:sz w:val="18"/>
              </w:rPr>
              <w:t>Without super_admin, cannot read survey_responses, survey_answers, survey_views or audit_logs.</w:t>
            </w:r>
          </w:p>
        </w:tc>
      </w:tr>
      <w:tr>
        <w:tc>
          <w:tcPr>
            <w:tcW w:type="dxa" w:w="1584"/>
          </w:tcPr>
          <w:p>
            <w:pPr>
              <w:spacing w:after="40"/>
              <w:jc w:val="left"/>
            </w:pPr>
            <w:r/>
            <w:r>
              <w:rPr>
                <w:sz w:val="18"/>
              </w:rPr>
              <w:t>service_role</w:t>
            </w:r>
          </w:p>
        </w:tc>
        <w:tc>
          <w:tcPr>
            <w:tcW w:type="dxa" w:w="2304"/>
          </w:tcPr>
          <w:p>
            <w:pPr>
              <w:spacing w:after="40"/>
              <w:jc w:val="left"/>
            </w:pPr>
            <w:r/>
            <w:r>
              <w:rPr>
                <w:sz w:val="18"/>
              </w:rPr>
              <w:t>A secret key held only in the server-side edge-function environment; never transmitted to a browser.</w:t>
            </w:r>
          </w:p>
        </w:tc>
        <w:tc>
          <w:tcPr>
            <w:tcW w:type="dxa" w:w="3600"/>
          </w:tcPr>
          <w:p>
            <w:pPr>
              <w:spacing w:after="40"/>
              <w:jc w:val="left"/>
            </w:pPr>
            <w:r/>
            <w:r>
              <w:rPr>
                <w:sz w:val="18"/>
              </w:rPr>
              <w:t>Full access; bypasses RLS. Used exclusively by submit-response to write a validated submission.</w:t>
            </w:r>
          </w:p>
        </w:tc>
        <w:tc>
          <w:tcPr>
            <w:tcW w:type="dxa" w:w="3456"/>
          </w:tcPr>
          <w:p>
            <w:pPr>
              <w:spacing w:after="40"/>
              <w:jc w:val="left"/>
            </w:pPr>
            <w:r/>
            <w:r>
              <w:rPr>
                <w:sz w:val="18"/>
              </w:rPr>
              <w:t>Never exposed to the client; not present in the deployed bundle.</w:t>
            </w:r>
          </w:p>
        </w:tc>
      </w:tr>
    </w:tbl>
    <w:p>
      <w:pPr>
        <w:spacing w:after="0"/>
      </w:pPr>
    </w:p>
    <w:p>
      <w:pPr>
        <w:spacing w:after="240"/>
        <w:jc w:val="left"/>
      </w:pPr>
      <w:r>
        <w:rPr>
          <w:i/>
          <w:color w:val="555F6D"/>
          <w:sz w:val="18"/>
        </w:rPr>
        <w:t>Table 2.2 — Database principals and their bounded capability sets.</w:t>
      </w:r>
    </w:p>
    <w:p>
      <w:pPr>
        <w:pStyle w:val="Heading2"/>
      </w:pPr>
      <w:r>
        <w:t>2.3 The single write path</w:t>
      </w:r>
    </w:p>
    <w:p>
      <w:r>
        <w:rPr>
          <w:b w:val="0"/>
          <w:i w:val="0"/>
        </w:rPr>
        <w:t>An early revision of the schema allowed anonymous clients to INSERT directly into survey_responses and survey_answers under a row-level policy that merely checked the parent survey was published. That design was functional but indefensible: it exposed an unauthenticated, unbounded, unthrottled write endpoint to the public internet, against a table that stores mental health data. It permitted trivially automated ballot-stuffing that would corrupt the research dataset, and unbounded payload writes that would exhaust storage.</w:t>
      </w:r>
    </w:p>
    <w:p>
      <w:r>
        <w:rPr>
          <w:b w:val="0"/>
          <w:i w:val="0"/>
        </w:rPr>
        <w:t>The migration 20260714150000_analytics_and_hardening.sql closed that path: INSERT was revoked from anon on both tables and the permissive policies were dropped. Every anonymous submission now traverses the submit-response edge function, which runs under service_role and therefore becomes the single point at which validation, bounding and rate-limiting can be enforced with no possibility of client-side circumvention. This is a textbook application of the complete mediation principle (Saltzer &amp; Schroeder, 1975): the check cannot be avoided because there is no second route to the resource.</w:t>
      </w:r>
    </w:p>
    <w:p>
      <w:r>
        <w:br w:type="page"/>
      </w:r>
    </w:p>
    <w:p>
      <w:pPr>
        <w:pStyle w:val="Heading1"/>
      </w:pPr>
      <w:r>
        <w:t>3. Data Inventory, Classification and Minimisation</w:t>
      </w:r>
    </w:p>
    <w:p>
      <w:pPr>
        <w:pStyle w:val="Heading2"/>
      </w:pPr>
      <w:r>
        <w:t>3.1 What the platform collects from a respondent</w:t>
      </w:r>
    </w:p>
    <w:p>
      <w:r>
        <w:rPr>
          <w:b w:val="0"/>
          <w:i w:val="0"/>
        </w:rPr>
        <w:t>The complete set of attributes persisted when an anonymous respondent submits a questionnaire is enumerated below. It is deliberately short. Under the DPDP Act 2023 the operative question is whether the data relates to an identified or identifiable individual; the analysis of each field against that test is given in the final column.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944"/>
            <w:shd w:val="clear" w:color="auto" w:fill="122A54"/>
          </w:tcPr>
          <w:p>
            <w:pPr>
              <w:jc w:val="left"/>
            </w:pPr>
            <w:r/>
            <w:r>
              <w:rPr>
                <w:b/>
                <w:color w:val="FFFFFF"/>
                <w:sz w:val="18"/>
              </w:rPr>
              <w:t>Field</w:t>
            </w:r>
          </w:p>
        </w:tc>
        <w:tc>
          <w:tcPr>
            <w:tcW w:type="dxa" w:w="1656"/>
            <w:shd w:val="clear" w:color="auto" w:fill="122A54"/>
          </w:tcPr>
          <w:p>
            <w:pPr>
              <w:jc w:val="left"/>
            </w:pPr>
            <w:r/>
            <w:r>
              <w:rPr>
                <w:b/>
                <w:color w:val="FFFFFF"/>
                <w:sz w:val="18"/>
              </w:rPr>
              <w:t>Origin</w:t>
            </w:r>
          </w:p>
        </w:tc>
        <w:tc>
          <w:tcPr>
            <w:tcW w:type="dxa" w:w="3168"/>
            <w:shd w:val="clear" w:color="auto" w:fill="122A54"/>
          </w:tcPr>
          <w:p>
            <w:pPr>
              <w:jc w:val="left"/>
            </w:pPr>
            <w:r/>
            <w:r>
              <w:rPr>
                <w:b/>
                <w:color w:val="FFFFFF"/>
                <w:sz w:val="18"/>
              </w:rPr>
              <w:t>Purpose</w:t>
            </w:r>
          </w:p>
        </w:tc>
        <w:tc>
          <w:tcPr>
            <w:tcW w:type="dxa" w:w="4176"/>
            <w:shd w:val="clear" w:color="auto" w:fill="122A54"/>
          </w:tcPr>
          <w:p>
            <w:pPr>
              <w:jc w:val="left"/>
            </w:pPr>
            <w:r/>
            <w:r>
              <w:rPr>
                <w:b/>
                <w:color w:val="FFFFFF"/>
                <w:sz w:val="18"/>
              </w:rPr>
              <w:t>Identifiability analysis</w:t>
            </w:r>
          </w:p>
        </w:tc>
      </w:tr>
      <w:tr>
        <w:tc>
          <w:tcPr>
            <w:tcW w:type="dxa" w:w="1944"/>
          </w:tcPr>
          <w:p>
            <w:pPr>
              <w:spacing w:after="40"/>
              <w:jc w:val="left"/>
            </w:pPr>
            <w:r/>
            <w:r>
              <w:rPr>
                <w:sz w:val="18"/>
              </w:rPr>
              <w:t>id (UUID)</w:t>
            </w:r>
          </w:p>
        </w:tc>
        <w:tc>
          <w:tcPr>
            <w:tcW w:type="dxa" w:w="1656"/>
          </w:tcPr>
          <w:p>
            <w:pPr>
              <w:spacing w:after="40"/>
              <w:jc w:val="left"/>
            </w:pPr>
            <w:r/>
            <w:r>
              <w:rPr>
                <w:sz w:val="18"/>
              </w:rPr>
              <w:t>Server-generated</w:t>
            </w:r>
          </w:p>
        </w:tc>
        <w:tc>
          <w:tcPr>
            <w:tcW w:type="dxa" w:w="3168"/>
          </w:tcPr>
          <w:p>
            <w:pPr>
              <w:spacing w:after="40"/>
              <w:jc w:val="left"/>
            </w:pPr>
            <w:r/>
            <w:r>
              <w:rPr>
                <w:sz w:val="18"/>
              </w:rPr>
              <w:t>Primary key; the basis of the human-readable reference code shown on the thank-you screen.</w:t>
            </w:r>
          </w:p>
        </w:tc>
        <w:tc>
          <w:tcPr>
            <w:tcW w:type="dxa" w:w="4176"/>
          </w:tcPr>
          <w:p>
            <w:pPr>
              <w:spacing w:after="40"/>
              <w:jc w:val="left"/>
            </w:pPr>
            <w:r/>
            <w:r>
              <w:rPr>
                <w:sz w:val="18"/>
              </w:rPr>
              <w:t>Random v4 UUID; carries no information about the respondent. Not personal data in isolation.</w:t>
            </w:r>
          </w:p>
        </w:tc>
      </w:tr>
      <w:tr>
        <w:tc>
          <w:tcPr>
            <w:tcW w:type="dxa" w:w="1944"/>
          </w:tcPr>
          <w:p>
            <w:pPr>
              <w:spacing w:after="40"/>
              <w:jc w:val="left"/>
            </w:pPr>
            <w:r/>
            <w:r>
              <w:rPr>
                <w:sz w:val="18"/>
              </w:rPr>
              <w:t>survey_id</w:t>
            </w:r>
          </w:p>
        </w:tc>
        <w:tc>
          <w:tcPr>
            <w:tcW w:type="dxa" w:w="1656"/>
          </w:tcPr>
          <w:p>
            <w:pPr>
              <w:spacing w:after="40"/>
              <w:jc w:val="left"/>
            </w:pPr>
            <w:r/>
            <w:r>
              <w:rPr>
                <w:sz w:val="18"/>
              </w:rPr>
              <w:t>Client payload</w:t>
            </w:r>
          </w:p>
        </w:tc>
        <w:tc>
          <w:tcPr>
            <w:tcW w:type="dxa" w:w="3168"/>
          </w:tcPr>
          <w:p>
            <w:pPr>
              <w:spacing w:after="40"/>
              <w:jc w:val="left"/>
            </w:pPr>
            <w:r/>
            <w:r>
              <w:rPr>
                <w:sz w:val="18"/>
              </w:rPr>
              <w:t>Associates the response with its instrument.</w:t>
            </w:r>
          </w:p>
        </w:tc>
        <w:tc>
          <w:tcPr>
            <w:tcW w:type="dxa" w:w="4176"/>
          </w:tcPr>
          <w:p>
            <w:pPr>
              <w:spacing w:after="40"/>
              <w:jc w:val="left"/>
            </w:pPr>
            <w:r/>
            <w:r>
              <w:rPr>
                <w:sz w:val="18"/>
              </w:rPr>
              <w:t>Not personal data.</w:t>
            </w:r>
          </w:p>
        </w:tc>
      </w:tr>
      <w:tr>
        <w:tc>
          <w:tcPr>
            <w:tcW w:type="dxa" w:w="1944"/>
          </w:tcPr>
          <w:p>
            <w:pPr>
              <w:spacing w:after="40"/>
              <w:jc w:val="left"/>
            </w:pPr>
            <w:r/>
            <w:r>
              <w:rPr>
                <w:sz w:val="18"/>
              </w:rPr>
              <w:t>language</w:t>
            </w:r>
          </w:p>
        </w:tc>
        <w:tc>
          <w:tcPr>
            <w:tcW w:type="dxa" w:w="1656"/>
          </w:tcPr>
          <w:p>
            <w:pPr>
              <w:spacing w:after="40"/>
              <w:jc w:val="left"/>
            </w:pPr>
            <w:r/>
            <w:r>
              <w:rPr>
                <w:sz w:val="18"/>
              </w:rPr>
              <w:t>Client payload</w:t>
            </w:r>
          </w:p>
        </w:tc>
        <w:tc>
          <w:tcPr>
            <w:tcW w:type="dxa" w:w="3168"/>
          </w:tcPr>
          <w:p>
            <w:pPr>
              <w:spacing w:after="40"/>
              <w:jc w:val="left"/>
            </w:pPr>
            <w:r/>
            <w:r>
              <w:rPr>
                <w:sz w:val="18"/>
              </w:rPr>
              <w:t>Records whether the instrument was answered in English or Telugu; supports linguistic-equivalence analysis.</w:t>
            </w:r>
          </w:p>
        </w:tc>
        <w:tc>
          <w:tcPr>
            <w:tcW w:type="dxa" w:w="4176"/>
          </w:tcPr>
          <w:p>
            <w:pPr>
              <w:spacing w:after="40"/>
              <w:jc w:val="left"/>
            </w:pPr>
            <w:r/>
            <w:r>
              <w:rPr>
                <w:sz w:val="18"/>
              </w:rPr>
              <w:t>Low-cardinality (2 values); negligible contribution to identifiability.</w:t>
            </w:r>
          </w:p>
        </w:tc>
      </w:tr>
      <w:tr>
        <w:tc>
          <w:tcPr>
            <w:tcW w:type="dxa" w:w="1944"/>
          </w:tcPr>
          <w:p>
            <w:pPr>
              <w:spacing w:after="40"/>
              <w:jc w:val="left"/>
            </w:pPr>
            <w:r/>
            <w:r>
              <w:rPr>
                <w:sz w:val="18"/>
              </w:rPr>
              <w:t>started_at / submitted_at</w:t>
            </w:r>
          </w:p>
        </w:tc>
        <w:tc>
          <w:tcPr>
            <w:tcW w:type="dxa" w:w="1656"/>
          </w:tcPr>
          <w:p>
            <w:pPr>
              <w:spacing w:after="40"/>
              <w:jc w:val="left"/>
            </w:pPr>
            <w:r/>
            <w:r>
              <w:rPr>
                <w:sz w:val="18"/>
              </w:rPr>
              <w:t>Client payload / server default</w:t>
            </w:r>
          </w:p>
        </w:tc>
        <w:tc>
          <w:tcPr>
            <w:tcW w:type="dxa" w:w="3168"/>
          </w:tcPr>
          <w:p>
            <w:pPr>
              <w:spacing w:after="40"/>
              <w:jc w:val="left"/>
            </w:pPr>
            <w:r/>
            <w:r>
              <w:rPr>
                <w:sz w:val="18"/>
              </w:rPr>
              <w:t>Completion-time metric; detects rushed or abandoned responses that threaten data quality.</w:t>
            </w:r>
          </w:p>
        </w:tc>
        <w:tc>
          <w:tcPr>
            <w:tcW w:type="dxa" w:w="4176"/>
          </w:tcPr>
          <w:p>
            <w:pPr>
              <w:spacing w:after="40"/>
              <w:jc w:val="left"/>
            </w:pPr>
            <w:r/>
            <w:r>
              <w:rPr>
                <w:sz w:val="18"/>
              </w:rPr>
              <w:t>Quasi-identifier. A precise submission timestamp combined with external knowledge of when a specific person completed the survey is a re-identification vector (see §9).</w:t>
            </w:r>
          </w:p>
        </w:tc>
      </w:tr>
      <w:tr>
        <w:tc>
          <w:tcPr>
            <w:tcW w:type="dxa" w:w="1944"/>
          </w:tcPr>
          <w:p>
            <w:pPr>
              <w:spacing w:after="40"/>
              <w:jc w:val="left"/>
            </w:pPr>
            <w:r/>
            <w:r>
              <w:rPr>
                <w:sz w:val="18"/>
              </w:rPr>
              <w:t>user_agent (≤300 chars)</w:t>
            </w:r>
          </w:p>
        </w:tc>
        <w:tc>
          <w:tcPr>
            <w:tcW w:type="dxa" w:w="1656"/>
          </w:tcPr>
          <w:p>
            <w:pPr>
              <w:spacing w:after="40"/>
              <w:jc w:val="left"/>
            </w:pPr>
            <w:r/>
            <w:r>
              <w:rPr>
                <w:sz w:val="18"/>
              </w:rPr>
              <w:t>HTTP header</w:t>
            </w:r>
          </w:p>
        </w:tc>
        <w:tc>
          <w:tcPr>
            <w:tcW w:type="dxa" w:w="3168"/>
          </w:tcPr>
          <w:p>
            <w:pPr>
              <w:spacing w:after="40"/>
              <w:jc w:val="left"/>
            </w:pPr>
            <w:r/>
            <w:r>
              <w:rPr>
                <w:sz w:val="18"/>
              </w:rPr>
              <w:t>Rendering diagnostics and bot detection.</w:t>
            </w:r>
          </w:p>
        </w:tc>
        <w:tc>
          <w:tcPr>
            <w:tcW w:type="dxa" w:w="4176"/>
          </w:tcPr>
          <w:p>
            <w:pPr>
              <w:spacing w:after="40"/>
              <w:jc w:val="left"/>
            </w:pPr>
            <w:r/>
            <w:r>
              <w:rPr>
                <w:sz w:val="18"/>
              </w:rPr>
              <w:t>Quasi-identifier and a device-fingerprinting surface. Assessed as an unjustified retention in §10.</w:t>
            </w:r>
          </w:p>
        </w:tc>
      </w:tr>
      <w:tr>
        <w:tc>
          <w:tcPr>
            <w:tcW w:type="dxa" w:w="1944"/>
          </w:tcPr>
          <w:p>
            <w:pPr>
              <w:spacing w:after="40"/>
              <w:jc w:val="left"/>
            </w:pPr>
            <w:r/>
            <w:r>
              <w:rPr>
                <w:sz w:val="18"/>
              </w:rPr>
              <w:t>ip_hash</w:t>
            </w:r>
          </w:p>
        </w:tc>
        <w:tc>
          <w:tcPr>
            <w:tcW w:type="dxa" w:w="1656"/>
          </w:tcPr>
          <w:p>
            <w:pPr>
              <w:spacing w:after="40"/>
              <w:jc w:val="left"/>
            </w:pPr>
            <w:r/>
            <w:r>
              <w:rPr>
                <w:sz w:val="18"/>
              </w:rPr>
              <w:t>SHA-256 of the client IP</w:t>
            </w:r>
          </w:p>
        </w:tc>
        <w:tc>
          <w:tcPr>
            <w:tcW w:type="dxa" w:w="3168"/>
          </w:tcPr>
          <w:p>
            <w:pPr>
              <w:spacing w:after="40"/>
              <w:jc w:val="left"/>
            </w:pPr>
            <w:r/>
            <w:r>
              <w:rPr>
                <w:sz w:val="18"/>
              </w:rPr>
              <w:t>Sole input to the abuse rate limiter.</w:t>
            </w:r>
          </w:p>
        </w:tc>
        <w:tc>
          <w:tcPr>
            <w:tcW w:type="dxa" w:w="4176"/>
          </w:tcPr>
          <w:p>
            <w:pPr>
              <w:spacing w:after="40"/>
              <w:jc w:val="left"/>
            </w:pPr>
            <w:r/>
            <w:r>
              <w:rPr>
                <w:sz w:val="18"/>
              </w:rPr>
              <w:t>Pseudonymised, not anonymised. See §5.3 for the cryptographic limitation and §10.1 for remediation.</w:t>
            </w:r>
          </w:p>
        </w:tc>
      </w:tr>
      <w:tr>
        <w:tc>
          <w:tcPr>
            <w:tcW w:type="dxa" w:w="1944"/>
          </w:tcPr>
          <w:p>
            <w:pPr>
              <w:spacing w:after="40"/>
              <w:jc w:val="left"/>
            </w:pPr>
            <w:r/>
            <w:r>
              <w:rPr>
                <w:sz w:val="18"/>
              </w:rPr>
              <w:t>Answer values (text / integer / JSON array)</w:t>
            </w:r>
          </w:p>
        </w:tc>
        <w:tc>
          <w:tcPr>
            <w:tcW w:type="dxa" w:w="1656"/>
          </w:tcPr>
          <w:p>
            <w:pPr>
              <w:spacing w:after="40"/>
              <w:jc w:val="left"/>
            </w:pPr>
            <w:r/>
            <w:r>
              <w:rPr>
                <w:sz w:val="18"/>
              </w:rPr>
              <w:t>Client payload</w:t>
            </w:r>
          </w:p>
        </w:tc>
        <w:tc>
          <w:tcPr>
            <w:tcW w:type="dxa" w:w="3168"/>
          </w:tcPr>
          <w:p>
            <w:pPr>
              <w:spacing w:after="40"/>
              <w:jc w:val="left"/>
            </w:pPr>
            <w:r/>
            <w:r>
              <w:rPr>
                <w:sz w:val="18"/>
              </w:rPr>
              <w:t>The research data itself: instrument item responses.</w:t>
            </w:r>
          </w:p>
        </w:tc>
        <w:tc>
          <w:tcPr>
            <w:tcW w:type="dxa" w:w="4176"/>
          </w:tcPr>
          <w:p>
            <w:pPr>
              <w:spacing w:after="40"/>
              <w:jc w:val="left"/>
            </w:pPr>
            <w:r/>
            <w:r>
              <w:rPr>
                <w:sz w:val="18"/>
              </w:rPr>
              <w:t>Not directly identifying, but constitutes sensitive data concerning mental health. Free-text fields are the principal residual risk (§9.4).</w:t>
            </w:r>
          </w:p>
        </w:tc>
      </w:tr>
    </w:tbl>
    <w:p>
      <w:pPr>
        <w:spacing w:after="0"/>
      </w:pPr>
    </w:p>
    <w:p>
      <w:pPr>
        <w:spacing w:after="240"/>
        <w:jc w:val="left"/>
      </w:pPr>
      <w:r>
        <w:rPr>
          <w:i/>
          <w:color w:val="555F6D"/>
          <w:sz w:val="18"/>
        </w:rPr>
        <w:t>Table 3.1 — Complete register of respondent-derived data elements.</w:t>
      </w:r>
    </w:p>
    <w:p>
      <w:pPr>
        <w:pStyle w:val="Heading2"/>
      </w:pPr>
      <w:r>
        <w:t>3.2 What the platform deliberately does not collect</w:t>
      </w:r>
    </w:p>
    <w:p>
      <w:r>
        <w:rPr>
          <w:b w:val="0"/>
          <w:i w:val="0"/>
        </w:rPr>
        <w:t>Data minimisation is more persuasively demonstrated by absence than by policy. The following categories, all of which are routinely captured by comparable survey platforms, are absent from the respondent flow by design:</w:t>
      </w:r>
    </w:p>
    <w:p>
      <w:pPr>
        <w:pStyle w:val="ListBullet"/>
        <w:spacing w:after="80"/>
        <w:ind w:left="403"/>
        <w:jc w:val="both"/>
      </w:pPr>
      <w:r>
        <w:t>Name, badge number, service number, employee identifier or any organisational reference.</w:t>
      </w:r>
    </w:p>
    <w:p>
      <w:pPr>
        <w:pStyle w:val="ListBullet"/>
        <w:spacing w:after="80"/>
        <w:ind w:left="403"/>
        <w:jc w:val="both"/>
      </w:pPr>
      <w:r>
        <w:t>E-mail address, telephone number or any other contact channel.</w:t>
      </w:r>
    </w:p>
    <w:p>
      <w:pPr>
        <w:pStyle w:val="ListBullet"/>
        <w:spacing w:after="80"/>
        <w:ind w:left="403"/>
        <w:jc w:val="both"/>
      </w:pPr>
      <w:r>
        <w:t>Date of birth, exact age, or any government identifier (Aadhaar, PAN, driving licence).</w:t>
      </w:r>
    </w:p>
    <w:p>
      <w:pPr>
        <w:pStyle w:val="ListBullet"/>
        <w:spacing w:after="80"/>
        <w:ind w:left="403"/>
        <w:jc w:val="both"/>
      </w:pPr>
      <w:r>
        <w:t>Rank, unit, posting, station, district or mandal of the respondent.</w:t>
      </w:r>
    </w:p>
    <w:p>
      <w:pPr>
        <w:pStyle w:val="ListBullet"/>
        <w:spacing w:after="80"/>
        <w:ind w:left="403"/>
        <w:jc w:val="both"/>
      </w:pPr>
      <w:r>
        <w:t>Raw IP address — the value is hashed at the edge and the plaintext is never persisted.</w:t>
      </w:r>
    </w:p>
    <w:p>
      <w:pPr>
        <w:pStyle w:val="ListBullet"/>
        <w:spacing w:after="80"/>
        <w:ind w:left="403"/>
        <w:jc w:val="both"/>
      </w:pPr>
      <w:r>
        <w:t>Precise geolocation; the browser geolocation API is never invoked.</w:t>
      </w:r>
    </w:p>
    <w:p>
      <w:pPr>
        <w:pStyle w:val="ListBullet"/>
        <w:spacing w:after="80"/>
        <w:ind w:left="403"/>
        <w:jc w:val="both"/>
      </w:pPr>
      <w:r>
        <w:t>Third-party analytics, advertising pixels, or cross-site tracking cookies.</w:t>
      </w:r>
    </w:p>
    <w:p>
      <w:pPr>
        <w:pStyle w:val="ListBullet"/>
        <w:spacing w:after="80"/>
        <w:ind w:left="403"/>
        <w:jc w:val="both"/>
      </w:pPr>
      <w:r>
        <w:t>Any authentication credential, since respondents do not authenticate.</w:t>
      </w:r>
    </w:p>
    <w:p>
      <w:r>
        <w:rPr>
          <w:b w:val="0"/>
          <w:i w:val="0"/>
        </w:rPr>
        <w:t>The consequence is that the response corpus contains no direct identifier whatsoever. There is no join key that would link a response to a person, because no such key is ever created. This is the strongest form of the storage-limitation and minimisation obligations in DPDP Act §8 and GDPR Article 5(1)(c): data that is never collected cannot be breached, subpoenaed, or misused.</w:t>
      </w:r>
    </w:p>
    <w:p>
      <w:pPr>
        <w:pStyle w:val="Heading2"/>
      </w:pPr>
      <w:r>
        <w:t>3.3 Data concerning mental health as a special category</w:t>
      </w:r>
    </w:p>
    <w:p>
      <w:r>
        <w:rPr>
          <w:b w:val="0"/>
          <w:i w:val="0"/>
        </w:rPr>
        <w:t>The answers themselves warrant separate classification. Items drawn from the Beck Depression Inventory, the hopelessness item and the SUPRE-MISS suicidality modules elicit disclosures that, if attributable, could affect a respondent's employment, fitness-for-duty determination, firearms authorisation, insurance, custody proceedings or social standing. Under the Information Technology (Reasonable Security Practices and Procedures and Sensitive Personal Data or Information) Rules, 2011, Rule 3, “physical, physiological and mental health condition” is expressly enumerated as sensitive personal data. Under GDPR Article 9(1) it is a special category prohibited from processing absent an enumerated derogation — of which Article 9(2)(j), scientific research subject to Article 89(1) safeguards, is the applicable one.</w:t>
      </w:r>
    </w:p>
    <w:p>
      <w:r>
        <w:rPr>
          <w:b w:val="0"/>
          <w:i w:val="0"/>
        </w:rPr>
        <w:t>The platform's response to this classification is categorical rather than procedural: it does not attempt to secure the link between the person and the sensitive disclosure, it eliminates the link. Where no linkage exists, the classification's most severe consequences — the risk of discriminatory use against an identified individual — cannot materialise through the platform's own data.</w:t>
      </w:r>
    </w:p>
    <w:p>
      <w:pPr>
        <w:pStyle w:val="Heading2"/>
      </w:pPr>
      <w:r>
        <w:t>3.4 Administrative personal data</w:t>
      </w:r>
    </w:p>
    <w:p>
      <w:r>
        <w:rPr>
          <w:b w:val="0"/>
          <w:i w:val="0"/>
        </w:rPr>
        <w:t>A second, much smaller processing context concerns the administrator. The profiles table holds full_name, phone, district and preferred_language for authenticated accounts, and auth.users holds the e-mail address and password hash. This is ordinary employment-context personal data, processed on the basis of the administrator's role, and it is confined by row-level policy so that an account may read its own profile and only a super_admin may read all. It is disclosed here for completeness: the platform's claim of anonymity attaches to respondents, not to the small number of named officials who operate it, and conflating the two would be misleading.</w:t>
      </w:r>
    </w:p>
    <w:p>
      <w:pPr>
        <w:pStyle w:val="Heading2"/>
      </w:pPr>
      <w:r>
        <w:t>3.5 Legacy clinical tables</w:t>
      </w:r>
    </w:p>
    <w:p>
      <w:r>
        <w:rPr>
          <w:b w:val="0"/>
          <w:i w:val="0"/>
        </w:rPr>
        <w:t>The schema retains an earlier, identifiable-by-design research model — participants (with age, gender, district, mandal, hospital and a study-group assignment), assessment_sessions and assessment_responses — from the platform's first design iteration. These tables remain under restrictive row-level security (a row is visible to its owning user or a super_admin) and are unused by the current application, but they are structurally capable of holding identifiable health data. Their continued existence is a governance liability rather than a technical one, and §10.5 recommends their formal disposition.</w:t>
      </w:r>
    </w:p>
    <w:p>
      <w:r>
        <w:br w:type="page"/>
      </w:r>
    </w:p>
    <w:p>
      <w:pPr>
        <w:pStyle w:val="Heading1"/>
      </w:pPr>
      <w:r>
        <w:t>4. Regulatory, Ethical and Technical Frameworks Applied</w:t>
      </w:r>
    </w:p>
    <w:p>
      <w:r>
        <w:rPr>
          <w:b w:val="0"/>
          <w:i w:val="0"/>
        </w:rPr>
        <w:t>APFAP is governed simultaneously by four bodies of authority: Indian data-protection statute, research-ethics doctrine, information-security standards, and the instrument-specific obligations attached to validated psychometric measures. Each imposes distinct requirements; this section states them, and §11 maps every control to the clause it satisfies.</w:t>
      </w:r>
    </w:p>
    <w:p>
      <w:pPr>
        <w:pStyle w:val="Heading2"/>
      </w:pPr>
      <w:r>
        <w:t>4.1 Indian statutory framework</w:t>
      </w:r>
    </w:p>
    <w:p>
      <w:pPr>
        <w:pStyle w:val="Heading3"/>
      </w:pPr>
      <w:r>
        <w:t>4.1.1 Digital Personal Data Protection Act, 2023</w:t>
      </w:r>
    </w:p>
    <w:p>
      <w:r>
        <w:rPr>
          <w:b w:val="0"/>
          <w:i w:val="0"/>
        </w:rPr>
        <w:t>The DPDP Act is the operative Indian statute. The platform's position under its principal obligations is as follows. §4 (lawful purpose and consent): processing rests on the free, specific, informed and unambiguous consent captured before any item is presented, for the narrowly stated purpose of well-being research and support. §5 (notice): the consent screen discloses purpose, voluntariness and the right to stop, in the respondent's language. §6 (consent must be as easy to withdraw as to give): the respondent may abandon the questionnaire at any point with no penalty and no record; after submission, however, withdrawal is technically impossible, and §8.3 of this document treats that limitation candidly. §8(4) (security safeguards) and §8(5) (breach notification) are addressed in §6 and §10.7. §8(7) (erasure on withdrawal or purpose completion) is the obligation least well served by the current implementation and is the subject of recommendation R-4.</w:t>
      </w:r>
    </w:p>
    <w:p>
      <w:r>
        <w:rPr>
          <w:b w:val="0"/>
          <w:i w:val="0"/>
        </w:rPr>
        <w:t>It should be noted that the Act's data-principal rights of access, correction and erasure (§§11–13) are exercisable only against identifiable data. Because APFAP holds no identifier capable of resolving a request to a specific response, these rights are not merely unimplemented but structurally inapplicable to the anonymous corpus. This is a legitimate and recognised consequence of true anonymisation, and it must be disclosed to respondents at the point of consent rather than discovered by them afterwards.</w:t>
      </w:r>
    </w:p>
    <w:p>
      <w:pPr>
        <w:pStyle w:val="Heading3"/>
      </w:pPr>
      <w:r>
        <w:t>4.1.2 Information Technology Act, 2000 and the SPDI Rules, 2011</w:t>
      </w:r>
    </w:p>
    <w:p>
      <w:r>
        <w:rPr>
          <w:b w:val="0"/>
          <w:i w:val="0"/>
        </w:rPr>
        <w:t>Section 43A of the IT Act imposes liability on a body corporate that is negligent in maintaining reasonable security practices while handling sensitive personal data, and Rule 8 of the SPDI Rules names ISO/IEC 27001 as a recognised standard of such practices. The platform's alignment to ISO/IEC 27001:2022 Annex A controls (§4.3) is therefore not merely good practice but the route by which the statutory reasonableness test is evidenced. Section 72A criminalises disclosure of personal information in breach of a lawful contract, reinforcing the access restrictions in §6.1.</w:t>
      </w:r>
    </w:p>
    <w:p>
      <w:pPr>
        <w:pStyle w:val="Heading2"/>
      </w:pPr>
      <w:r>
        <w:t>4.2 Research-ethics frameworks</w:t>
      </w:r>
    </w:p>
    <w:p>
      <w:pPr>
        <w:pStyle w:val="Heading3"/>
      </w:pPr>
      <w:r>
        <w:t>4.2.1 ICMR National Ethical Guidelines for Biomedical and Health Research, 2017</w:t>
      </w:r>
    </w:p>
    <w:p>
      <w:r>
        <w:rPr>
          <w:b w:val="0"/>
          <w:i w:val="0"/>
        </w:rPr>
        <w:t>The ICMR guidelines are the governing Indian research-ethics instrument. Four of their principles bear directly on the design. Voluntariness is enforced by the absence of any completion incentive or penalty and by an explicit statement that participation may cease at any moment. Non-exploitation is engaged acutely here: where the sponsor is the respondent's own employer and a police hierarchy at that, the ordinary risk of coerced participation is amplified, and the platform answers it by ensuring that the sponsor cannot know who did or did not participate. Privacy and confidentiality are addressed architecturally rather than by promise. Risk minimisation requires that instruments touching suicidality be accompanied by an accessible route to help, which §7.5 addresses as an open requirement.</w:t>
      </w:r>
    </w:p>
    <w:p>
      <w:pPr>
        <w:pStyle w:val="Heading3"/>
      </w:pPr>
      <w:r>
        <w:t>4.2.2 Declaration of Helsinki and the Belmont Report</w:t>
      </w:r>
    </w:p>
    <w:p>
      <w:r>
        <w:rPr>
          <w:b w:val="0"/>
          <w:i w:val="0"/>
        </w:rPr>
        <w:t>The World Medical Association's Declaration of Helsinki (as amended) requires informed consent, protection of privacy, and the primacy of participant welfare over the interests of science; the Belmont Report's tripartite framing — respect for persons, beneficence, justice — supplies the vocabulary in which those requirements are usually assessed. Respect for persons is served by voluntary, comprehending, uncoerced consent in the respondent's own language. Beneficence requires that the research produce benefit proportionate to risk, and the principal risk here is informational rather than physical, which is precisely why the informational controls carry the ethical weight. Justice requires equitable access to participation, which the bilingual delivery, the low-literacy-tolerant plain language and the voice-input affordance address directly: an instrument that only an English-reading officer can complete would systematically exclude the population most likely to be under-served.</w:t>
      </w:r>
    </w:p>
    <w:p>
      <w:pPr>
        <w:pStyle w:val="Heading3"/>
      </w:pPr>
      <w:r>
        <w:t>4.2.3 CIOMS International Ethical Guidelines (2016)</w:t>
      </w:r>
    </w:p>
    <w:p>
      <w:r>
        <w:rPr>
          <w:b w:val="0"/>
          <w:i w:val="0"/>
        </w:rPr>
        <w:t>Guideline 22 of the CIOMS guidelines addresses the use of data in health-related research and the conditions under which broad or layered consent is acceptable. The platform's consent is purpose-specific rather than broad, which is the more conservative posture and is appropriate given the sensitivity of the data and the power asymmetry of the setting.</w:t>
      </w:r>
    </w:p>
    <w:p>
      <w:pPr>
        <w:pStyle w:val="Heading2"/>
      </w:pPr>
      <w:r>
        <w:t>4.3 Information-security standards</w:t>
      </w:r>
    </w:p>
    <w:tbl>
      <w:tblPr>
        <w:tblStyle w:val="TableGrid"/>
        <w:tblW w:type="auto" w:w="0"/>
        <w:jc w:val="center"/>
        <w:tblLook w:firstColumn="1" w:firstRow="1" w:lastColumn="0" w:lastRow="0" w:noHBand="0" w:noVBand="1" w:val="04A0"/>
      </w:tblPr>
      <w:tblGrid>
        <w:gridCol w:w="3024"/>
        <w:gridCol w:w="3024"/>
        <w:gridCol w:w="3024"/>
      </w:tblGrid>
      <w:tr>
        <w:tc>
          <w:tcPr>
            <w:tcW w:type="dxa" w:w="2160"/>
            <w:shd w:val="clear" w:color="auto" w:fill="122A54"/>
          </w:tcPr>
          <w:p>
            <w:pPr>
              <w:jc w:val="left"/>
            </w:pPr>
            <w:r/>
            <w:r>
              <w:rPr>
                <w:b/>
                <w:color w:val="FFFFFF"/>
                <w:sz w:val="18"/>
              </w:rPr>
              <w:t>Standard</w:t>
            </w:r>
          </w:p>
        </w:tc>
        <w:tc>
          <w:tcPr>
            <w:tcW w:type="dxa" w:w="3744"/>
            <w:shd w:val="clear" w:color="auto" w:fill="122A54"/>
          </w:tcPr>
          <w:p>
            <w:pPr>
              <w:jc w:val="left"/>
            </w:pPr>
            <w:r/>
            <w:r>
              <w:rPr>
                <w:b/>
                <w:color w:val="FFFFFF"/>
                <w:sz w:val="18"/>
              </w:rPr>
              <w:t>Relevance to APFAP</w:t>
            </w:r>
          </w:p>
        </w:tc>
        <w:tc>
          <w:tcPr>
            <w:tcW w:type="dxa" w:w="4752"/>
            <w:shd w:val="clear" w:color="auto" w:fill="122A54"/>
          </w:tcPr>
          <w:p>
            <w:pPr>
              <w:jc w:val="left"/>
            </w:pPr>
            <w:r/>
            <w:r>
              <w:rPr>
                <w:b/>
                <w:color w:val="FFFFFF"/>
                <w:sz w:val="18"/>
              </w:rPr>
              <w:t>Principal controls invoked</w:t>
            </w:r>
          </w:p>
        </w:tc>
      </w:tr>
      <w:tr>
        <w:tc>
          <w:tcPr>
            <w:tcW w:type="dxa" w:w="2160"/>
          </w:tcPr>
          <w:p>
            <w:pPr>
              <w:spacing w:after="40"/>
              <w:jc w:val="left"/>
            </w:pPr>
            <w:r/>
            <w:r>
              <w:rPr>
                <w:sz w:val="18"/>
              </w:rPr>
              <w:t>ISO/IEC 27001:2022 / 27002:2022</w:t>
            </w:r>
          </w:p>
        </w:tc>
        <w:tc>
          <w:tcPr>
            <w:tcW w:type="dxa" w:w="3744"/>
          </w:tcPr>
          <w:p>
            <w:pPr>
              <w:spacing w:after="40"/>
              <w:jc w:val="left"/>
            </w:pPr>
            <w:r/>
            <w:r>
              <w:rPr>
                <w:sz w:val="18"/>
              </w:rPr>
              <w:t>The reference ISMS standard; named in SPDI Rule 8 as evidence of reasonable security practice.</w:t>
            </w:r>
          </w:p>
        </w:tc>
        <w:tc>
          <w:tcPr>
            <w:tcW w:type="dxa" w:w="4752"/>
          </w:tcPr>
          <w:p>
            <w:pPr>
              <w:spacing w:after="40"/>
              <w:jc w:val="left"/>
            </w:pPr>
            <w:r/>
            <w:r>
              <w:rPr>
                <w:sz w:val="18"/>
              </w:rPr>
              <w:t>A.5.15 access control; A.5.18 access rights; A.8.2 privileged access; A.8.3 information access restriction; A.8.24 use of cryptography; A.8.28 secure coding; A.8.15 logging.</w:t>
            </w:r>
          </w:p>
        </w:tc>
      </w:tr>
      <w:tr>
        <w:tc>
          <w:tcPr>
            <w:tcW w:type="dxa" w:w="2160"/>
          </w:tcPr>
          <w:p>
            <w:pPr>
              <w:spacing w:after="40"/>
              <w:jc w:val="left"/>
            </w:pPr>
            <w:r/>
            <w:r>
              <w:rPr>
                <w:sz w:val="18"/>
              </w:rPr>
              <w:t>ISO/IEC 27701:2019</w:t>
            </w:r>
          </w:p>
        </w:tc>
        <w:tc>
          <w:tcPr>
            <w:tcW w:type="dxa" w:w="3744"/>
          </w:tcPr>
          <w:p>
            <w:pPr>
              <w:spacing w:after="40"/>
              <w:jc w:val="left"/>
            </w:pPr>
            <w:r/>
            <w:r>
              <w:rPr>
                <w:sz w:val="18"/>
              </w:rPr>
              <w:t>Privacy extension to the ISMS; frames the controller/processor split with the hosting provider.</w:t>
            </w:r>
          </w:p>
        </w:tc>
        <w:tc>
          <w:tcPr>
            <w:tcW w:type="dxa" w:w="4752"/>
          </w:tcPr>
          <w:p>
            <w:pPr>
              <w:spacing w:after="40"/>
              <w:jc w:val="left"/>
            </w:pPr>
            <w:r/>
            <w:r>
              <w:rPr>
                <w:sz w:val="18"/>
              </w:rPr>
              <w:t>Clause 7.2 conditions for collection; 7.4 privacy by design; 7.5 sharing and transfer.</w:t>
            </w:r>
          </w:p>
        </w:tc>
      </w:tr>
      <w:tr>
        <w:tc>
          <w:tcPr>
            <w:tcW w:type="dxa" w:w="2160"/>
          </w:tcPr>
          <w:p>
            <w:pPr>
              <w:spacing w:after="40"/>
              <w:jc w:val="left"/>
            </w:pPr>
            <w:r/>
            <w:r>
              <w:rPr>
                <w:sz w:val="18"/>
              </w:rPr>
              <w:t>ISO/IEC 29100:2011</w:t>
            </w:r>
          </w:p>
        </w:tc>
        <w:tc>
          <w:tcPr>
            <w:tcW w:type="dxa" w:w="3744"/>
          </w:tcPr>
          <w:p>
            <w:pPr>
              <w:spacing w:after="40"/>
              <w:jc w:val="left"/>
            </w:pPr>
            <w:r/>
            <w:r>
              <w:rPr>
                <w:sz w:val="18"/>
              </w:rPr>
              <w:t>Privacy framework; supplies the eleven privacy principles used to structure §5.</w:t>
            </w:r>
          </w:p>
        </w:tc>
        <w:tc>
          <w:tcPr>
            <w:tcW w:type="dxa" w:w="4752"/>
          </w:tcPr>
          <w:p>
            <w:pPr>
              <w:spacing w:after="40"/>
              <w:jc w:val="left"/>
            </w:pPr>
            <w:r/>
            <w:r>
              <w:rPr>
                <w:sz w:val="18"/>
              </w:rPr>
              <w:t>Consent and choice; purpose legitimacy; collection limitation; data minimisation; accuracy; openness; accountability.</w:t>
            </w:r>
          </w:p>
        </w:tc>
      </w:tr>
      <w:tr>
        <w:tc>
          <w:tcPr>
            <w:tcW w:type="dxa" w:w="2160"/>
          </w:tcPr>
          <w:p>
            <w:pPr>
              <w:spacing w:after="40"/>
              <w:jc w:val="left"/>
            </w:pPr>
            <w:r/>
            <w:r>
              <w:rPr>
                <w:sz w:val="18"/>
              </w:rPr>
              <w:t>NIST Cybersecurity Framework 2.0 (2024)</w:t>
            </w:r>
          </w:p>
        </w:tc>
        <w:tc>
          <w:tcPr>
            <w:tcW w:type="dxa" w:w="3744"/>
          </w:tcPr>
          <w:p>
            <w:pPr>
              <w:spacing w:after="40"/>
              <w:jc w:val="left"/>
            </w:pPr>
            <w:r/>
            <w:r>
              <w:rPr>
                <w:sz w:val="18"/>
              </w:rPr>
              <w:t>Organises the control narrative into Govern, Identify, Protect, Detect, Respond, Recover.</w:t>
            </w:r>
          </w:p>
        </w:tc>
        <w:tc>
          <w:tcPr>
            <w:tcW w:type="dxa" w:w="4752"/>
          </w:tcPr>
          <w:p>
            <w:pPr>
              <w:spacing w:after="40"/>
              <w:jc w:val="left"/>
            </w:pPr>
            <w:r/>
            <w:r>
              <w:rPr>
                <w:sz w:val="18"/>
              </w:rPr>
              <w:t>PR.AA (identity and access); PR.DS (data security); PR.PS (platform security); DE.AE (adverse event analysis); GV.SC (supply chain).</w:t>
            </w:r>
          </w:p>
        </w:tc>
      </w:tr>
      <w:tr>
        <w:tc>
          <w:tcPr>
            <w:tcW w:type="dxa" w:w="2160"/>
          </w:tcPr>
          <w:p>
            <w:pPr>
              <w:spacing w:after="40"/>
              <w:jc w:val="left"/>
            </w:pPr>
            <w:r/>
            <w:r>
              <w:rPr>
                <w:sz w:val="18"/>
              </w:rPr>
              <w:t>NIST Privacy Framework 1.0 (2020)</w:t>
            </w:r>
          </w:p>
        </w:tc>
        <w:tc>
          <w:tcPr>
            <w:tcW w:type="dxa" w:w="3744"/>
          </w:tcPr>
          <w:p>
            <w:pPr>
              <w:spacing w:after="40"/>
              <w:jc w:val="left"/>
            </w:pPr>
            <w:r/>
            <w:r>
              <w:rPr>
                <w:sz w:val="18"/>
              </w:rPr>
              <w:t>Complements the CSF for privacy-specific risk.</w:t>
            </w:r>
          </w:p>
        </w:tc>
        <w:tc>
          <w:tcPr>
            <w:tcW w:type="dxa" w:w="4752"/>
          </w:tcPr>
          <w:p>
            <w:pPr>
              <w:spacing w:after="40"/>
              <w:jc w:val="left"/>
            </w:pPr>
            <w:r/>
            <w:r>
              <w:rPr>
                <w:sz w:val="18"/>
              </w:rPr>
              <w:t>CT.DM-P (data processing management); CM.AW-P (awareness); PR.DS-P (data protection).</w:t>
            </w:r>
          </w:p>
        </w:tc>
      </w:tr>
      <w:tr>
        <w:tc>
          <w:tcPr>
            <w:tcW w:type="dxa" w:w="2160"/>
          </w:tcPr>
          <w:p>
            <w:pPr>
              <w:spacing w:after="40"/>
              <w:jc w:val="left"/>
            </w:pPr>
            <w:r/>
            <w:r>
              <w:rPr>
                <w:sz w:val="18"/>
              </w:rPr>
              <w:t>OWASP Top 10 (2021) and ASVS 4.0.3</w:t>
            </w:r>
          </w:p>
        </w:tc>
        <w:tc>
          <w:tcPr>
            <w:tcW w:type="dxa" w:w="3744"/>
          </w:tcPr>
          <w:p>
            <w:pPr>
              <w:spacing w:after="40"/>
              <w:jc w:val="left"/>
            </w:pPr>
            <w:r/>
            <w:r>
              <w:rPr>
                <w:sz w:val="18"/>
              </w:rPr>
              <w:t>Application-layer threat taxonomy against which the public endpoints were reviewed.</w:t>
            </w:r>
          </w:p>
        </w:tc>
        <w:tc>
          <w:tcPr>
            <w:tcW w:type="dxa" w:w="4752"/>
          </w:tcPr>
          <w:p>
            <w:pPr>
              <w:spacing w:after="40"/>
              <w:jc w:val="left"/>
            </w:pPr>
            <w:r/>
            <w:r>
              <w:rPr>
                <w:sz w:val="18"/>
              </w:rPr>
              <w:t>A01 broken access control; A03 injection; A04 insecure design; A05 security misconfiguration; ASVS V1 architecture, V4 access control, V5 validation, V13 API.</w:t>
            </w:r>
          </w:p>
        </w:tc>
      </w:tr>
      <w:tr>
        <w:tc>
          <w:tcPr>
            <w:tcW w:type="dxa" w:w="2160"/>
          </w:tcPr>
          <w:p>
            <w:pPr>
              <w:spacing w:after="40"/>
              <w:jc w:val="left"/>
            </w:pPr>
            <w:r/>
            <w:r>
              <w:rPr>
                <w:sz w:val="18"/>
              </w:rPr>
              <w:t>CIS Critical Security Controls v8</w:t>
            </w:r>
          </w:p>
        </w:tc>
        <w:tc>
          <w:tcPr>
            <w:tcW w:type="dxa" w:w="3744"/>
          </w:tcPr>
          <w:p>
            <w:pPr>
              <w:spacing w:after="40"/>
              <w:jc w:val="left"/>
            </w:pPr>
            <w:r/>
            <w:r>
              <w:rPr>
                <w:sz w:val="18"/>
              </w:rPr>
              <w:t>Operational hygiene baseline for the deployment.</w:t>
            </w:r>
          </w:p>
        </w:tc>
        <w:tc>
          <w:tcPr>
            <w:tcW w:type="dxa" w:w="4752"/>
          </w:tcPr>
          <w:p>
            <w:pPr>
              <w:spacing w:after="40"/>
              <w:jc w:val="left"/>
            </w:pPr>
            <w:r/>
            <w:r>
              <w:rPr>
                <w:sz w:val="18"/>
              </w:rPr>
              <w:t>Control 3 data protection; Control 6 access management; Control 8 audit log management.</w:t>
            </w:r>
          </w:p>
        </w:tc>
      </w:tr>
    </w:tbl>
    <w:p>
      <w:pPr>
        <w:spacing w:after="0"/>
      </w:pPr>
    </w:p>
    <w:p>
      <w:pPr>
        <w:spacing w:after="240"/>
        <w:jc w:val="left"/>
      </w:pPr>
      <w:r>
        <w:rPr>
          <w:i/>
          <w:color w:val="555F6D"/>
          <w:sz w:val="18"/>
        </w:rPr>
        <w:t>Table 4.1 — Security and privacy standards adopted, and the specific controls invoked.</w:t>
      </w:r>
    </w:p>
    <w:p>
      <w:pPr>
        <w:pStyle w:val="Heading2"/>
      </w:pPr>
      <w:r>
        <w:t>4.4 Privacy engineering doctrine</w:t>
      </w:r>
    </w:p>
    <w:p>
      <w:r>
        <w:rPr>
          <w:b w:val="0"/>
          <w:i w:val="0"/>
        </w:rPr>
        <w:t>Cavoukian's Privacy by Design supplies the design philosophy and GDPR Article 25 supplies its legal expression as data protection by design and by default. The platform is an unusually clean instance of the doctrine because privacy here is not a configuration applied to a system that could equally have been built without it; the system's central design decision — that respondents have no accounts — simultaneously produced its usability advantage and its privacy guarantee. §5.5 maps each of the seven foundational principles to implementation evidence.</w:t>
      </w:r>
    </w:p>
    <w:p>
      <w:r>
        <w:rPr>
          <w:b w:val="0"/>
          <w:i w:val="0"/>
        </w:rPr>
        <w:t>The General Data Protection Regulation is applied here as a benchmark standard rather than as binding law: the processing is domestic to India and no EU data subjects are contemplated. It is nevertheless the most demanding widely-recognised standard against which a research platform can be measured, and demonstrating alignment with Articles 5, 9, 25, 32 and 89 substantially exceeds the current domestic requirement — which is the appropriate posture for a doctoral research instrument whose outputs may be published internationally.</w:t>
      </w:r>
    </w:p>
    <w:p>
      <w:r>
        <w:br w:type="page"/>
      </w:r>
    </w:p>
    <w:p>
      <w:pPr>
        <w:pStyle w:val="Heading1"/>
      </w:pPr>
      <w:r>
        <w:t>5. Privacy by Design in the Implementation</w:t>
      </w:r>
    </w:p>
    <w:p>
      <w:pPr>
        <w:pStyle w:val="Heading2"/>
      </w:pPr>
      <w:r>
        <w:t>5.1 Anonymity as an architectural property</w:t>
      </w:r>
    </w:p>
    <w:p>
      <w:r>
        <w:rPr>
          <w:b w:val="0"/>
          <w:i w:val="0"/>
        </w:rPr>
        <w:t>The decision not to issue respondent accounts is the pivot on which the entire privacy analysis turns, and it is worth stating its consequences precisely. Because no account exists, there is no user table row to link to a response; no session token that could be correlated across submissions; no password reset e-mail that would prove a person's participation; no login audit trail recording who opened the instrument and when. An administrator inspecting the database with full privileges sees a set of answer rows attached to a random UUID and a submission timestamp, and possesses no query — however privileged — that would resolve that UUID to a person.</w:t>
      </w:r>
    </w:p>
    <w:p>
      <w:r>
        <w:rPr>
          <w:b w:val="0"/>
          <w:i w:val="0"/>
        </w:rPr>
        <w:t>This is a materially stronger guarantee than the usual formulation, in which identifiers are collected and then protected by access control. Access control fails under insider abuse, credential compromise, legal compulsion and configuration error. Absence of data fails under none of them.</w:t>
      </w:r>
    </w:p>
    <w:p>
      <w:pPr>
        <w:pStyle w:val="Heading2"/>
      </w:pPr>
      <w:r>
        <w:t>5.2 Data minimisation in practice</w:t>
      </w:r>
    </w:p>
    <w:p>
      <w:r>
        <w:rPr>
          <w:b w:val="0"/>
          <w:i w:val="0"/>
        </w:rPr>
        <w:t>Minimisation is enforced at three distinct points rather than asserted as a policy. At the interface, the respondent flow presents no demographic form and no contact fields. At the boundary, the edge function accepts only survey_id, language, started_at and an answers map, and discards every other property of the request body; a client that sends additional attributes simply has them ignored. At the schema, the response tables have no columns in which an identifier could be stored even if one were transmitted.</w:t>
      </w:r>
    </w:p>
    <w:p>
      <w:r>
        <w:rPr>
          <w:b w:val="0"/>
          <w:i w:val="0"/>
        </w:rPr>
        <w:t>A structural corollary reinforces this: published surveys are capped at twenty questions by a database trigger (enforce_published_survey_question_limit, migration 20260718113000). The stated motivation is respondent burden, but the privacy effect is significant — a hard ceiling on instrument length is a hard ceiling on how much can be asked of any one respondent in a single linked record, and therefore on the dimensionality available to a re-identification attack. Enforcing it in the database rather than the administrative interface means it cannot be defeated by an administrator who is in a hurry.</w:t>
      </w:r>
    </w:p>
    <w:p>
      <w:pPr>
        <w:pStyle w:val="Heading2"/>
      </w:pPr>
      <w:r>
        <w:t>5.3 Pseudonymisation of the network identifier</w:t>
      </w:r>
    </w:p>
    <w:p>
      <w:r>
        <w:rPr>
          <w:b w:val="0"/>
          <w:i w:val="0"/>
        </w:rPr>
        <w:t>Rate limiting requires some stable notion of “the same submitter”, which is in tension with collecting nothing. The platform resolves the tension by hashing: the client IP is passed through SHA-256 at the edge and only the 64-character digest is persisted, in survey_responses.ip_hash and in the rate-limit ledger. The plaintext address is present only in the volatile memory of the function invocation and is never written to the database.</w:t>
      </w:r>
    </w:p>
    <w:p>
      <w:r>
        <w:rPr>
          <w:b w:val="0"/>
          <w:i w:val="0"/>
        </w:rPr>
        <w:t>The correct classification of this measure must be stated exactly. Under GDPR Recital 26 and Article 4(5) this is pseudonymisation, not anonymisation, and the distinction is not academic. The IPv4 address space contains fewer than 2^32 values; an adversary who obtains the hash column can compute the digest of every possible address in a matter of hours on commodity hardware and thereby invert the mapping completely. The hash raises the cost of casual inspection and removes the address from ordinary view, which is a genuine and worthwhile gain, but it does not make the value irreversible. Because the transform is unkeyed and unsalted, the guarantee is one of obscurity rather than of cryptographic protection. Recommendation R-1 in §10 specifies the remediation — a keyed HMAC-SHA-256 under a periodically rotated secret, with truncation — which would convert an invertible digest into a genuinely non-reversible pseudonym while preserving the rate limiter's function exactly.</w:t>
      </w:r>
    </w:p>
    <w:p>
      <w:pPr>
        <w:pStyle w:val="Heading2"/>
      </w:pPr>
      <w:r>
        <w:t>5.4 Purpose limitation and storage limitation</w:t>
      </w:r>
    </w:p>
    <w:p>
      <w:r>
        <w:rPr>
          <w:b w:val="0"/>
          <w:i w:val="0"/>
        </w:rPr>
        <w:t>Purpose is bound at the point of consent to well-being research and support programmes, and the system's affordances are consistent with that binding: the analytics layer exposes distributions, counts, completion rates and period comparisons — the shape of a population, not the profile of a person. Storage limitation is the weaker of the two. The application implements no automated retention schedule, and response rows persist until a super_admin deletes the parent survey, at which point ON DELETE CASCADE removes the responses and answers with it. A defined retention period — and an automated job that enforces it — is required for full alignment with DPDP §8(7) and is recommended as R-4.</w:t>
      </w:r>
    </w:p>
    <w:p>
      <w:pPr>
        <w:pStyle w:val="Heading2"/>
      </w:pPr>
      <w:r>
        <w:t>5.5 The seven foundational principles, mapped</w:t>
      </w:r>
    </w:p>
    <w:tbl>
      <w:tblPr>
        <w:tblStyle w:val="TableGrid"/>
        <w:tblW w:type="auto" w:w="0"/>
        <w:jc w:val="center"/>
        <w:tblLook w:firstColumn="1" w:firstRow="1" w:lastColumn="0" w:lastRow="0" w:noHBand="0" w:noVBand="1" w:val="04A0"/>
      </w:tblPr>
      <w:tblGrid>
        <w:gridCol w:w="3024"/>
        <w:gridCol w:w="3024"/>
        <w:gridCol w:w="3024"/>
      </w:tblGrid>
      <w:tr>
        <w:tc>
          <w:tcPr>
            <w:tcW w:type="dxa" w:w="2304"/>
            <w:shd w:val="clear" w:color="auto" w:fill="122A54"/>
          </w:tcPr>
          <w:p>
            <w:pPr>
              <w:jc w:val="left"/>
            </w:pPr>
            <w:r/>
            <w:r>
              <w:rPr>
                <w:b/>
                <w:color w:val="FFFFFF"/>
                <w:sz w:val="18"/>
              </w:rPr>
              <w:t>Principle</w:t>
            </w:r>
          </w:p>
        </w:tc>
        <w:tc>
          <w:tcPr>
            <w:tcW w:type="dxa" w:w="6048"/>
            <w:shd w:val="clear" w:color="auto" w:fill="122A54"/>
          </w:tcPr>
          <w:p>
            <w:pPr>
              <w:jc w:val="left"/>
            </w:pPr>
            <w:r/>
            <w:r>
              <w:rPr>
                <w:b/>
                <w:color w:val="FFFFFF"/>
                <w:sz w:val="18"/>
              </w:rPr>
              <w:t>Implementation evidence</w:t>
            </w:r>
          </w:p>
        </w:tc>
        <w:tc>
          <w:tcPr>
            <w:tcW w:type="dxa" w:w="2016"/>
            <w:shd w:val="clear" w:color="auto" w:fill="122A54"/>
          </w:tcPr>
          <w:p>
            <w:pPr>
              <w:jc w:val="left"/>
            </w:pPr>
            <w:r/>
            <w:r>
              <w:rPr>
                <w:b/>
                <w:color w:val="FFFFFF"/>
                <w:sz w:val="18"/>
              </w:rPr>
              <w:t>Status</w:t>
            </w:r>
          </w:p>
        </w:tc>
      </w:tr>
      <w:tr>
        <w:tc>
          <w:tcPr>
            <w:tcW w:type="dxa" w:w="2304"/>
          </w:tcPr>
          <w:p>
            <w:pPr>
              <w:spacing w:after="40"/>
              <w:jc w:val="left"/>
            </w:pPr>
            <w:r/>
            <w:r>
              <w:rPr>
                <w:sz w:val="18"/>
              </w:rPr>
              <w:t>1. Proactive not reactive</w:t>
            </w:r>
          </w:p>
        </w:tc>
        <w:tc>
          <w:tcPr>
            <w:tcW w:type="dxa" w:w="6048"/>
          </w:tcPr>
          <w:p>
            <w:pPr>
              <w:spacing w:after="40"/>
              <w:jc w:val="left"/>
            </w:pPr>
            <w:r/>
            <w:r>
              <w:rPr>
                <w:sz w:val="18"/>
              </w:rPr>
              <w:t>Anonymity chosen at design time, not retrofitted; the direct anonymous INSERT path was closed before field deployment rather than after an incident.</w:t>
            </w:r>
          </w:p>
        </w:tc>
        <w:tc>
          <w:tcPr>
            <w:tcW w:type="dxa" w:w="2016"/>
          </w:tcPr>
          <w:p>
            <w:pPr>
              <w:spacing w:after="40"/>
              <w:jc w:val="left"/>
            </w:pPr>
            <w:r/>
            <w:r>
              <w:rPr>
                <w:sz w:val="18"/>
              </w:rPr>
              <w:t>Implemented</w:t>
            </w:r>
          </w:p>
        </w:tc>
      </w:tr>
      <w:tr>
        <w:tc>
          <w:tcPr>
            <w:tcW w:type="dxa" w:w="2304"/>
          </w:tcPr>
          <w:p>
            <w:pPr>
              <w:spacing w:after="40"/>
              <w:jc w:val="left"/>
            </w:pPr>
            <w:r/>
            <w:r>
              <w:rPr>
                <w:sz w:val="18"/>
              </w:rPr>
              <w:t>2. Privacy as the default setting</w:t>
            </w:r>
          </w:p>
        </w:tc>
        <w:tc>
          <w:tcPr>
            <w:tcW w:type="dxa" w:w="6048"/>
          </w:tcPr>
          <w:p>
            <w:pPr>
              <w:spacing w:after="40"/>
              <w:jc w:val="left"/>
            </w:pPr>
            <w:r/>
            <w:r>
              <w:rPr>
                <w:sz w:val="18"/>
              </w:rPr>
              <w:t>A respondent performs no action to become anonymous; there is no identified mode from which anonymity is an opt-out.</w:t>
            </w:r>
          </w:p>
        </w:tc>
        <w:tc>
          <w:tcPr>
            <w:tcW w:type="dxa" w:w="2016"/>
          </w:tcPr>
          <w:p>
            <w:pPr>
              <w:spacing w:after="40"/>
              <w:jc w:val="left"/>
            </w:pPr>
            <w:r/>
            <w:r>
              <w:rPr>
                <w:sz w:val="18"/>
              </w:rPr>
              <w:t>Implemented</w:t>
            </w:r>
          </w:p>
        </w:tc>
      </w:tr>
      <w:tr>
        <w:tc>
          <w:tcPr>
            <w:tcW w:type="dxa" w:w="2304"/>
          </w:tcPr>
          <w:p>
            <w:pPr>
              <w:spacing w:after="40"/>
              <w:jc w:val="left"/>
            </w:pPr>
            <w:r/>
            <w:r>
              <w:rPr>
                <w:sz w:val="18"/>
              </w:rPr>
              <w:t>3. Privacy embedded into design</w:t>
            </w:r>
          </w:p>
        </w:tc>
        <w:tc>
          <w:tcPr>
            <w:tcW w:type="dxa" w:w="6048"/>
          </w:tcPr>
          <w:p>
            <w:pPr>
              <w:spacing w:after="40"/>
              <w:jc w:val="left"/>
            </w:pPr>
            <w:r/>
            <w:r>
              <w:rPr>
                <w:sz w:val="18"/>
              </w:rPr>
              <w:t>Enforcement lives in RLS policies and in a mandatory server-side write boundary, not in client code that an attacker controls.</w:t>
            </w:r>
          </w:p>
        </w:tc>
        <w:tc>
          <w:tcPr>
            <w:tcW w:type="dxa" w:w="2016"/>
          </w:tcPr>
          <w:p>
            <w:pPr>
              <w:spacing w:after="40"/>
              <w:jc w:val="left"/>
            </w:pPr>
            <w:r/>
            <w:r>
              <w:rPr>
                <w:sz w:val="18"/>
              </w:rPr>
              <w:t>Implemented</w:t>
            </w:r>
          </w:p>
        </w:tc>
      </w:tr>
      <w:tr>
        <w:tc>
          <w:tcPr>
            <w:tcW w:type="dxa" w:w="2304"/>
          </w:tcPr>
          <w:p>
            <w:pPr>
              <w:spacing w:after="40"/>
              <w:jc w:val="left"/>
            </w:pPr>
            <w:r/>
            <w:r>
              <w:rPr>
                <w:sz w:val="18"/>
              </w:rPr>
              <w:t>4. Full functionality (positive-sum)</w:t>
            </w:r>
          </w:p>
        </w:tc>
        <w:tc>
          <w:tcPr>
            <w:tcW w:type="dxa" w:w="6048"/>
          </w:tcPr>
          <w:p>
            <w:pPr>
              <w:spacing w:after="40"/>
              <w:jc w:val="left"/>
            </w:pPr>
            <w:r/>
            <w:r>
              <w:rPr>
                <w:sz w:val="18"/>
              </w:rPr>
              <w:t>Anonymity increases rather than decreases utility: no-login access maximises reach and reduces social-desirability bias in sensitive self-report.</w:t>
            </w:r>
          </w:p>
        </w:tc>
        <w:tc>
          <w:tcPr>
            <w:tcW w:type="dxa" w:w="2016"/>
          </w:tcPr>
          <w:p>
            <w:pPr>
              <w:spacing w:after="40"/>
              <w:jc w:val="left"/>
            </w:pPr>
            <w:r/>
            <w:r>
              <w:rPr>
                <w:sz w:val="18"/>
              </w:rPr>
              <w:t>Implemented</w:t>
            </w:r>
          </w:p>
        </w:tc>
      </w:tr>
      <w:tr>
        <w:tc>
          <w:tcPr>
            <w:tcW w:type="dxa" w:w="2304"/>
          </w:tcPr>
          <w:p>
            <w:pPr>
              <w:spacing w:after="40"/>
              <w:jc w:val="left"/>
            </w:pPr>
            <w:r/>
            <w:r>
              <w:rPr>
                <w:sz w:val="18"/>
              </w:rPr>
              <w:t>5. End-to-end security, lifecycle protection</w:t>
            </w:r>
          </w:p>
        </w:tc>
        <w:tc>
          <w:tcPr>
            <w:tcW w:type="dxa" w:w="6048"/>
          </w:tcPr>
          <w:p>
            <w:pPr>
              <w:spacing w:after="40"/>
              <w:jc w:val="left"/>
            </w:pPr>
            <w:r/>
            <w:r>
              <w:rPr>
                <w:sz w:val="18"/>
              </w:rPr>
              <w:t>TLS in transit; managed encryption at rest; least-privilege grants; cascade deletion. Lifecycle is incomplete at the disposal stage — no scheduled retention job exists.</w:t>
            </w:r>
          </w:p>
        </w:tc>
        <w:tc>
          <w:tcPr>
            <w:tcW w:type="dxa" w:w="2016"/>
          </w:tcPr>
          <w:p>
            <w:pPr>
              <w:spacing w:after="40"/>
              <w:jc w:val="left"/>
            </w:pPr>
            <w:r/>
            <w:r>
              <w:rPr>
                <w:sz w:val="18"/>
              </w:rPr>
              <w:t>Partial — see R-4</w:t>
            </w:r>
          </w:p>
        </w:tc>
      </w:tr>
      <w:tr>
        <w:tc>
          <w:tcPr>
            <w:tcW w:type="dxa" w:w="2304"/>
          </w:tcPr>
          <w:p>
            <w:pPr>
              <w:spacing w:after="40"/>
              <w:jc w:val="left"/>
            </w:pPr>
            <w:r/>
            <w:r>
              <w:rPr>
                <w:sz w:val="18"/>
              </w:rPr>
              <w:t>6. Visibility and transparency</w:t>
            </w:r>
          </w:p>
        </w:tc>
        <w:tc>
          <w:tcPr>
            <w:tcW w:type="dxa" w:w="6048"/>
          </w:tcPr>
          <w:p>
            <w:pPr>
              <w:spacing w:after="40"/>
              <w:jc w:val="left"/>
            </w:pPr>
            <w:r/>
            <w:r>
              <w:rPr>
                <w:sz w:val="18"/>
              </w:rPr>
              <w:t>Consent screen states purpose, voluntariness and confidentiality bilingually; migrations carry rationale comments that make the security model auditable by a third party.</w:t>
            </w:r>
          </w:p>
        </w:tc>
        <w:tc>
          <w:tcPr>
            <w:tcW w:type="dxa" w:w="2016"/>
          </w:tcPr>
          <w:p>
            <w:pPr>
              <w:spacing w:after="40"/>
              <w:jc w:val="left"/>
            </w:pPr>
            <w:r/>
            <w:r>
              <w:rPr>
                <w:sz w:val="18"/>
              </w:rPr>
              <w:t>Implemented; extend per R-6</w:t>
            </w:r>
          </w:p>
        </w:tc>
      </w:tr>
      <w:tr>
        <w:tc>
          <w:tcPr>
            <w:tcW w:type="dxa" w:w="2304"/>
          </w:tcPr>
          <w:p>
            <w:pPr>
              <w:spacing w:after="40"/>
              <w:jc w:val="left"/>
            </w:pPr>
            <w:r/>
            <w:r>
              <w:rPr>
                <w:sz w:val="18"/>
              </w:rPr>
              <w:t>7. Respect for user privacy</w:t>
            </w:r>
          </w:p>
        </w:tc>
        <w:tc>
          <w:tcPr>
            <w:tcW w:type="dxa" w:w="6048"/>
          </w:tcPr>
          <w:p>
            <w:pPr>
              <w:spacing w:after="40"/>
              <w:jc w:val="left"/>
            </w:pPr>
            <w:r/>
            <w:r>
              <w:rPr>
                <w:sz w:val="18"/>
              </w:rPr>
              <w:t>Plain-language bilingual copy, unhurried pacing, explicit statement that no answer is judged, and a per-device draft that never leaves the device.</w:t>
            </w:r>
          </w:p>
        </w:tc>
        <w:tc>
          <w:tcPr>
            <w:tcW w:type="dxa" w:w="2016"/>
          </w:tcPr>
          <w:p>
            <w:pPr>
              <w:spacing w:after="40"/>
              <w:jc w:val="left"/>
            </w:pPr>
            <w:r/>
            <w:r>
              <w:rPr>
                <w:sz w:val="18"/>
              </w:rPr>
              <w:t>Implemented</w:t>
            </w:r>
          </w:p>
        </w:tc>
      </w:tr>
    </w:tbl>
    <w:p>
      <w:pPr>
        <w:spacing w:after="0"/>
      </w:pPr>
    </w:p>
    <w:p>
      <w:pPr>
        <w:spacing w:after="240"/>
        <w:jc w:val="left"/>
      </w:pPr>
      <w:r>
        <w:rPr>
          <w:i/>
          <w:color w:val="555F6D"/>
          <w:sz w:val="18"/>
        </w:rPr>
        <w:t>Table 5.1 — Cavoukian's seven foundational principles mapped to implementation evidence.</w:t>
      </w:r>
    </w:p>
    <w:p>
      <w:r>
        <w:br w:type="page"/>
      </w:r>
    </w:p>
    <w:p>
      <w:pPr>
        <w:pStyle w:val="Heading1"/>
      </w:pPr>
      <w:r>
        <w:t>6. Technical and Organisational Measures</w:t>
      </w:r>
    </w:p>
    <w:p>
      <w:pPr>
        <w:pStyle w:val="Heading2"/>
      </w:pPr>
      <w:r>
        <w:t>6.1 Identity, authentication and authorisation</w:t>
      </w:r>
    </w:p>
    <w:p>
      <w:r>
        <w:rPr>
          <w:b w:val="0"/>
          <w:i w:val="0"/>
        </w:rPr>
        <w:t>Administrative identity is managed by Supabase Auth, which stores credentials as salted bcrypt hashes and issues short-lived JWTs with refresh rotation; the application never handles a plaintext password. Authorisation is deliberately decoupled from authentication: role membership lives in a dedicated user_roles table rather than in a column on profiles or in the JWT claims, so that privilege cannot be escalated by a user updating their own profile row — a defect class that has produced repeated real-world breaches in comparable systems.</w:t>
      </w:r>
    </w:p>
    <w:p>
      <w:r>
        <w:rPr>
          <w:b w:val="0"/>
          <w:i w:val="0"/>
        </w:rPr>
        <w:t>Role checks are performed by the SECURITY DEFINER function has_role(uuid, app_role), which pins search_path = public to defeat schema-shadowing attacks in which an attacker creates a same-named object in a schema earlier in the resolution path. EXECUTE on the role functions is revoked from PUBLIC and anon and granted only to authenticated (migration 20260705052520). New sign-ups receive the unprivileged user role by trigger; elevation to super_admin is a deliberate act performed by an existing super_admin.</w:t>
      </w:r>
    </w:p>
    <w:p>
      <w:pPr>
        <w:pStyle w:val="Heading2"/>
      </w:pPr>
      <w:r>
        <w:t>6.2 Row-level security as the authoritative control</w:t>
      </w:r>
    </w:p>
    <w:p>
      <w:r>
        <w:rPr>
          <w:b w:val="0"/>
          <w:i w:val="0"/>
        </w:rPr>
        <w:t>Every table in the public schema has RLS enabled, and the policy set is the true access-control specification of the system. Two properties deserve emphasis.</w:t>
      </w:r>
    </w:p>
    <w:p>
      <w:r>
        <w:rPr>
          <w:b w:val="0"/>
          <w:i w:val="0"/>
        </w:rPr>
        <w:t>First, read access to response data is confined to a single predicate: has_role(auth.uid(), 'super_admin'). There is no policy under which anon can read survey_responses, survey_answers or survey_views. An adversary who extracts the publishable key from the client bundle and queries the response tables directly receives an empty set — not an error that would confirm the data's existence, but nothing.</w:t>
      </w:r>
    </w:p>
    <w:p>
      <w:r>
        <w:rPr>
          <w:b w:val="0"/>
          <w:i w:val="0"/>
        </w:rPr>
        <w:t>Second, the policy set has been tightened in response to a specific defect, and the correction illustrates the discipline the project applies to its own security model. The original public read policies keyed visibility on slug IS NOT NULL, which evaluates true for both published and closed surveys. The effect was that a survey's complete question and option content — including the full text of licensed clinical instruments — remained publicly readable indefinitely after the survey had been closed and had stopped accepting responses. Migration 20260718100000_tighten_public_read_rls.sql narrowed question and option visibility to surveys whose status is exactly 'published', while deliberately leaving the survey row itself readable in the closed state so that the public runner can still render a calm “this survey is closed” screen rather than a bare error. The distinction is a precise piece of privacy engineering: the minimum disclosure required for a humane user experience, and not one field more.</w:t>
      </w:r>
    </w:p>
    <w:p>
      <w:pPr>
        <w:spacing w:before="80" w:after="160"/>
        <w:ind w:left="432"/>
        <w:jc w:val="left"/>
      </w:pPr>
      <w:r>
        <w:rPr>
          <w:rFonts w:ascii="Consolas" w:hAnsi="Consolas" w:eastAsia="Consolas"/>
          <w:sz w:val="18"/>
        </w:rPr>
        <w:t>CREATE POLICY "Questions: public read of published surveys"</w:t>
        <w:br/>
        <w:t xml:space="preserve">  ON public.survey_questions FOR SELECT TO anon, authenticated</w:t>
        <w:br/>
        <w:t xml:space="preserve">  USING (EXISTS (SELECT 1 FROM public.surveys s</w:t>
        <w:br/>
        <w:t xml:space="preserve">                 WHERE s.id = survey_id AND s.status = 'published'));</w:t>
      </w:r>
    </w:p>
    <w:p>
      <w:pPr>
        <w:pStyle w:val="Heading2"/>
      </w:pPr>
      <w:r>
        <w:t>6.3 The submission boundary: validation and bounding</w:t>
      </w:r>
    </w:p>
    <w:p>
      <w:r>
        <w:rPr>
          <w:b w:val="0"/>
          <w:i w:val="0"/>
        </w:rPr>
        <w:t>Because submit-response executes with service_role and therefore bypasses RLS, its input handling carries the full weight of the trust boundary. The function treats the payload as hostile and applies the following checks in order, rejecting before any database write:</w:t>
      </w:r>
    </w:p>
    <w:p>
      <w:pPr>
        <w:pStyle w:val="ListNumber"/>
        <w:spacing w:after="80"/>
        <w:ind w:left="403"/>
        <w:jc w:val="both"/>
      </w:pPr>
      <w:r>
        <w:t>Request size is rejected above 128 KB on the declared Content-Length, before parsing.</w:t>
      </w:r>
    </w:p>
    <w:p>
      <w:pPr>
        <w:pStyle w:val="ListNumber"/>
        <w:spacing w:after="80"/>
        <w:ind w:left="403"/>
        <w:jc w:val="both"/>
      </w:pPr>
      <w:r>
        <w:t>survey_id must be present and a string; the referenced survey must exist and must currently be status = 'published'. A closed or draft survey cannot be written to even by a caller who knows its identifier.</w:t>
      </w:r>
    </w:p>
    <w:p>
      <w:pPr>
        <w:pStyle w:val="ListNumber"/>
        <w:spacing w:after="80"/>
        <w:ind w:left="403"/>
        <w:jc w:val="both"/>
      </w:pPr>
      <w:r>
        <w:t>answers must be a non-array object; the count of entries is capped at twenty, matching the published-survey question limit.</w:t>
      </w:r>
    </w:p>
    <w:p>
      <w:pPr>
        <w:pStyle w:val="ListNumber"/>
        <w:spacing w:after="80"/>
        <w:ind w:left="403"/>
        <w:jc w:val="both"/>
      </w:pPr>
      <w:r>
        <w:t>started_at must parse as a valid timestamp within a plausible window — no more than sixty seconds in the future and no more than twenty-four hours in the past — which defeats fabricated completion-time metrics.</w:t>
      </w:r>
    </w:p>
    <w:p>
      <w:pPr>
        <w:pStyle w:val="ListNumber"/>
        <w:spacing w:after="80"/>
        <w:ind w:left="403"/>
        <w:jc w:val="both"/>
      </w:pPr>
      <w:r>
        <w:t>Every question_id in the payload is intersected against the set of questions actually belonging to that survey. A caller cannot write answer rows against arbitrary question identifiers belonging to another instrument.</w:t>
      </w:r>
    </w:p>
    <w:p>
      <w:pPr>
        <w:pStyle w:val="ListNumber"/>
        <w:spacing w:after="80"/>
        <w:ind w:left="403"/>
        <w:jc w:val="both"/>
      </w:pPr>
      <w:r>
        <w:t>Values are bounded by type: text is truncated at 5,000 characters, arrays at 200 elements with each element truncated at 500 characters, and numeric values must be finite.</w:t>
      </w:r>
    </w:p>
    <w:p>
      <w:r>
        <w:rPr>
          <w:b w:val="0"/>
          <w:i w:val="0"/>
        </w:rPr>
        <w:t>The failure mode is uniform: the caller receives a generic message and the underlying exception is logged server-side only, so that error text cannot be used to enumerate schema structure or confirm the existence of specific records.</w:t>
      </w:r>
    </w:p>
    <w:p>
      <w:pPr>
        <w:pStyle w:val="Heading2"/>
      </w:pPr>
      <w:r>
        <w:t>6.4 Client-IP determination and the spoofing hazard</w:t>
      </w:r>
    </w:p>
    <w:p>
      <w:r>
        <w:rPr>
          <w:b w:val="0"/>
          <w:i w:val="0"/>
        </w:rPr>
        <w:t>A rate limiter keyed on a spoofable value is not a rate limiter. The function's handling of X-Forwarded-For is therefore worth documenting explicitly, because the naive implementation is both extremely common and wrong. The leftmost entry in that header is whatever the client chose to send and is trivially forged; each trusted proxy appends as the request traverses it, so the entry the platform added last is the one that reflects the real connection. The implementation prefers a platform-supplied header (cf-connecting-ip, then x-real-ip) and falls back to the final — never the first — X-Forwarded-For hop.</w:t>
      </w:r>
    </w:p>
    <w:p>
      <w:pPr>
        <w:spacing w:before="80" w:after="160"/>
        <w:ind w:left="432"/>
        <w:jc w:val="left"/>
      </w:pPr>
      <w:r>
        <w:rPr>
          <w:rFonts w:ascii="Consolas" w:hAnsi="Consolas" w:eastAsia="Consolas"/>
          <w:sz w:val="18"/>
        </w:rPr>
        <w:t>const xff = (req.headers.get("x-forwarded-for") ?? "").split(",")</w:t>
        <w:br/>
        <w:t xml:space="preserve">  .map(s =&gt; s.trim()).filter(Boolean);</w:t>
        <w:br/>
        <w:t>const ip = req.headers.get("cf-connecting-ip")</w:t>
        <w:br/>
        <w:t xml:space="preserve">        || req.headers.get("x-real-ip")</w:t>
        <w:br/>
        <w:t xml:space="preserve">        || xff[xff.length - 1] || "unknown";</w:t>
      </w:r>
    </w:p>
    <w:p>
      <w:pPr>
        <w:pStyle w:val="Heading2"/>
      </w:pPr>
      <w:r>
        <w:t>6.5 Atomic rate limiting and integrity of the research corpus</w:t>
      </w:r>
    </w:p>
    <w:p>
      <w:r>
        <w:rPr>
          <w:b w:val="0"/>
          <w:i w:val="0"/>
        </w:rPr>
        <w:t>Abuse resistance here protects scientific validity as much as availability: an automated flood of fabricated responses would not merely consume storage, it would silently bias every distribution the study reports. The limiter permits one submission per survey per IP-hash per five minutes, and twenty per rolling twenty-four-hour window.</w:t>
      </w:r>
    </w:p>
    <w:p>
      <w:r>
        <w:rPr>
          <w:b w:val="0"/>
          <w:i w:val="0"/>
        </w:rPr>
        <w:t>Critically, the check-and-increment is performed inside a single SECURITY DEFINER database function, claim_survey_submission_slot, which takes a transaction-scoped advisory lock keyed on the (survey, ip_hash) pair and then a row-level FOR UPDATE lock before deciding. A limiter that reads a counter, decides, and then writes in three separate round trips is defeated by concurrent requests racing between the read and the write — the classic time-of-check to time-of-use flaw. Serialising the whole decision in the database eliminates that window. Execute permission on the function, and all access to the rate-limit ledger table, are revoked from anon and authenticated and granted only to service_role, so the ledger — which contains the IP hashes — is unreachable from any client.</w:t>
      </w:r>
    </w:p>
    <w:p>
      <w:pPr>
        <w:pStyle w:val="Heading2"/>
      </w:pPr>
      <w:r>
        <w:t>6.6 Cryptography and transport</w:t>
      </w:r>
    </w:p>
    <w:p>
      <w:r>
        <w:rPr>
          <w:b w:val="0"/>
          <w:i w:val="0"/>
        </w:rPr>
        <w:t>All traffic is TLS 1.2+ with HSTS as terminated by the managed hosting platform; the application issues no plaintext HTTP request. Data at rest is encrypted by the managed PostgreSQL service. Passwords are bcrypt-hashed by the auth provider. The service-role key exists only as an environment secret in the edge-function runtime, and the AI provider key likewise; neither appears in the client bundle, the repository, or any response body.</w:t>
      </w:r>
    </w:p>
    <w:p>
      <w:pPr>
        <w:pStyle w:val="Heading2"/>
      </w:pPr>
      <w:r>
        <w:t>6.7 Logging, audit and accountability</w:t>
      </w:r>
    </w:p>
    <w:p>
      <w:r>
        <w:rPr>
          <w:b w:val="0"/>
          <w:i w:val="0"/>
        </w:rPr>
        <w:t>The audit_logs table records administrative actions with actor, action, entity, entity identifier and a JSON metadata payload. Its policy set is asymmetric by design: any authenticated user may insert a row provided user_id = auth.uid() — so an actor cannot forge an entry attributed to someone else — while only a super_admin may read. Two limitations are noted for completeness. The log is append-only by convention rather than by constraint, and it captures administrative activity only; anonymous respondent activity is deliberately not logged, since a per-respondent audit trail would reintroduce exactly the linkage the architecture exists to prevent. This is a considered trade of forensic capability for privacy, and it is the correct trade in this setting.</w:t>
      </w:r>
    </w:p>
    <w:p>
      <w:pPr>
        <w:pStyle w:val="Heading2"/>
      </w:pPr>
      <w:r>
        <w:t>6.8 Governance of AI-assisted instrument import</w:t>
      </w:r>
    </w:p>
    <w:p>
      <w:r>
        <w:rPr>
          <w:b w:val="0"/>
          <w:i w:val="0"/>
        </w:rPr>
        <w:t>The platform offers an administrator-only convenience in which the text of a questionnaire PDF is structured into survey questions by a large language model. Because this is the platform's only transfer of data to a third-party processor, its boundaries require explicit statement.</w:t>
      </w:r>
    </w:p>
    <w:p>
      <w:pPr>
        <w:pStyle w:val="ListBullet"/>
        <w:spacing w:after="80"/>
        <w:ind w:left="403"/>
        <w:jc w:val="both"/>
      </w:pPr>
      <w:r>
        <w:t>What is transmitted: instrument text extracted client-side from an administrator-supplied PDF, truncated to 24,000 characters. That is, the questions themselves — published psychometric material, not participant data.</w:t>
      </w:r>
    </w:p>
    <w:p>
      <w:pPr>
        <w:pStyle w:val="ListBullet"/>
        <w:spacing w:after="80"/>
        <w:ind w:left="403"/>
        <w:jc w:val="both"/>
      </w:pPr>
      <w:r>
        <w:t>What is never transmitted: no respondent answer, no response row, no ip_hash, no user_agent, no administrator personal data. No data subject's information leaves the platform boundary through this path.</w:t>
      </w:r>
    </w:p>
    <w:p>
      <w:pPr>
        <w:pStyle w:val="ListBullet"/>
        <w:spacing w:after="80"/>
        <w:ind w:left="403"/>
        <w:jc w:val="both"/>
      </w:pPr>
      <w:r>
        <w:t>Human-in-the-loop: the function is incapable of writing to the database. Its output returns to the client and must pass a human review screen before an administrator persists anything, so a model hallucination cannot silently enter an instrument.</w:t>
      </w:r>
    </w:p>
    <w:p>
      <w:pPr>
        <w:pStyle w:val="ListBullet"/>
        <w:spacing w:after="80"/>
        <w:ind w:left="403"/>
        <w:jc w:val="both"/>
      </w:pPr>
      <w:r>
        <w:t>Prompt constraint: the system prompt forbids inventing questions or options not present in the source, and the model is run at temperature 0.1 with enforced JSON output — appropriate for a task where fidelity to a validated instrument is the entire requirement.</w:t>
      </w:r>
    </w:p>
    <w:p>
      <w:r>
        <w:rPr>
          <w:b w:val="0"/>
          <w:i w:val="0"/>
        </w:rPr>
        <w:t>Even so, transmitting licensed instrument text to a commercial API is a processing decision that belongs in the ethics submission rather than in an engineer's judgement, and R-7 recommends that the data-processing terms of the selected provider be recorded and that the feature be disabled for any instrument whose licence restricts third-party transmission.</w:t>
      </w:r>
    </w:p>
    <w:p>
      <w:pPr>
        <w:pStyle w:val="Heading2"/>
      </w:pPr>
      <w:r>
        <w:t>6.9 Client-side persistence and the shared-device problem</w:t>
      </w:r>
    </w:p>
    <w:p>
      <w:r>
        <w:rPr>
          <w:b w:val="0"/>
          <w:i w:val="0"/>
        </w:rPr>
        <w:t>Partially completed questionnaires are saved to browser localStorage, keyed per survey, so that a respondent interrupted mid-instrument does not lose their progress. The design rationale recorded in the source is itself a privacy argument: a server-side draft would require an account to key it to, and demanding an account in order to save a half-finished well-being questionnaire would be precisely the wrong trade. Drafts therefore never leave the device.</w:t>
      </w:r>
    </w:p>
    <w:p>
      <w:r>
        <w:rPr>
          <w:b w:val="0"/>
          <w:i w:val="0"/>
        </w:rPr>
        <w:t>The residual exposure is the shared or family device: a subsequent user of the same browser profile could resume and read a prior respondent's partial answers. Three mitigations are present — drafts and submission records expire after thirty days, the storage is origin-scoped and inaccessible to other sites, and the draft is cleared on successful submission. The residual risk is disclosed in §9.2 and R-5 proposes an explicit “clear my answers from this device” control, which is a small change with a meaningful effect in a household setting.</w:t>
      </w:r>
    </w:p>
    <w:p>
      <w:pPr>
        <w:pStyle w:val="Heading2"/>
      </w:pPr>
      <w:r>
        <w:t>6.10 Export controls and analytic egress</w:t>
      </w:r>
    </w:p>
    <w:p>
      <w:r>
        <w:rPr>
          <w:b w:val="0"/>
          <w:i w:val="0"/>
        </w:rPr>
        <w:t>Export to Excel is available only to an authenticated super_admin, and the exported row is constructed client-side from data the caller was already authorised to read; RLS remains the binding control. The exported shape is materially narrower than the stored row: it carries the submission timestamp, the language, and the answer values, and it carries neither ip_hash nor user_agent. Verification of the client codebase confirms that no module reads either column — they exist solely for server-side abuse control and diagnostics and never reach an interface or a file. This is a meaningful control and not merely an omission: the two most re-identifying attributes in the corpus are structurally excluded from the artefact most likely to be copied onto a laptop, e-mailed to a co-investigator, or retained after the study closes.</w:t>
      </w:r>
    </w:p>
    <w:p>
      <w:r>
        <w:br w:type="page"/>
      </w:r>
    </w:p>
    <w:p>
      <w:pPr>
        <w:pStyle w:val="Heading1"/>
      </w:pPr>
      <w:r>
        <w:t>7. Instrument Governance and the Ethics of Measurement</w:t>
      </w:r>
    </w:p>
    <w:p>
      <w:pPr>
        <w:pStyle w:val="Heading2"/>
      </w:pPr>
      <w:r>
        <w:t>7.1 The instrument library</w:t>
      </w:r>
    </w:p>
    <w:p>
      <w:r>
        <w:rPr>
          <w:b w:val="0"/>
          <w:i w:val="0"/>
        </w:rPr>
        <w:t>The platform encodes validated self-report instruments supplied as source PDFs. Each item becomes a survey question, and scaled items are modelled as multiple-choice questions whose options are the instrument's own response anchors rather than a generic agreement scale — so that the psychometric properties established in the validation literature are preserved rather than approximated.</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736"/>
            <w:shd w:val="clear" w:color="auto" w:fill="122A54"/>
          </w:tcPr>
          <w:p>
            <w:pPr>
              <w:jc w:val="left"/>
            </w:pPr>
            <w:r/>
            <w:r>
              <w:rPr>
                <w:b/>
                <w:color w:val="FFFFFF"/>
                <w:sz w:val="18"/>
              </w:rPr>
              <w:t>Instrument</w:t>
            </w:r>
          </w:p>
        </w:tc>
        <w:tc>
          <w:tcPr>
            <w:tcW w:type="dxa" w:w="1080"/>
            <w:shd w:val="clear" w:color="auto" w:fill="122A54"/>
          </w:tcPr>
          <w:p>
            <w:pPr>
              <w:jc w:val="left"/>
            </w:pPr>
            <w:r/>
            <w:r>
              <w:rPr>
                <w:b/>
                <w:color w:val="FFFFFF"/>
                <w:sz w:val="18"/>
              </w:rPr>
              <w:t>Items</w:t>
            </w:r>
          </w:p>
        </w:tc>
        <w:tc>
          <w:tcPr>
            <w:tcW w:type="dxa" w:w="3744"/>
            <w:shd w:val="clear" w:color="auto" w:fill="122A54"/>
          </w:tcPr>
          <w:p>
            <w:pPr>
              <w:jc w:val="left"/>
            </w:pPr>
            <w:r/>
            <w:r>
              <w:rPr>
                <w:b/>
                <w:color w:val="FFFFFF"/>
                <w:sz w:val="18"/>
              </w:rPr>
              <w:t>Construct measured</w:t>
            </w:r>
          </w:p>
        </w:tc>
        <w:tc>
          <w:tcPr>
            <w:tcW w:type="dxa" w:w="2880"/>
            <w:shd w:val="clear" w:color="auto" w:fill="122A54"/>
          </w:tcPr>
          <w:p>
            <w:pPr>
              <w:jc w:val="left"/>
            </w:pPr>
            <w:r/>
            <w:r>
              <w:rPr>
                <w:b/>
                <w:color w:val="FFFFFF"/>
                <w:sz w:val="18"/>
              </w:rPr>
              <w:t>Primary source</w:t>
            </w:r>
          </w:p>
        </w:tc>
      </w:tr>
      <w:tr>
        <w:tc>
          <w:tcPr>
            <w:tcW w:type="dxa" w:w="2736"/>
          </w:tcPr>
          <w:p>
            <w:pPr>
              <w:spacing w:after="40"/>
              <w:jc w:val="left"/>
            </w:pPr>
            <w:r/>
            <w:r>
              <w:rPr>
                <w:sz w:val="18"/>
              </w:rPr>
              <w:t>Interpersonal Reactivity Index (IRI)</w:t>
            </w:r>
          </w:p>
        </w:tc>
        <w:tc>
          <w:tcPr>
            <w:tcW w:type="dxa" w:w="1080"/>
          </w:tcPr>
          <w:p>
            <w:pPr>
              <w:spacing w:after="40"/>
              <w:jc w:val="left"/>
            </w:pPr>
            <w:r/>
            <w:r>
              <w:rPr>
                <w:sz w:val="18"/>
              </w:rPr>
              <w:t>28</w:t>
            </w:r>
          </w:p>
        </w:tc>
        <w:tc>
          <w:tcPr>
            <w:tcW w:type="dxa" w:w="3744"/>
          </w:tcPr>
          <w:p>
            <w:pPr>
              <w:spacing w:after="40"/>
              <w:jc w:val="left"/>
            </w:pPr>
            <w:r/>
            <w:r>
              <w:rPr>
                <w:sz w:val="18"/>
              </w:rPr>
              <w:t>Multidimensional empathy: perspective-taking, fantasy, empathic concern, personal distress.</w:t>
            </w:r>
          </w:p>
        </w:tc>
        <w:tc>
          <w:tcPr>
            <w:tcW w:type="dxa" w:w="2880"/>
          </w:tcPr>
          <w:p>
            <w:pPr>
              <w:spacing w:after="40"/>
              <w:jc w:val="left"/>
            </w:pPr>
            <w:r/>
            <w:r>
              <w:rPr>
                <w:sz w:val="18"/>
              </w:rPr>
              <w:t>Davis (1980); Davis (1983); profiled in Keaton (2017)</w:t>
            </w:r>
          </w:p>
        </w:tc>
      </w:tr>
      <w:tr>
        <w:tc>
          <w:tcPr>
            <w:tcW w:type="dxa" w:w="2736"/>
          </w:tcPr>
          <w:p>
            <w:pPr>
              <w:spacing w:after="40"/>
              <w:jc w:val="left"/>
            </w:pPr>
            <w:r/>
            <w:r>
              <w:rPr>
                <w:sz w:val="18"/>
              </w:rPr>
              <w:t>Compulsive Internet Use Scale (CIUS)</w:t>
            </w:r>
          </w:p>
        </w:tc>
        <w:tc>
          <w:tcPr>
            <w:tcW w:type="dxa" w:w="1080"/>
          </w:tcPr>
          <w:p>
            <w:pPr>
              <w:spacing w:after="40"/>
              <w:jc w:val="left"/>
            </w:pPr>
            <w:r/>
            <w:r>
              <w:rPr>
                <w:sz w:val="18"/>
              </w:rPr>
              <w:t>14</w:t>
            </w:r>
          </w:p>
        </w:tc>
        <w:tc>
          <w:tcPr>
            <w:tcW w:type="dxa" w:w="3744"/>
          </w:tcPr>
          <w:p>
            <w:pPr>
              <w:spacing w:after="40"/>
              <w:jc w:val="left"/>
            </w:pPr>
            <w:r/>
            <w:r>
              <w:rPr>
                <w:sz w:val="18"/>
              </w:rPr>
              <w:t>Loss of control, preoccupation, withdrawal, coping and conflict in private internet use.</w:t>
            </w:r>
          </w:p>
        </w:tc>
        <w:tc>
          <w:tcPr>
            <w:tcW w:type="dxa" w:w="2880"/>
          </w:tcPr>
          <w:p>
            <w:pPr>
              <w:spacing w:after="40"/>
              <w:jc w:val="left"/>
            </w:pPr>
            <w:r/>
            <w:r>
              <w:rPr>
                <w:sz w:val="18"/>
              </w:rPr>
              <w:t>Meerkerk, Van den Eijnden, Vermulst &amp; Garretsen (2009)</w:t>
            </w:r>
          </w:p>
        </w:tc>
      </w:tr>
      <w:tr>
        <w:tc>
          <w:tcPr>
            <w:tcW w:type="dxa" w:w="2736"/>
          </w:tcPr>
          <w:p>
            <w:pPr>
              <w:spacing w:after="40"/>
              <w:jc w:val="left"/>
            </w:pPr>
            <w:r/>
            <w:r>
              <w:rPr>
                <w:sz w:val="18"/>
              </w:rPr>
              <w:t>Personality Inventory for DSM-5 — Brief Form (PID-5-BF)</w:t>
            </w:r>
          </w:p>
        </w:tc>
        <w:tc>
          <w:tcPr>
            <w:tcW w:type="dxa" w:w="1080"/>
          </w:tcPr>
          <w:p>
            <w:pPr>
              <w:spacing w:after="40"/>
              <w:jc w:val="left"/>
            </w:pPr>
            <w:r/>
            <w:r>
              <w:rPr>
                <w:sz w:val="18"/>
              </w:rPr>
              <w:t>25</w:t>
            </w:r>
          </w:p>
        </w:tc>
        <w:tc>
          <w:tcPr>
            <w:tcW w:type="dxa" w:w="3744"/>
          </w:tcPr>
          <w:p>
            <w:pPr>
              <w:spacing w:after="40"/>
              <w:jc w:val="left"/>
            </w:pPr>
            <w:r/>
            <w:r>
              <w:rPr>
                <w:sz w:val="18"/>
              </w:rPr>
              <w:t>Negative affect, detachment, antagonism, disinhibition, psychoticism.</w:t>
            </w:r>
          </w:p>
        </w:tc>
        <w:tc>
          <w:tcPr>
            <w:tcW w:type="dxa" w:w="2880"/>
          </w:tcPr>
          <w:p>
            <w:pPr>
              <w:spacing w:after="40"/>
              <w:jc w:val="left"/>
            </w:pPr>
            <w:r/>
            <w:r>
              <w:rPr>
                <w:sz w:val="18"/>
              </w:rPr>
              <w:t>Krueger, Derringer, Markon, Watson &amp; Skodol; © 2013 American Psychiatric Association</w:t>
            </w:r>
          </w:p>
        </w:tc>
      </w:tr>
      <w:tr>
        <w:tc>
          <w:tcPr>
            <w:tcW w:type="dxa" w:w="2736"/>
          </w:tcPr>
          <w:p>
            <w:pPr>
              <w:spacing w:after="40"/>
              <w:jc w:val="left"/>
            </w:pPr>
            <w:r/>
            <w:r>
              <w:rPr>
                <w:sz w:val="18"/>
              </w:rPr>
              <w:t>WHO Well-Being Index (WHO-5)</w:t>
            </w:r>
          </w:p>
        </w:tc>
        <w:tc>
          <w:tcPr>
            <w:tcW w:type="dxa" w:w="1080"/>
          </w:tcPr>
          <w:p>
            <w:pPr>
              <w:spacing w:after="40"/>
              <w:jc w:val="left"/>
            </w:pPr>
            <w:r/>
            <w:r>
              <w:rPr>
                <w:sz w:val="18"/>
              </w:rPr>
              <w:t>5</w:t>
            </w:r>
          </w:p>
        </w:tc>
        <w:tc>
          <w:tcPr>
            <w:tcW w:type="dxa" w:w="3744"/>
          </w:tcPr>
          <w:p>
            <w:pPr>
              <w:spacing w:after="40"/>
              <w:jc w:val="left"/>
            </w:pPr>
            <w:r/>
            <w:r>
              <w:rPr>
                <w:sz w:val="18"/>
              </w:rPr>
              <w:t>Subjective psychological well-being over the preceding two weeks.</w:t>
            </w:r>
          </w:p>
        </w:tc>
        <w:tc>
          <w:tcPr>
            <w:tcW w:type="dxa" w:w="2880"/>
          </w:tcPr>
          <w:p>
            <w:pPr>
              <w:spacing w:after="40"/>
              <w:jc w:val="left"/>
            </w:pPr>
            <w:r/>
            <w:r>
              <w:rPr>
                <w:sz w:val="18"/>
              </w:rPr>
              <w:t>World Health Organization; SUPRE-MISS §9</w:t>
            </w:r>
          </w:p>
        </w:tc>
      </w:tr>
      <w:tr>
        <w:tc>
          <w:tcPr>
            <w:tcW w:type="dxa" w:w="2736"/>
          </w:tcPr>
          <w:p>
            <w:pPr>
              <w:spacing w:after="40"/>
              <w:jc w:val="left"/>
            </w:pPr>
            <w:r/>
            <w:r>
              <w:rPr>
                <w:sz w:val="18"/>
              </w:rPr>
              <w:t>Beck Depression Inventory (BDI)</w:t>
            </w:r>
          </w:p>
        </w:tc>
        <w:tc>
          <w:tcPr>
            <w:tcW w:type="dxa" w:w="1080"/>
          </w:tcPr>
          <w:p>
            <w:pPr>
              <w:spacing w:after="40"/>
              <w:jc w:val="left"/>
            </w:pPr>
            <w:r/>
            <w:r>
              <w:rPr>
                <w:sz w:val="18"/>
              </w:rPr>
              <w:t>21 groups</w:t>
            </w:r>
          </w:p>
        </w:tc>
        <w:tc>
          <w:tcPr>
            <w:tcW w:type="dxa" w:w="3744"/>
          </w:tcPr>
          <w:p>
            <w:pPr>
              <w:spacing w:after="40"/>
              <w:jc w:val="left"/>
            </w:pPr>
            <w:r/>
            <w:r>
              <w:rPr>
                <w:sz w:val="18"/>
              </w:rPr>
              <w:t>Depressive symptom severity at the present time.</w:t>
            </w:r>
          </w:p>
        </w:tc>
        <w:tc>
          <w:tcPr>
            <w:tcW w:type="dxa" w:w="2880"/>
          </w:tcPr>
          <w:p>
            <w:pPr>
              <w:spacing w:after="40"/>
              <w:jc w:val="left"/>
            </w:pPr>
            <w:r/>
            <w:r>
              <w:rPr>
                <w:sz w:val="18"/>
              </w:rPr>
              <w:t>Beck et al.; as reproduced in WHO SUPRE-MISS §10</w:t>
            </w:r>
          </w:p>
        </w:tc>
      </w:tr>
      <w:tr>
        <w:tc>
          <w:tcPr>
            <w:tcW w:type="dxa" w:w="2736"/>
          </w:tcPr>
          <w:p>
            <w:pPr>
              <w:spacing w:after="40"/>
              <w:jc w:val="left"/>
            </w:pPr>
            <w:r/>
            <w:r>
              <w:rPr>
                <w:sz w:val="18"/>
              </w:rPr>
              <w:t>Hopelessness (single item)</w:t>
            </w:r>
          </w:p>
        </w:tc>
        <w:tc>
          <w:tcPr>
            <w:tcW w:type="dxa" w:w="1080"/>
          </w:tcPr>
          <w:p>
            <w:pPr>
              <w:spacing w:after="40"/>
              <w:jc w:val="left"/>
            </w:pPr>
            <w:r/>
            <w:r>
              <w:rPr>
                <w:sz w:val="18"/>
              </w:rPr>
              <w:t>1</w:t>
            </w:r>
          </w:p>
        </w:tc>
        <w:tc>
          <w:tcPr>
            <w:tcW w:type="dxa" w:w="3744"/>
          </w:tcPr>
          <w:p>
            <w:pPr>
              <w:spacing w:after="40"/>
              <w:jc w:val="left"/>
            </w:pPr>
            <w:r/>
            <w:r>
              <w:rPr>
                <w:sz w:val="18"/>
              </w:rPr>
              <w:t>Outlook on the future (true/false).</w:t>
            </w:r>
          </w:p>
        </w:tc>
        <w:tc>
          <w:tcPr>
            <w:tcW w:type="dxa" w:w="2880"/>
          </w:tcPr>
          <w:p>
            <w:pPr>
              <w:spacing w:after="40"/>
              <w:jc w:val="left"/>
            </w:pPr>
            <w:r/>
            <w:r>
              <w:rPr>
                <w:sz w:val="18"/>
              </w:rPr>
              <w:t>WHO SUPRE-MISS §11</w:t>
            </w:r>
          </w:p>
        </w:tc>
      </w:tr>
      <w:tr>
        <w:tc>
          <w:tcPr>
            <w:tcW w:type="dxa" w:w="2736"/>
          </w:tcPr>
          <w:p>
            <w:pPr>
              <w:spacing w:after="40"/>
              <w:jc w:val="left"/>
            </w:pPr>
            <w:r/>
            <w:r>
              <w:rPr>
                <w:sz w:val="18"/>
              </w:rPr>
              <w:t>Trait Anger Scale</w:t>
            </w:r>
          </w:p>
        </w:tc>
        <w:tc>
          <w:tcPr>
            <w:tcW w:type="dxa" w:w="1080"/>
          </w:tcPr>
          <w:p>
            <w:pPr>
              <w:spacing w:after="40"/>
              <w:jc w:val="left"/>
            </w:pPr>
            <w:r/>
            <w:r>
              <w:rPr>
                <w:sz w:val="18"/>
              </w:rPr>
              <w:t>10</w:t>
            </w:r>
          </w:p>
        </w:tc>
        <w:tc>
          <w:tcPr>
            <w:tcW w:type="dxa" w:w="3744"/>
          </w:tcPr>
          <w:p>
            <w:pPr>
              <w:spacing w:after="40"/>
              <w:jc w:val="left"/>
            </w:pPr>
            <w:r/>
            <w:r>
              <w:rPr>
                <w:sz w:val="18"/>
              </w:rPr>
              <w:t>Dispositional anger.</w:t>
            </w:r>
          </w:p>
        </w:tc>
        <w:tc>
          <w:tcPr>
            <w:tcW w:type="dxa" w:w="2880"/>
          </w:tcPr>
          <w:p>
            <w:pPr>
              <w:spacing w:after="40"/>
              <w:jc w:val="left"/>
            </w:pPr>
            <w:r/>
            <w:r>
              <w:rPr>
                <w:sz w:val="18"/>
              </w:rPr>
              <w:t>Spielberger; as reproduced in WHO SUPRE-MISS §12</w:t>
            </w:r>
          </w:p>
        </w:tc>
      </w:tr>
      <w:tr>
        <w:tc>
          <w:tcPr>
            <w:tcW w:type="dxa" w:w="2736"/>
          </w:tcPr>
          <w:p>
            <w:pPr>
              <w:spacing w:after="40"/>
              <w:jc w:val="left"/>
            </w:pPr>
            <w:r/>
            <w:r>
              <w:rPr>
                <w:sz w:val="18"/>
              </w:rPr>
              <w:t>Impulsiveness Scale (optional)</w:t>
            </w:r>
          </w:p>
        </w:tc>
        <w:tc>
          <w:tcPr>
            <w:tcW w:type="dxa" w:w="1080"/>
          </w:tcPr>
          <w:p>
            <w:pPr>
              <w:spacing w:after="40"/>
              <w:jc w:val="left"/>
            </w:pPr>
            <w:r/>
            <w:r>
              <w:rPr>
                <w:sz w:val="18"/>
              </w:rPr>
              <w:t>24</w:t>
            </w:r>
          </w:p>
        </w:tc>
        <w:tc>
          <w:tcPr>
            <w:tcW w:type="dxa" w:w="3744"/>
          </w:tcPr>
          <w:p>
            <w:pPr>
              <w:spacing w:after="40"/>
              <w:jc w:val="left"/>
            </w:pPr>
            <w:r/>
            <w:r>
              <w:rPr>
                <w:sz w:val="18"/>
              </w:rPr>
              <w:t>Dispositional impulsiveness (yes/no).</w:t>
            </w:r>
          </w:p>
        </w:tc>
        <w:tc>
          <w:tcPr>
            <w:tcW w:type="dxa" w:w="2880"/>
          </w:tcPr>
          <w:p>
            <w:pPr>
              <w:spacing w:after="40"/>
              <w:jc w:val="left"/>
            </w:pPr>
            <w:r/>
            <w:r>
              <w:rPr>
                <w:sz w:val="18"/>
              </w:rPr>
              <w:t>Eysenck &amp; Eysenck (1978); SUPRE-MISS Annex 5</w:t>
            </w:r>
          </w:p>
        </w:tc>
      </w:tr>
    </w:tbl>
    <w:p>
      <w:pPr>
        <w:spacing w:after="0"/>
      </w:pPr>
    </w:p>
    <w:p>
      <w:pPr>
        <w:spacing w:after="240"/>
        <w:jc w:val="left"/>
      </w:pPr>
      <w:r>
        <w:rPr>
          <w:i/>
          <w:color w:val="555F6D"/>
          <w:sz w:val="18"/>
        </w:rPr>
        <w:t>Table 7.1 — Encoded instrument library and source attribution.</w:t>
      </w:r>
    </w:p>
    <w:p>
      <w:pPr>
        <w:pStyle w:val="Heading2"/>
      </w:pPr>
      <w:r>
        <w:t>7.2 Fidelity of reproduction</w:t>
      </w:r>
    </w:p>
    <w:p>
      <w:r>
        <w:rPr>
          <w:b w:val="0"/>
          <w:i w:val="0"/>
        </w:rPr>
        <w:t>Three fidelity requirements are honoured in the encoding. Response anchors are reproduced verbatim, so the IRI is answered on its own 0–4 “Does not describe me well → Describes me very well” continuum and the CIUS on its Never/Seldom/Sometimes/Often/Very often frequency scale, rather than both being flattened into a shared five-point agreement scale. Subscale labels are not shown to respondents: Davis's administration note is explicit that labels should be removed and items randomly ordered before administration, precisely because a visible “Personal Distress” heading cues the construct and inflates response consistency. Reverse-scored items are carried in the item metadata rather than being silently normalised, so that scoring remains auditable against the published key.</w:t>
      </w:r>
    </w:p>
    <w:p>
      <w:pPr>
        <w:pStyle w:val="Heading2"/>
      </w:pPr>
      <w:r>
        <w:t>7.3 Translation and linguistic ethics</w:t>
      </w:r>
    </w:p>
    <w:p>
      <w:r>
        <w:rPr>
          <w:b w:val="0"/>
          <w:i w:val="0"/>
        </w:rPr>
        <w:t>Every interface string and every response anchor is bilingual (English and Telugu). Item prompts carry Telugu where a responsible translation exists and fall back to English otherwise; in the combined display mode the platform shows English alone rather than fabricating clinical Telugu. This restraint is an ethical position, not a gap in the work. A mistranslated clinical item does not merely inconvenience a respondent — it silently measures a different construct, and the resulting scores are invalid in a way that no downstream statistic can detect. The cross-cultural validation literature for these instruments (for the IRI, the Spanish, French, German and Chinese adaptations; for the CIUS, its Dutch origin) consistently shows that translation requires formal forward–backward procedures and revalidation. R-8 accordingly recommends that any Telugu instrument text used for scored analysis be certified through a documented forward–backward translation and pilot, and that the language field already stored on each response be used to test measurement invariance across the two language groups before pooling them.</w:t>
      </w:r>
    </w:p>
    <w:p>
      <w:pPr>
        <w:pStyle w:val="Heading2"/>
      </w:pPr>
      <w:r>
        <w:t>7.4 Screening is not diagnosis</w:t>
      </w:r>
    </w:p>
    <w:p>
      <w:r>
        <w:rPr>
          <w:b w:val="0"/>
          <w:i w:val="0"/>
        </w:rPr>
        <w:t>None of the encoded instruments is a diagnostic tool, and several carry that limitation explicitly in their own documentation — the APA's guidance on the PID-5 states that it is offered for research and clinical evaluation and is not to be the sole basis for a clinical diagnosis. The platform must not, and does not, return an individual score, risk band, or interpretive statement to a respondent. Reporting is aggregate. The ethical hazard being avoided is concrete: an automated “you appear to be depressed” message delivered to an anonymous respondent with no clinician attached, no history, and no follow-up is capable of causing harm and is incapable of providing care.</w:t>
      </w:r>
    </w:p>
    <w:p>
      <w:pPr>
        <w:pStyle w:val="Heading2"/>
      </w:pPr>
      <w:r>
        <w:t>7.5 Suicidality items and the duty of care</w:t>
      </w:r>
    </w:p>
    <w:p>
      <w:r>
        <w:rPr>
          <w:b w:val="0"/>
          <w:i w:val="0"/>
        </w:rPr>
        <w:t>The most serious ethical tension in the entire design arises here, and it should be stated plainly rather than smoothed over. Where SUPRE-MISS or BDI modules are deployed, a respondent may disclose suicidal ideation. The platform's anonymity — its central protection — makes clinical follow-up of that individual structurally impossible. The system cannot know who disclosed, and so cannot reach them.</w:t>
      </w:r>
    </w:p>
    <w:p>
      <w:r>
        <w:rPr>
          <w:b w:val="0"/>
          <w:i w:val="0"/>
        </w:rPr>
        <w:t>This is not an argument for abandoning anonymity; identified collection in an employer-police setting would suppress precisely the disclosures that matter most, and would likely produce a dataset in which the at-risk population appears not to exist. It is, rather, an argument that anonymity obliges a compensating control. The WHO SUPRE-MISS protocol itself pairs its instruments with a brief intervention and an explicit local-resources annex, and its guidance requires up-to-date contact details for crisis lines, prevention centres and health professionals to be supplied alongside administration.</w:t>
      </w:r>
    </w:p>
    <w:p>
      <w:r>
        <w:rPr>
          <w:b w:val="0"/>
          <w:i w:val="0"/>
        </w:rPr>
        <w:t>R-2 is therefore the highest-priority recommendation in this document: before any module containing suicidality or severe-distress items is published, the instrument must display unconditional, always-visible crisis resources — the national Tele-MANAS helpline (14416), the KIRAN helpline (1800-599-0019), and the department's own counselling contact — presented to every respondent regardless of their answers, so that seeking help requires no disclosure and triggers no inference. Universal presentation is essential: a resource panel that appears only after a high-risk answer is itself a disclosure signal to anyone who can see the respondent's screen.</w:t>
      </w:r>
    </w:p>
    <w:p>
      <w:pPr>
        <w:pStyle w:val="Heading2"/>
      </w:pPr>
      <w:r>
        <w:t>7.6 Copyright and licensing</w:t>
      </w:r>
    </w:p>
    <w:p>
      <w:r>
        <w:rPr>
          <w:b w:val="0"/>
          <w:i w:val="0"/>
        </w:rPr>
        <w:t>Licensing status differs by instrument and must be documented for the ethics submission. The IRI is stated by its author to be free for research use; the PID-5 and PID-5-BF may be reproduced without permission by researchers and clinicians for use with their patients under the APA's terms, with other uses requiring permission; the WHO SUPRE-MISS material may be freely reproduced for non-commercial purposes; the CIUS is published in the peer-reviewed literature and its use should be confirmed with the authors. The BDI in its current commercial editions is a licensed instrument, and the version reproduced within SUPRE-MISS should not be assumed to carry a general licence for the current edition. R-9 records that written permission status be established and filed per instrument before publication of results.</w:t>
      </w:r>
    </w:p>
    <w:p>
      <w:r>
        <w:br w:type="page"/>
      </w:r>
    </w:p>
    <w:p>
      <w:pPr>
        <w:pStyle w:val="Heading1"/>
      </w:pPr>
      <w:r>
        <w:t>8. Informed Consent and Participant Autonomy</w:t>
      </w:r>
    </w:p>
    <w:p>
      <w:pPr>
        <w:pStyle w:val="Heading2"/>
      </w:pPr>
      <w:r>
        <w:t>8.1 Consent in the flow</w:t>
      </w:r>
    </w:p>
    <w:p>
      <w:r>
        <w:rPr>
          <w:b w:val="0"/>
          <w:i w:val="0"/>
        </w:rPr>
        <w:t>The guided assessment proceeds through explicit stages — welcome, consent, instructions, questions, review, completion — and the consent stage is a gate rather than a notice. No instrument item is rendered until the respondent affirmatively agrees; the agreement is a distinct action, not a pre-ticked box, and not an inference from continued use. This satisfies the unambiguous-indication requirement of DPDP §6(1) and GDPR Article 4(11).</w:t>
      </w:r>
    </w:p>
    <w:p>
      <w:pPr>
        <w:pStyle w:val="Heading2"/>
      </w:pPr>
      <w:r>
        <w:t>8.2 The disclosures made</w:t>
      </w:r>
    </w:p>
    <w:p>
      <w:r>
        <w:rPr>
          <w:b w:val="0"/>
          <w:i w:val="0"/>
        </w:rPr>
        <w:t>Four statements are presented, in English and Telugu, before the gate:</w:t>
      </w:r>
    </w:p>
    <w:p>
      <w:pPr>
        <w:pStyle w:val="ListBullet"/>
        <w:spacing w:after="80"/>
        <w:ind w:left="403"/>
        <w:jc w:val="both"/>
      </w:pPr>
      <w:r>
        <w:t>“Taking part is completely voluntary. You may stop at any time.” — voluntariness and the right to withdraw during participation.</w:t>
      </w:r>
    </w:p>
    <w:p>
      <w:pPr>
        <w:pStyle w:val="ListBullet"/>
        <w:spacing w:after="80"/>
        <w:ind w:left="403"/>
        <w:jc w:val="both"/>
      </w:pPr>
      <w:r>
        <w:t>“Your answers are confidential and stored securely.” — the confidentiality undertaking.</w:t>
      </w:r>
    </w:p>
    <w:p>
      <w:pPr>
        <w:pStyle w:val="ListBullet"/>
        <w:spacing w:after="80"/>
        <w:ind w:left="403"/>
        <w:jc w:val="both"/>
      </w:pPr>
      <w:r>
        <w:t>“Answers are used only for well-being research and support programmes.” — purpose limitation.</w:t>
      </w:r>
    </w:p>
    <w:p>
      <w:pPr>
        <w:pStyle w:val="ListBullet"/>
        <w:spacing w:after="80"/>
        <w:ind w:left="403"/>
        <w:jc w:val="both"/>
      </w:pPr>
      <w:r>
        <w:t>“There are no right or wrong answers. Nothing you say will be judged.” — a psychological-safety assurance that materially affects response honesty in a hierarchical setting.</w:t>
      </w:r>
    </w:p>
    <w:p>
      <w:r>
        <w:rPr>
          <w:b w:val="0"/>
          <w:i w:val="0"/>
        </w:rPr>
        <w:t>Supporting copy elsewhere in the flow reinforces that no login and no personal details are required, and the share message that travels with the link carries the same assurance, so that the confidentiality claim reaches the respondent before they decide whether to open the link at all.</w:t>
      </w:r>
    </w:p>
    <w:p>
      <w:pPr>
        <w:pStyle w:val="Heading2"/>
      </w:pPr>
      <w:r>
        <w:t>8.3 The withdrawal paradox, stated honestly</w:t>
      </w:r>
    </w:p>
    <w:p>
      <w:r>
        <w:rPr>
          <w:b w:val="0"/>
          <w:i w:val="0"/>
        </w:rPr>
        <w:t>Before submission, withdrawal is complete and costless: the respondent closes the browser and no record exists. After submission, withdrawal is impossible — not because the platform refuses, but because it cannot identify which of the anonymous rows belongs to the requester. The very property that protects the respondent forecloses their erasure right.</w:t>
      </w:r>
    </w:p>
    <w:p>
      <w:r>
        <w:rPr>
          <w:b w:val="0"/>
          <w:i w:val="0"/>
        </w:rPr>
        <w:t>This is a legitimate and well-recognised consequence of anonymous research design, but it is material information that a person needs in order to consent meaningfully, and the present consent text does not state it. R-3 requires the addition of an explicit line — in both languages — to the effect that once answers are submitted they cannot be traced back or removed, because no record of who sent them is kept. Framed that way the limitation is not a caveat but a restatement of the guarantee, and respondents are entitled to weigh it before they answer.</w:t>
      </w:r>
    </w:p>
    <w:p>
      <w:pPr>
        <w:pStyle w:val="Heading2"/>
      </w:pPr>
      <w:r>
        <w:t>8.4 Comprehension, accessibility and the low-literacy respondent</w:t>
      </w:r>
    </w:p>
    <w:p>
      <w:r>
        <w:rPr>
          <w:b w:val="0"/>
          <w:i w:val="0"/>
        </w:rPr>
        <w:t>Consent that is not understood is not consent. Four affordances address comprehension. The copy is plain-language and short, avoiding both legal and clinical register. Delivery is fully bilingual, including a combined mode that shows both languages together. Voice input is available for open-response items, so a respondent who reads with difficulty is not excluded from the parts of the instrument that require expression rather than selection. Pacing is unhurried, and the time estimate deliberately runs long rather than short, on the reasoning that an estimate which under-promises makes a questionnaire feel as though it is lengthening as the respondent works through it — a small design decision with a real effect on completion under stress.</w:t>
      </w:r>
    </w:p>
    <w:p>
      <w:pPr>
        <w:pStyle w:val="Heading2"/>
      </w:pPr>
      <w:r>
        <w:t>8.5 Divergence from full ICMR consent elements</w:t>
      </w:r>
    </w:p>
    <w:p>
      <w:r>
        <w:rPr>
          <w:b w:val="0"/>
          <w:i w:val="0"/>
        </w:rPr>
        <w:t>The four disclosures cover voluntariness, confidentiality, purpose and non-judgement. A complete ICMR-conformant consent document would additionally identify the sponsoring investigator and institution, name the ethics committee that approved the study and give a contact for questions or complaints, state the retention period, state the post-submission irreversibility described above, and — where relevant — supply crisis resources. R-6 recommends extending the consent screen accordingly. The extension is a content change to bilingual copy, not an architectural one, and it materially improves the platform's standing before an ethics committee.</w:t>
      </w:r>
    </w:p>
    <w:p>
      <w:r>
        <w:br w:type="page"/>
      </w:r>
    </w:p>
    <w:p>
      <w:pPr>
        <w:pStyle w:val="Heading1"/>
      </w:pPr>
      <w:r>
        <w:t>9. Re-identification Risk Assessment</w:t>
      </w:r>
    </w:p>
    <w:p>
      <w:pPr>
        <w:pStyle w:val="Heading2"/>
      </w:pPr>
      <w:r>
        <w:t>9.1 Threat model</w:t>
      </w:r>
    </w:p>
    <w:p>
      <w:r>
        <w:rPr>
          <w:b w:val="0"/>
          <w:i w:val="0"/>
        </w:rPr>
        <w:t>Five adversaries are considered. The external unauthenticated attacker holds the publishable key and can query the API directly. The curious insider is an authenticated super_admin acting beyond their legitimate purpose. The platform operator is the hosting provider with infrastructure-level access. The network observer sits on the path between respondent and server. The device sharer is a family member or colleague with subsequent physical access to the respondent's browser.</w:t>
      </w:r>
    </w:p>
    <w:p>
      <w:pPr>
        <w:pStyle w:val="Heading2"/>
      </w:pPr>
      <w:r>
        <w:t>9.2 Risk register</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504"/>
            <w:shd w:val="clear" w:color="auto" w:fill="122A54"/>
          </w:tcPr>
          <w:p>
            <w:pPr>
              <w:jc w:val="left"/>
            </w:pPr>
            <w:r/>
            <w:r>
              <w:rPr>
                <w:b/>
                <w:color w:val="FFFFFF"/>
                <w:sz w:val="17"/>
              </w:rPr>
              <w:t>#</w:t>
            </w:r>
          </w:p>
        </w:tc>
        <w:tc>
          <w:tcPr>
            <w:tcW w:type="dxa" w:w="2520"/>
            <w:shd w:val="clear" w:color="auto" w:fill="122A54"/>
          </w:tcPr>
          <w:p>
            <w:pPr>
              <w:jc w:val="left"/>
            </w:pPr>
            <w:r/>
            <w:r>
              <w:rPr>
                <w:b/>
                <w:color w:val="FFFFFF"/>
                <w:sz w:val="17"/>
              </w:rPr>
              <w:t>Risk</w:t>
            </w:r>
          </w:p>
        </w:tc>
        <w:tc>
          <w:tcPr>
            <w:tcW w:type="dxa" w:w="1512"/>
            <w:shd w:val="clear" w:color="auto" w:fill="122A54"/>
          </w:tcPr>
          <w:p>
            <w:pPr>
              <w:jc w:val="left"/>
            </w:pPr>
            <w:r/>
            <w:r>
              <w:rPr>
                <w:b/>
                <w:color w:val="FFFFFF"/>
                <w:sz w:val="17"/>
              </w:rPr>
              <w:t>Adversary</w:t>
            </w:r>
          </w:p>
        </w:tc>
        <w:tc>
          <w:tcPr>
            <w:tcW w:type="dxa" w:w="1008"/>
            <w:shd w:val="clear" w:color="auto" w:fill="122A54"/>
          </w:tcPr>
          <w:p>
            <w:pPr>
              <w:jc w:val="left"/>
            </w:pPr>
            <w:r/>
            <w:r>
              <w:rPr>
                <w:b/>
                <w:color w:val="FFFFFF"/>
                <w:sz w:val="17"/>
              </w:rPr>
              <w:t>Inherent</w:t>
            </w:r>
          </w:p>
        </w:tc>
        <w:tc>
          <w:tcPr>
            <w:tcW w:type="dxa" w:w="3384"/>
            <w:shd w:val="clear" w:color="auto" w:fill="122A54"/>
          </w:tcPr>
          <w:p>
            <w:pPr>
              <w:jc w:val="left"/>
            </w:pPr>
            <w:r/>
            <w:r>
              <w:rPr>
                <w:b/>
                <w:color w:val="FFFFFF"/>
                <w:sz w:val="17"/>
              </w:rPr>
              <w:t>Control in place</w:t>
            </w:r>
          </w:p>
        </w:tc>
        <w:tc>
          <w:tcPr>
            <w:tcW w:type="dxa" w:w="1512"/>
            <w:shd w:val="clear" w:color="auto" w:fill="122A54"/>
          </w:tcPr>
          <w:p>
            <w:pPr>
              <w:jc w:val="left"/>
            </w:pPr>
            <w:r/>
            <w:r>
              <w:rPr>
                <w:b/>
                <w:color w:val="FFFFFF"/>
                <w:sz w:val="17"/>
              </w:rPr>
              <w:t>Residual</w:t>
            </w:r>
          </w:p>
        </w:tc>
      </w:tr>
      <w:tr>
        <w:tc>
          <w:tcPr>
            <w:tcW w:type="dxa" w:w="504"/>
          </w:tcPr>
          <w:p>
            <w:pPr>
              <w:spacing w:after="40"/>
              <w:jc w:val="left"/>
            </w:pPr>
            <w:r/>
            <w:r>
              <w:rPr>
                <w:sz w:val="17"/>
              </w:rPr>
              <w:t>R1</w:t>
            </w:r>
          </w:p>
        </w:tc>
        <w:tc>
          <w:tcPr>
            <w:tcW w:type="dxa" w:w="2520"/>
          </w:tcPr>
          <w:p>
            <w:pPr>
              <w:spacing w:after="40"/>
              <w:jc w:val="left"/>
            </w:pPr>
            <w:r/>
            <w:r>
              <w:rPr>
                <w:sz w:val="17"/>
              </w:rPr>
              <w:t>Direct read of response data via the public API key</w:t>
            </w:r>
          </w:p>
        </w:tc>
        <w:tc>
          <w:tcPr>
            <w:tcW w:type="dxa" w:w="1512"/>
          </w:tcPr>
          <w:p>
            <w:pPr>
              <w:spacing w:after="40"/>
              <w:jc w:val="left"/>
            </w:pPr>
            <w:r/>
            <w:r>
              <w:rPr>
                <w:sz w:val="17"/>
              </w:rPr>
              <w:t>External</w:t>
            </w:r>
          </w:p>
        </w:tc>
        <w:tc>
          <w:tcPr>
            <w:tcW w:type="dxa" w:w="1008"/>
          </w:tcPr>
          <w:p>
            <w:pPr>
              <w:spacing w:after="40"/>
              <w:jc w:val="left"/>
            </w:pPr>
            <w:r/>
            <w:r>
              <w:rPr>
                <w:sz w:val="17"/>
              </w:rPr>
              <w:t>High</w:t>
            </w:r>
          </w:p>
        </w:tc>
        <w:tc>
          <w:tcPr>
            <w:tcW w:type="dxa" w:w="3384"/>
          </w:tcPr>
          <w:p>
            <w:pPr>
              <w:spacing w:after="40"/>
              <w:jc w:val="left"/>
            </w:pPr>
            <w:r/>
            <w:r>
              <w:rPr>
                <w:sz w:val="17"/>
              </w:rPr>
              <w:t>RLS restricts SELECT on responses/answers to super_admin; anon receives an empty set.</w:t>
            </w:r>
          </w:p>
        </w:tc>
        <w:tc>
          <w:tcPr>
            <w:tcW w:type="dxa" w:w="1512"/>
          </w:tcPr>
          <w:p>
            <w:pPr>
              <w:spacing w:after="40"/>
              <w:jc w:val="left"/>
            </w:pPr>
            <w:r/>
            <w:r>
              <w:rPr>
                <w:sz w:val="17"/>
              </w:rPr>
              <w:t>Low</w:t>
            </w:r>
          </w:p>
        </w:tc>
      </w:tr>
      <w:tr>
        <w:tc>
          <w:tcPr>
            <w:tcW w:type="dxa" w:w="504"/>
          </w:tcPr>
          <w:p>
            <w:pPr>
              <w:spacing w:after="40"/>
              <w:jc w:val="left"/>
            </w:pPr>
            <w:r/>
            <w:r>
              <w:rPr>
                <w:sz w:val="17"/>
              </w:rPr>
              <w:t>R2</w:t>
            </w:r>
          </w:p>
        </w:tc>
        <w:tc>
          <w:tcPr>
            <w:tcW w:type="dxa" w:w="2520"/>
          </w:tcPr>
          <w:p>
            <w:pPr>
              <w:spacing w:after="40"/>
              <w:jc w:val="left"/>
            </w:pPr>
            <w:r/>
            <w:r>
              <w:rPr>
                <w:sz w:val="17"/>
              </w:rPr>
              <w:t>Reversal of ip_hash to recover respondent IP addresses</w:t>
            </w:r>
          </w:p>
        </w:tc>
        <w:tc>
          <w:tcPr>
            <w:tcW w:type="dxa" w:w="1512"/>
          </w:tcPr>
          <w:p>
            <w:pPr>
              <w:spacing w:after="40"/>
              <w:jc w:val="left"/>
            </w:pPr>
            <w:r/>
            <w:r>
              <w:rPr>
                <w:sz w:val="17"/>
              </w:rPr>
              <w:t>Insider / breach</w:t>
            </w:r>
          </w:p>
        </w:tc>
        <w:tc>
          <w:tcPr>
            <w:tcW w:type="dxa" w:w="1008"/>
          </w:tcPr>
          <w:p>
            <w:pPr>
              <w:spacing w:after="40"/>
              <w:jc w:val="left"/>
            </w:pPr>
            <w:r/>
            <w:r>
              <w:rPr>
                <w:sz w:val="17"/>
              </w:rPr>
              <w:t>Medium</w:t>
            </w:r>
          </w:p>
        </w:tc>
        <w:tc>
          <w:tcPr>
            <w:tcW w:type="dxa" w:w="3384"/>
          </w:tcPr>
          <w:p>
            <w:pPr>
              <w:spacing w:after="40"/>
              <w:jc w:val="left"/>
            </w:pPr>
            <w:r/>
            <w:r>
              <w:rPr>
                <w:sz w:val="17"/>
              </w:rPr>
              <w:t>SHA-256 digest stored in place of the address; ledger table unreachable by anon and authenticated.</w:t>
            </w:r>
          </w:p>
        </w:tc>
        <w:tc>
          <w:tcPr>
            <w:tcW w:type="dxa" w:w="1512"/>
          </w:tcPr>
          <w:p>
            <w:pPr>
              <w:spacing w:after="40"/>
              <w:jc w:val="left"/>
            </w:pPr>
            <w:r/>
            <w:r>
              <w:rPr>
                <w:sz w:val="17"/>
              </w:rPr>
              <w:t>Medium — unsalted digest is exhaustively invertible over IPv4 (R-1)</w:t>
            </w:r>
          </w:p>
        </w:tc>
      </w:tr>
      <w:tr>
        <w:tc>
          <w:tcPr>
            <w:tcW w:type="dxa" w:w="504"/>
          </w:tcPr>
          <w:p>
            <w:pPr>
              <w:spacing w:after="40"/>
              <w:jc w:val="left"/>
            </w:pPr>
            <w:r/>
            <w:r>
              <w:rPr>
                <w:sz w:val="17"/>
              </w:rPr>
              <w:t>R3</w:t>
            </w:r>
          </w:p>
        </w:tc>
        <w:tc>
          <w:tcPr>
            <w:tcW w:type="dxa" w:w="2520"/>
          </w:tcPr>
          <w:p>
            <w:pPr>
              <w:spacing w:after="40"/>
              <w:jc w:val="left"/>
            </w:pPr>
            <w:r/>
            <w:r>
              <w:rPr>
                <w:sz w:val="17"/>
              </w:rPr>
              <w:t>Re-identification by timestamp correlation (observing when a person completed the survey)</w:t>
            </w:r>
          </w:p>
        </w:tc>
        <w:tc>
          <w:tcPr>
            <w:tcW w:type="dxa" w:w="1512"/>
          </w:tcPr>
          <w:p>
            <w:pPr>
              <w:spacing w:after="40"/>
              <w:jc w:val="left"/>
            </w:pPr>
            <w:r/>
            <w:r>
              <w:rPr>
                <w:sz w:val="17"/>
              </w:rPr>
              <w:t>Insider with contextual knowledge</w:t>
            </w:r>
          </w:p>
        </w:tc>
        <w:tc>
          <w:tcPr>
            <w:tcW w:type="dxa" w:w="1008"/>
          </w:tcPr>
          <w:p>
            <w:pPr>
              <w:spacing w:after="40"/>
              <w:jc w:val="left"/>
            </w:pPr>
            <w:r/>
            <w:r>
              <w:rPr>
                <w:sz w:val="17"/>
              </w:rPr>
              <w:t>Medium</w:t>
            </w:r>
          </w:p>
        </w:tc>
        <w:tc>
          <w:tcPr>
            <w:tcW w:type="dxa" w:w="3384"/>
          </w:tcPr>
          <w:p>
            <w:pPr>
              <w:spacing w:after="40"/>
              <w:jc w:val="left"/>
            </w:pPr>
            <w:r/>
            <w:r>
              <w:rPr>
                <w:sz w:val="17"/>
              </w:rPr>
              <w:t>No identifier stored; correlation requires external observation of the individual.</w:t>
            </w:r>
          </w:p>
        </w:tc>
        <w:tc>
          <w:tcPr>
            <w:tcW w:type="dxa" w:w="1512"/>
          </w:tcPr>
          <w:p>
            <w:pPr>
              <w:spacing w:after="40"/>
              <w:jc w:val="left"/>
            </w:pPr>
            <w:r/>
            <w:r>
              <w:rPr>
                <w:sz w:val="17"/>
              </w:rPr>
              <w:t>Medium — reduce by rounding timestamps in exports (R-10)</w:t>
            </w:r>
          </w:p>
        </w:tc>
      </w:tr>
      <w:tr>
        <w:tc>
          <w:tcPr>
            <w:tcW w:type="dxa" w:w="504"/>
          </w:tcPr>
          <w:p>
            <w:pPr>
              <w:spacing w:after="40"/>
              <w:jc w:val="left"/>
            </w:pPr>
            <w:r/>
            <w:r>
              <w:rPr>
                <w:sz w:val="17"/>
              </w:rPr>
              <w:t>R4</w:t>
            </w:r>
          </w:p>
        </w:tc>
        <w:tc>
          <w:tcPr>
            <w:tcW w:type="dxa" w:w="2520"/>
          </w:tcPr>
          <w:p>
            <w:pPr>
              <w:spacing w:after="40"/>
              <w:jc w:val="left"/>
            </w:pPr>
            <w:r/>
            <w:r>
              <w:rPr>
                <w:sz w:val="17"/>
              </w:rPr>
              <w:t>Self-identification in free-text responses</w:t>
            </w:r>
          </w:p>
        </w:tc>
        <w:tc>
          <w:tcPr>
            <w:tcW w:type="dxa" w:w="1512"/>
          </w:tcPr>
          <w:p>
            <w:pPr>
              <w:spacing w:after="40"/>
              <w:jc w:val="left"/>
            </w:pPr>
            <w:r/>
            <w:r>
              <w:rPr>
                <w:sz w:val="17"/>
              </w:rPr>
              <w:t>Any reader of the corpus</w:t>
            </w:r>
          </w:p>
        </w:tc>
        <w:tc>
          <w:tcPr>
            <w:tcW w:type="dxa" w:w="1008"/>
          </w:tcPr>
          <w:p>
            <w:pPr>
              <w:spacing w:after="40"/>
              <w:jc w:val="left"/>
            </w:pPr>
            <w:r/>
            <w:r>
              <w:rPr>
                <w:sz w:val="17"/>
              </w:rPr>
              <w:t>Medium</w:t>
            </w:r>
          </w:p>
        </w:tc>
        <w:tc>
          <w:tcPr>
            <w:tcW w:type="dxa" w:w="3384"/>
          </w:tcPr>
          <w:p>
            <w:pPr>
              <w:spacing w:after="40"/>
              <w:jc w:val="left"/>
            </w:pPr>
            <w:r/>
            <w:r>
              <w:rPr>
                <w:sz w:val="17"/>
              </w:rPr>
              <w:t>Instruments are predominantly closed-response; text length is capped.</w:t>
            </w:r>
          </w:p>
        </w:tc>
        <w:tc>
          <w:tcPr>
            <w:tcW w:type="dxa" w:w="1512"/>
          </w:tcPr>
          <w:p>
            <w:pPr>
              <w:spacing w:after="40"/>
              <w:jc w:val="left"/>
            </w:pPr>
            <w:r/>
            <w:r>
              <w:rPr>
                <w:sz w:val="17"/>
              </w:rPr>
              <w:t>Medium — requires screening before analysis (R-11)</w:t>
            </w:r>
          </w:p>
        </w:tc>
      </w:tr>
      <w:tr>
        <w:tc>
          <w:tcPr>
            <w:tcW w:type="dxa" w:w="504"/>
          </w:tcPr>
          <w:p>
            <w:pPr>
              <w:spacing w:after="40"/>
              <w:jc w:val="left"/>
            </w:pPr>
            <w:r/>
            <w:r>
              <w:rPr>
                <w:sz w:val="17"/>
              </w:rPr>
              <w:t>R5</w:t>
            </w:r>
          </w:p>
        </w:tc>
        <w:tc>
          <w:tcPr>
            <w:tcW w:type="dxa" w:w="2520"/>
          </w:tcPr>
          <w:p>
            <w:pPr>
              <w:spacing w:after="40"/>
              <w:jc w:val="left"/>
            </w:pPr>
            <w:r/>
            <w:r>
              <w:rPr>
                <w:sz w:val="17"/>
              </w:rPr>
              <w:t>Device fingerprinting via retained user_agent</w:t>
            </w:r>
          </w:p>
        </w:tc>
        <w:tc>
          <w:tcPr>
            <w:tcW w:type="dxa" w:w="1512"/>
          </w:tcPr>
          <w:p>
            <w:pPr>
              <w:spacing w:after="40"/>
              <w:jc w:val="left"/>
            </w:pPr>
            <w:r/>
            <w:r>
              <w:rPr>
                <w:sz w:val="17"/>
              </w:rPr>
              <w:t>Insider / breach</w:t>
            </w:r>
          </w:p>
        </w:tc>
        <w:tc>
          <w:tcPr>
            <w:tcW w:type="dxa" w:w="1008"/>
          </w:tcPr>
          <w:p>
            <w:pPr>
              <w:spacing w:after="40"/>
              <w:jc w:val="left"/>
            </w:pPr>
            <w:r/>
            <w:r>
              <w:rPr>
                <w:sz w:val="17"/>
              </w:rPr>
              <w:t>Low-Medium</w:t>
            </w:r>
          </w:p>
        </w:tc>
        <w:tc>
          <w:tcPr>
            <w:tcW w:type="dxa" w:w="3384"/>
          </w:tcPr>
          <w:p>
            <w:pPr>
              <w:spacing w:after="40"/>
              <w:jc w:val="left"/>
            </w:pPr>
            <w:r/>
            <w:r>
              <w:rPr>
                <w:sz w:val="17"/>
              </w:rPr>
              <w:t>Truncated to 300 characters; never exported; never read by client code.</w:t>
            </w:r>
          </w:p>
        </w:tc>
        <w:tc>
          <w:tcPr>
            <w:tcW w:type="dxa" w:w="1512"/>
          </w:tcPr>
          <w:p>
            <w:pPr>
              <w:spacing w:after="40"/>
              <w:jc w:val="left"/>
            </w:pPr>
            <w:r/>
            <w:r>
              <w:rPr>
                <w:sz w:val="17"/>
              </w:rPr>
              <w:t>Low-Medium — retention is not justified by a current purpose (R-12)</w:t>
            </w:r>
          </w:p>
        </w:tc>
      </w:tr>
      <w:tr>
        <w:tc>
          <w:tcPr>
            <w:tcW w:type="dxa" w:w="504"/>
          </w:tcPr>
          <w:p>
            <w:pPr>
              <w:spacing w:after="40"/>
              <w:jc w:val="left"/>
            </w:pPr>
            <w:r/>
            <w:r>
              <w:rPr>
                <w:sz w:val="17"/>
              </w:rPr>
              <w:t>R6</w:t>
            </w:r>
          </w:p>
        </w:tc>
        <w:tc>
          <w:tcPr>
            <w:tcW w:type="dxa" w:w="2520"/>
          </w:tcPr>
          <w:p>
            <w:pPr>
              <w:spacing w:after="40"/>
              <w:jc w:val="left"/>
            </w:pPr>
            <w:r/>
            <w:r>
              <w:rPr>
                <w:sz w:val="17"/>
              </w:rPr>
              <w:t>Recovery of a partial draft from a shared device</w:t>
            </w:r>
          </w:p>
        </w:tc>
        <w:tc>
          <w:tcPr>
            <w:tcW w:type="dxa" w:w="1512"/>
          </w:tcPr>
          <w:p>
            <w:pPr>
              <w:spacing w:after="40"/>
              <w:jc w:val="left"/>
            </w:pPr>
            <w:r/>
            <w:r>
              <w:rPr>
                <w:sz w:val="17"/>
              </w:rPr>
              <w:t>Device sharer</w:t>
            </w:r>
          </w:p>
        </w:tc>
        <w:tc>
          <w:tcPr>
            <w:tcW w:type="dxa" w:w="1008"/>
          </w:tcPr>
          <w:p>
            <w:pPr>
              <w:spacing w:after="40"/>
              <w:jc w:val="left"/>
            </w:pPr>
            <w:r/>
            <w:r>
              <w:rPr>
                <w:sz w:val="17"/>
              </w:rPr>
              <w:t>Medium</w:t>
            </w:r>
          </w:p>
        </w:tc>
        <w:tc>
          <w:tcPr>
            <w:tcW w:type="dxa" w:w="3384"/>
          </w:tcPr>
          <w:p>
            <w:pPr>
              <w:spacing w:after="40"/>
              <w:jc w:val="left"/>
            </w:pPr>
            <w:r/>
            <w:r>
              <w:rPr>
                <w:sz w:val="17"/>
              </w:rPr>
              <w:t>localStorage is origin-scoped, expires after 30 days, and is cleared on submission.</w:t>
            </w:r>
          </w:p>
        </w:tc>
        <w:tc>
          <w:tcPr>
            <w:tcW w:type="dxa" w:w="1512"/>
          </w:tcPr>
          <w:p>
            <w:pPr>
              <w:spacing w:after="40"/>
              <w:jc w:val="left"/>
            </w:pPr>
            <w:r/>
            <w:r>
              <w:rPr>
                <w:sz w:val="17"/>
              </w:rPr>
              <w:t>Medium — add an explicit clear control (R-5)</w:t>
            </w:r>
          </w:p>
        </w:tc>
      </w:tr>
      <w:tr>
        <w:tc>
          <w:tcPr>
            <w:tcW w:type="dxa" w:w="504"/>
          </w:tcPr>
          <w:p>
            <w:pPr>
              <w:spacing w:after="40"/>
              <w:jc w:val="left"/>
            </w:pPr>
            <w:r/>
            <w:r>
              <w:rPr>
                <w:sz w:val="17"/>
              </w:rPr>
              <w:t>R7</w:t>
            </w:r>
          </w:p>
        </w:tc>
        <w:tc>
          <w:tcPr>
            <w:tcW w:type="dxa" w:w="2520"/>
          </w:tcPr>
          <w:p>
            <w:pPr>
              <w:spacing w:after="40"/>
              <w:jc w:val="left"/>
            </w:pPr>
            <w:r/>
            <w:r>
              <w:rPr>
                <w:sz w:val="17"/>
              </w:rPr>
              <w:t>Corruption of the research corpus by automated mass submission</w:t>
            </w:r>
          </w:p>
        </w:tc>
        <w:tc>
          <w:tcPr>
            <w:tcW w:type="dxa" w:w="1512"/>
          </w:tcPr>
          <w:p>
            <w:pPr>
              <w:spacing w:after="40"/>
              <w:jc w:val="left"/>
            </w:pPr>
            <w:r/>
            <w:r>
              <w:rPr>
                <w:sz w:val="17"/>
              </w:rPr>
              <w:t>External</w:t>
            </w:r>
          </w:p>
        </w:tc>
        <w:tc>
          <w:tcPr>
            <w:tcW w:type="dxa" w:w="1008"/>
          </w:tcPr>
          <w:p>
            <w:pPr>
              <w:spacing w:after="40"/>
              <w:jc w:val="left"/>
            </w:pPr>
            <w:r/>
            <w:r>
              <w:rPr>
                <w:sz w:val="17"/>
              </w:rPr>
              <w:t>High</w:t>
            </w:r>
          </w:p>
        </w:tc>
        <w:tc>
          <w:tcPr>
            <w:tcW w:type="dxa" w:w="3384"/>
          </w:tcPr>
          <w:p>
            <w:pPr>
              <w:spacing w:after="40"/>
              <w:jc w:val="left"/>
            </w:pPr>
            <w:r/>
            <w:r>
              <w:rPr>
                <w:sz w:val="17"/>
              </w:rPr>
              <w:t>Atomic advisory-locked rate limiter; 5-minute floor and 20/day ceiling per IP-hash per survey.</w:t>
            </w:r>
          </w:p>
        </w:tc>
        <w:tc>
          <w:tcPr>
            <w:tcW w:type="dxa" w:w="1512"/>
          </w:tcPr>
          <w:p>
            <w:pPr>
              <w:spacing w:after="40"/>
              <w:jc w:val="left"/>
            </w:pPr>
            <w:r/>
            <w:r>
              <w:rPr>
                <w:sz w:val="17"/>
              </w:rPr>
              <w:t>Low — distributed sources remain possible</w:t>
            </w:r>
          </w:p>
        </w:tc>
      </w:tr>
      <w:tr>
        <w:tc>
          <w:tcPr>
            <w:tcW w:type="dxa" w:w="504"/>
          </w:tcPr>
          <w:p>
            <w:pPr>
              <w:spacing w:after="40"/>
              <w:jc w:val="left"/>
            </w:pPr>
            <w:r/>
            <w:r>
              <w:rPr>
                <w:sz w:val="17"/>
              </w:rPr>
              <w:t>R8</w:t>
            </w:r>
          </w:p>
        </w:tc>
        <w:tc>
          <w:tcPr>
            <w:tcW w:type="dxa" w:w="2520"/>
          </w:tcPr>
          <w:p>
            <w:pPr>
              <w:spacing w:after="40"/>
              <w:jc w:val="left"/>
            </w:pPr>
            <w:r/>
            <w:r>
              <w:rPr>
                <w:sz w:val="17"/>
              </w:rPr>
              <w:t>Small-cell disclosure in published subgroup findings</w:t>
            </w:r>
          </w:p>
        </w:tc>
        <w:tc>
          <w:tcPr>
            <w:tcW w:type="dxa" w:w="1512"/>
          </w:tcPr>
          <w:p>
            <w:pPr>
              <w:spacing w:after="40"/>
              <w:jc w:val="left"/>
            </w:pPr>
            <w:r/>
            <w:r>
              <w:rPr>
                <w:sz w:val="17"/>
              </w:rPr>
              <w:t>Reader of outputs</w:t>
            </w:r>
          </w:p>
        </w:tc>
        <w:tc>
          <w:tcPr>
            <w:tcW w:type="dxa" w:w="1008"/>
          </w:tcPr>
          <w:p>
            <w:pPr>
              <w:spacing w:after="40"/>
              <w:jc w:val="left"/>
            </w:pPr>
            <w:r/>
            <w:r>
              <w:rPr>
                <w:sz w:val="17"/>
              </w:rPr>
              <w:t>Medium</w:t>
            </w:r>
          </w:p>
        </w:tc>
        <w:tc>
          <w:tcPr>
            <w:tcW w:type="dxa" w:w="3384"/>
          </w:tcPr>
          <w:p>
            <w:pPr>
              <w:spacing w:after="40"/>
              <w:jc w:val="left"/>
            </w:pPr>
            <w:r/>
            <w:r>
              <w:rPr>
                <w:sz w:val="17"/>
              </w:rPr>
              <w:t>No automatic suppression currently applied.</w:t>
            </w:r>
          </w:p>
        </w:tc>
        <w:tc>
          <w:tcPr>
            <w:tcW w:type="dxa" w:w="1512"/>
          </w:tcPr>
          <w:p>
            <w:pPr>
              <w:spacing w:after="40"/>
              <w:jc w:val="left"/>
            </w:pPr>
            <w:r/>
            <w:r>
              <w:rPr>
                <w:sz w:val="17"/>
              </w:rPr>
              <w:t>Medium — apply a minimum cell size (R-13)</w:t>
            </w:r>
          </w:p>
        </w:tc>
      </w:tr>
      <w:tr>
        <w:tc>
          <w:tcPr>
            <w:tcW w:type="dxa" w:w="504"/>
          </w:tcPr>
          <w:p>
            <w:pPr>
              <w:spacing w:after="40"/>
              <w:jc w:val="left"/>
            </w:pPr>
            <w:r/>
            <w:r>
              <w:rPr>
                <w:sz w:val="17"/>
              </w:rPr>
              <w:t>R9</w:t>
            </w:r>
          </w:p>
        </w:tc>
        <w:tc>
          <w:tcPr>
            <w:tcW w:type="dxa" w:w="2520"/>
          </w:tcPr>
          <w:p>
            <w:pPr>
              <w:spacing w:after="40"/>
              <w:jc w:val="left"/>
            </w:pPr>
            <w:r/>
            <w:r>
              <w:rPr>
                <w:sz w:val="17"/>
              </w:rPr>
              <w:t>Exposure of licensed instrument content after survey closure</w:t>
            </w:r>
          </w:p>
        </w:tc>
        <w:tc>
          <w:tcPr>
            <w:tcW w:type="dxa" w:w="1512"/>
          </w:tcPr>
          <w:p>
            <w:pPr>
              <w:spacing w:after="40"/>
              <w:jc w:val="left"/>
            </w:pPr>
            <w:r/>
            <w:r>
              <w:rPr>
                <w:sz w:val="17"/>
              </w:rPr>
              <w:t>External</w:t>
            </w:r>
          </w:p>
        </w:tc>
        <w:tc>
          <w:tcPr>
            <w:tcW w:type="dxa" w:w="1008"/>
          </w:tcPr>
          <w:p>
            <w:pPr>
              <w:spacing w:after="40"/>
              <w:jc w:val="left"/>
            </w:pPr>
            <w:r/>
            <w:r>
              <w:rPr>
                <w:sz w:val="17"/>
              </w:rPr>
              <w:t>Medium</w:t>
            </w:r>
          </w:p>
        </w:tc>
        <w:tc>
          <w:tcPr>
            <w:tcW w:type="dxa" w:w="3384"/>
          </w:tcPr>
          <w:p>
            <w:pPr>
              <w:spacing w:after="40"/>
              <w:jc w:val="left"/>
            </w:pPr>
            <w:r/>
            <w:r>
              <w:rPr>
                <w:sz w:val="17"/>
              </w:rPr>
              <w:t>Public read of questions and options narrowed to status = 'published'.</w:t>
            </w:r>
          </w:p>
        </w:tc>
        <w:tc>
          <w:tcPr>
            <w:tcW w:type="dxa" w:w="1512"/>
          </w:tcPr>
          <w:p>
            <w:pPr>
              <w:spacing w:after="40"/>
              <w:jc w:val="left"/>
            </w:pPr>
            <w:r/>
            <w:r>
              <w:rPr>
                <w:sz w:val="17"/>
              </w:rPr>
              <w:t>Low</w:t>
            </w:r>
          </w:p>
        </w:tc>
      </w:tr>
      <w:tr>
        <w:tc>
          <w:tcPr>
            <w:tcW w:type="dxa" w:w="504"/>
          </w:tcPr>
          <w:p>
            <w:pPr>
              <w:spacing w:after="40"/>
              <w:jc w:val="left"/>
            </w:pPr>
            <w:r/>
            <w:r>
              <w:rPr>
                <w:sz w:val="17"/>
              </w:rPr>
              <w:t>R10</w:t>
            </w:r>
          </w:p>
        </w:tc>
        <w:tc>
          <w:tcPr>
            <w:tcW w:type="dxa" w:w="2520"/>
          </w:tcPr>
          <w:p>
            <w:pPr>
              <w:spacing w:after="40"/>
              <w:jc w:val="left"/>
            </w:pPr>
            <w:r/>
            <w:r>
              <w:rPr>
                <w:sz w:val="17"/>
              </w:rPr>
              <w:t>Cross-origin abuse of the submission endpoint</w:t>
            </w:r>
          </w:p>
        </w:tc>
        <w:tc>
          <w:tcPr>
            <w:tcW w:type="dxa" w:w="1512"/>
          </w:tcPr>
          <w:p>
            <w:pPr>
              <w:spacing w:after="40"/>
              <w:jc w:val="left"/>
            </w:pPr>
            <w:r/>
            <w:r>
              <w:rPr>
                <w:sz w:val="17"/>
              </w:rPr>
              <w:t>External</w:t>
            </w:r>
          </w:p>
        </w:tc>
        <w:tc>
          <w:tcPr>
            <w:tcW w:type="dxa" w:w="1008"/>
          </w:tcPr>
          <w:p>
            <w:pPr>
              <w:spacing w:after="40"/>
              <w:jc w:val="left"/>
            </w:pPr>
            <w:r/>
            <w:r>
              <w:rPr>
                <w:sz w:val="17"/>
              </w:rPr>
              <w:t>Low</w:t>
            </w:r>
          </w:p>
        </w:tc>
        <w:tc>
          <w:tcPr>
            <w:tcW w:type="dxa" w:w="3384"/>
          </w:tcPr>
          <w:p>
            <w:pPr>
              <w:spacing w:after="40"/>
              <w:jc w:val="left"/>
            </w:pPr>
            <w:r/>
            <w:r>
              <w:rPr>
                <w:sz w:val="17"/>
              </w:rPr>
              <w:t>Endpoint validates independently of origin; CORS is permissive.</w:t>
            </w:r>
          </w:p>
        </w:tc>
        <w:tc>
          <w:tcPr>
            <w:tcW w:type="dxa" w:w="1512"/>
          </w:tcPr>
          <w:p>
            <w:pPr>
              <w:spacing w:after="40"/>
              <w:jc w:val="left"/>
            </w:pPr>
            <w:r/>
            <w:r>
              <w:rPr>
                <w:sz w:val="17"/>
              </w:rPr>
              <w:t>Low — restrict allowed origins (R-14)</w:t>
            </w:r>
          </w:p>
        </w:tc>
      </w:tr>
    </w:tbl>
    <w:p>
      <w:pPr>
        <w:spacing w:after="0"/>
      </w:pPr>
    </w:p>
    <w:p>
      <w:pPr>
        <w:spacing w:after="240"/>
        <w:jc w:val="left"/>
      </w:pPr>
      <w:r>
        <w:rPr>
          <w:i/>
          <w:color w:val="555F6D"/>
          <w:sz w:val="18"/>
        </w:rPr>
        <w:t>Table 9.1 — Re-identification and integrity risk register with residual exposure after existing controls.</w:t>
      </w:r>
    </w:p>
    <w:p>
      <w:pPr>
        <w:pStyle w:val="Heading2"/>
      </w:pPr>
      <w:r>
        <w:t>9.3 Statistical disclosure and small cells</w:t>
      </w:r>
    </w:p>
    <w:p>
      <w:r>
        <w:rPr>
          <w:b w:val="0"/>
          <w:i w:val="0"/>
        </w:rPr>
        <w:t>Even without direct identifiers, an aggregate report can identify a person when a cell is small enough. If a published breakdown reports that one respondent in a particular language group answered a suicidality item affirmatively, and the population from which that group is drawn is small and locally known, the finding can be attributable in practice however anonymous the database is in principle. Sweeney's work on k-anonymity, and the subsequent demonstrations by Narayanan and Shmatikov that supposedly anonymised datasets are frequently re-identifiable through auxiliary information, are the canonical references. R-13 recommends a minimum cell size of five for any published breakdown of sensitive items, with smaller cells suppressed or collapsed.</w:t>
      </w:r>
    </w:p>
    <w:p>
      <w:pPr>
        <w:pStyle w:val="Heading2"/>
      </w:pPr>
      <w:r>
        <w:t>9.4 Free text as the residual channel</w:t>
      </w:r>
    </w:p>
    <w:p>
      <w:r>
        <w:rPr>
          <w:b w:val="0"/>
          <w:i w:val="0"/>
        </w:rPr>
        <w:t>The single largest remaining re-identification surface is the respondent's own keyboard. A person may write “I am the SI at [station] and I have been struggling since the accident in March” into an open field, and no architectural control can prevent it. Two mitigations are available and both are recommended: minimise the use of free-text items in instruments that also carry sensitive content, and require a documented screening pass over text responses for direct and indirect identifiers before the corpus is analysed, shared with co-investigators, or archived (R-11).</w:t>
      </w:r>
    </w:p>
    <w:p>
      <w:r>
        <w:br w:type="page"/>
      </w:r>
    </w:p>
    <w:p>
      <w:pPr>
        <w:pStyle w:val="Heading1"/>
      </w:pPr>
      <w:r>
        <w:t>10. Residual Risks, Limitations and Recommendations</w:t>
      </w:r>
    </w:p>
    <w:p>
      <w:r>
        <w:rPr>
          <w:b w:val="0"/>
          <w:i w:val="0"/>
        </w:rPr>
        <w:t>The recommendations below are stated as they would be to an ethics committee: with a priority, an owner-appropriate scope, and a plain statement of what remains untrue until they are implemented. None requires re-architecture; all are additive.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720"/>
            <w:shd w:val="clear" w:color="auto" w:fill="122A54"/>
          </w:tcPr>
          <w:p>
            <w:pPr>
              <w:jc w:val="left"/>
            </w:pPr>
            <w:r/>
            <w:r>
              <w:rPr>
                <w:b/>
                <w:color w:val="FFFFFF"/>
                <w:sz w:val="17"/>
              </w:rPr>
              <w:t>ID</w:t>
            </w:r>
          </w:p>
        </w:tc>
        <w:tc>
          <w:tcPr>
            <w:tcW w:type="dxa" w:w="1080"/>
            <w:shd w:val="clear" w:color="auto" w:fill="122A54"/>
          </w:tcPr>
          <w:p>
            <w:pPr>
              <w:jc w:val="left"/>
            </w:pPr>
            <w:r/>
            <w:r>
              <w:rPr>
                <w:b/>
                <w:color w:val="FFFFFF"/>
                <w:sz w:val="17"/>
              </w:rPr>
              <w:t>Priority</w:t>
            </w:r>
          </w:p>
        </w:tc>
        <w:tc>
          <w:tcPr>
            <w:tcW w:type="dxa" w:w="4320"/>
            <w:shd w:val="clear" w:color="auto" w:fill="122A54"/>
          </w:tcPr>
          <w:p>
            <w:pPr>
              <w:jc w:val="left"/>
            </w:pPr>
            <w:r/>
            <w:r>
              <w:rPr>
                <w:b/>
                <w:color w:val="FFFFFF"/>
                <w:sz w:val="17"/>
              </w:rPr>
              <w:t>Recommendation</w:t>
            </w:r>
          </w:p>
        </w:tc>
        <w:tc>
          <w:tcPr>
            <w:tcW w:type="dxa" w:w="4248"/>
            <w:shd w:val="clear" w:color="auto" w:fill="122A54"/>
          </w:tcPr>
          <w:p>
            <w:pPr>
              <w:jc w:val="left"/>
            </w:pPr>
            <w:r/>
            <w:r>
              <w:rPr>
                <w:b/>
                <w:color w:val="FFFFFF"/>
                <w:sz w:val="17"/>
              </w:rPr>
              <w:t>Rationale</w:t>
            </w:r>
          </w:p>
        </w:tc>
      </w:tr>
      <w:tr>
        <w:tc>
          <w:tcPr>
            <w:tcW w:type="dxa" w:w="720"/>
          </w:tcPr>
          <w:p>
            <w:pPr>
              <w:spacing w:after="40"/>
              <w:jc w:val="left"/>
            </w:pPr>
            <w:r/>
            <w:r>
              <w:rPr>
                <w:sz w:val="17"/>
              </w:rPr>
              <w:t>R-2</w:t>
            </w:r>
          </w:p>
        </w:tc>
        <w:tc>
          <w:tcPr>
            <w:tcW w:type="dxa" w:w="1080"/>
          </w:tcPr>
          <w:p>
            <w:pPr>
              <w:spacing w:after="40"/>
              <w:jc w:val="left"/>
            </w:pPr>
            <w:r/>
            <w:r>
              <w:rPr>
                <w:sz w:val="17"/>
              </w:rPr>
              <w:t>Critical</w:t>
            </w:r>
          </w:p>
        </w:tc>
        <w:tc>
          <w:tcPr>
            <w:tcW w:type="dxa" w:w="4320"/>
          </w:tcPr>
          <w:p>
            <w:pPr>
              <w:spacing w:after="40"/>
              <w:jc w:val="left"/>
            </w:pPr>
            <w:r/>
            <w:r>
              <w:rPr>
                <w:sz w:val="17"/>
              </w:rPr>
              <w:t>Display unconditional crisis-helpline resources (Tele-MANAS 14416; KIRAN 1800-599-0019; departmental counselling contact) on every screen of any instrument containing suicidality or severe-distress items, shown to all respondents irrespective of answers.</w:t>
            </w:r>
          </w:p>
        </w:tc>
        <w:tc>
          <w:tcPr>
            <w:tcW w:type="dxa" w:w="4248"/>
          </w:tcPr>
          <w:p>
            <w:pPr>
              <w:spacing w:after="40"/>
              <w:jc w:val="left"/>
            </w:pPr>
            <w:r/>
            <w:r>
              <w:rPr>
                <w:sz w:val="17"/>
              </w:rPr>
              <w:t>Anonymity precludes individual follow-up; universal presentation discharges the duty of care without creating a disclosure signal. Required by ICMR risk-minimisation and by the WHO SUPRE-MISS protocol's own local-resources requirement.</w:t>
            </w:r>
          </w:p>
        </w:tc>
      </w:tr>
      <w:tr>
        <w:tc>
          <w:tcPr>
            <w:tcW w:type="dxa" w:w="720"/>
          </w:tcPr>
          <w:p>
            <w:pPr>
              <w:spacing w:after="40"/>
              <w:jc w:val="left"/>
            </w:pPr>
            <w:r/>
            <w:r>
              <w:rPr>
                <w:sz w:val="17"/>
              </w:rPr>
              <w:t>R-3</w:t>
            </w:r>
          </w:p>
        </w:tc>
        <w:tc>
          <w:tcPr>
            <w:tcW w:type="dxa" w:w="1080"/>
          </w:tcPr>
          <w:p>
            <w:pPr>
              <w:spacing w:after="40"/>
              <w:jc w:val="left"/>
            </w:pPr>
            <w:r/>
            <w:r>
              <w:rPr>
                <w:sz w:val="17"/>
              </w:rPr>
              <w:t>Critical</w:t>
            </w:r>
          </w:p>
        </w:tc>
        <w:tc>
          <w:tcPr>
            <w:tcW w:type="dxa" w:w="4320"/>
          </w:tcPr>
          <w:p>
            <w:pPr>
              <w:spacing w:after="40"/>
              <w:jc w:val="left"/>
            </w:pPr>
            <w:r/>
            <w:r>
              <w:rPr>
                <w:sz w:val="17"/>
              </w:rPr>
              <w:t>Add to the consent screen, in both languages: that answers cannot be traced back or deleted after submission because no record of the sender is kept.</w:t>
            </w:r>
          </w:p>
        </w:tc>
        <w:tc>
          <w:tcPr>
            <w:tcW w:type="dxa" w:w="4248"/>
          </w:tcPr>
          <w:p>
            <w:pPr>
              <w:spacing w:after="40"/>
              <w:jc w:val="left"/>
            </w:pPr>
            <w:r/>
            <w:r>
              <w:rPr>
                <w:sz w:val="17"/>
              </w:rPr>
              <w:t>Material to a meaningful consent decision; currently absent. DPDP §5 notice; Helsinki informed consent.</w:t>
            </w:r>
          </w:p>
        </w:tc>
      </w:tr>
      <w:tr>
        <w:tc>
          <w:tcPr>
            <w:tcW w:type="dxa" w:w="720"/>
          </w:tcPr>
          <w:p>
            <w:pPr>
              <w:spacing w:after="40"/>
              <w:jc w:val="left"/>
            </w:pPr>
            <w:r/>
            <w:r>
              <w:rPr>
                <w:sz w:val="17"/>
              </w:rPr>
              <w:t>R-1</w:t>
            </w:r>
          </w:p>
        </w:tc>
        <w:tc>
          <w:tcPr>
            <w:tcW w:type="dxa" w:w="1080"/>
          </w:tcPr>
          <w:p>
            <w:pPr>
              <w:spacing w:after="40"/>
              <w:jc w:val="left"/>
            </w:pPr>
            <w:r/>
            <w:r>
              <w:rPr>
                <w:sz w:val="17"/>
              </w:rPr>
              <w:t>High</w:t>
            </w:r>
          </w:p>
        </w:tc>
        <w:tc>
          <w:tcPr>
            <w:tcW w:type="dxa" w:w="4320"/>
          </w:tcPr>
          <w:p>
            <w:pPr>
              <w:spacing w:after="40"/>
              <w:jc w:val="left"/>
            </w:pPr>
            <w:r/>
            <w:r>
              <w:rPr>
                <w:sz w:val="17"/>
              </w:rPr>
              <w:t>Replace the unsalted SHA-256 of the client IP with HMAC-SHA-256 under a server-side secret rotated at least quarterly, truncated to 128 bits.</w:t>
            </w:r>
          </w:p>
        </w:tc>
        <w:tc>
          <w:tcPr>
            <w:tcW w:type="dxa" w:w="4248"/>
          </w:tcPr>
          <w:p>
            <w:pPr>
              <w:spacing w:after="40"/>
              <w:jc w:val="left"/>
            </w:pPr>
            <w:r/>
            <w:r>
              <w:rPr>
                <w:sz w:val="17"/>
              </w:rPr>
              <w:t>An unkeyed digest over the IPv4 space is exhaustively invertible; a keyed construction makes the pseudonym genuinely non-reversible without any loss of rate-limiter function.</w:t>
            </w:r>
          </w:p>
        </w:tc>
      </w:tr>
      <w:tr>
        <w:tc>
          <w:tcPr>
            <w:tcW w:type="dxa" w:w="720"/>
          </w:tcPr>
          <w:p>
            <w:pPr>
              <w:spacing w:after="40"/>
              <w:jc w:val="left"/>
            </w:pPr>
            <w:r/>
            <w:r>
              <w:rPr>
                <w:sz w:val="17"/>
              </w:rPr>
              <w:t>R-4</w:t>
            </w:r>
          </w:p>
        </w:tc>
        <w:tc>
          <w:tcPr>
            <w:tcW w:type="dxa" w:w="1080"/>
          </w:tcPr>
          <w:p>
            <w:pPr>
              <w:spacing w:after="40"/>
              <w:jc w:val="left"/>
            </w:pPr>
            <w:r/>
            <w:r>
              <w:rPr>
                <w:sz w:val="17"/>
              </w:rPr>
              <w:t>High</w:t>
            </w:r>
          </w:p>
        </w:tc>
        <w:tc>
          <w:tcPr>
            <w:tcW w:type="dxa" w:w="4320"/>
          </w:tcPr>
          <w:p>
            <w:pPr>
              <w:spacing w:after="40"/>
              <w:jc w:val="left"/>
            </w:pPr>
            <w:r/>
            <w:r>
              <w:rPr>
                <w:sz w:val="17"/>
              </w:rPr>
              <w:t>Define and automate a retention schedule: purge or irreversibly aggregate response rows after the stated research period; document the period in the consent text.</w:t>
            </w:r>
          </w:p>
        </w:tc>
        <w:tc>
          <w:tcPr>
            <w:tcW w:type="dxa" w:w="4248"/>
          </w:tcPr>
          <w:p>
            <w:pPr>
              <w:spacing w:after="40"/>
              <w:jc w:val="left"/>
            </w:pPr>
            <w:r/>
            <w:r>
              <w:rPr>
                <w:sz w:val="17"/>
              </w:rPr>
              <w:t>Storage limitation; DPDP §8(7); ISO/IEC 27701 clause 7.4.7.</w:t>
            </w:r>
          </w:p>
        </w:tc>
      </w:tr>
      <w:tr>
        <w:tc>
          <w:tcPr>
            <w:tcW w:type="dxa" w:w="720"/>
          </w:tcPr>
          <w:p>
            <w:pPr>
              <w:spacing w:after="40"/>
              <w:jc w:val="left"/>
            </w:pPr>
            <w:r/>
            <w:r>
              <w:rPr>
                <w:sz w:val="17"/>
              </w:rPr>
              <w:t>R-6</w:t>
            </w:r>
          </w:p>
        </w:tc>
        <w:tc>
          <w:tcPr>
            <w:tcW w:type="dxa" w:w="1080"/>
          </w:tcPr>
          <w:p>
            <w:pPr>
              <w:spacing w:after="40"/>
              <w:jc w:val="left"/>
            </w:pPr>
            <w:r/>
            <w:r>
              <w:rPr>
                <w:sz w:val="17"/>
              </w:rPr>
              <w:t>High</w:t>
            </w:r>
          </w:p>
        </w:tc>
        <w:tc>
          <w:tcPr>
            <w:tcW w:type="dxa" w:w="4320"/>
          </w:tcPr>
          <w:p>
            <w:pPr>
              <w:spacing w:after="40"/>
              <w:jc w:val="left"/>
            </w:pPr>
            <w:r/>
            <w:r>
              <w:rPr>
                <w:sz w:val="17"/>
              </w:rPr>
              <w:t>Extend the consent screen with sponsor and investigator identity, ethics-approval reference, a contact route for questions and complaints, and the retention period.</w:t>
            </w:r>
          </w:p>
        </w:tc>
        <w:tc>
          <w:tcPr>
            <w:tcW w:type="dxa" w:w="4248"/>
          </w:tcPr>
          <w:p>
            <w:pPr>
              <w:spacing w:after="40"/>
              <w:jc w:val="left"/>
            </w:pPr>
            <w:r/>
            <w:r>
              <w:rPr>
                <w:sz w:val="17"/>
              </w:rPr>
              <w:t>Completes the ICMR/Helsinki consent element set.</w:t>
            </w:r>
          </w:p>
        </w:tc>
      </w:tr>
      <w:tr>
        <w:tc>
          <w:tcPr>
            <w:tcW w:type="dxa" w:w="720"/>
          </w:tcPr>
          <w:p>
            <w:pPr>
              <w:spacing w:after="40"/>
              <w:jc w:val="left"/>
            </w:pPr>
            <w:r/>
            <w:r>
              <w:rPr>
                <w:sz w:val="17"/>
              </w:rPr>
              <w:t>R-11</w:t>
            </w:r>
          </w:p>
        </w:tc>
        <w:tc>
          <w:tcPr>
            <w:tcW w:type="dxa" w:w="1080"/>
          </w:tcPr>
          <w:p>
            <w:pPr>
              <w:spacing w:after="40"/>
              <w:jc w:val="left"/>
            </w:pPr>
            <w:r/>
            <w:r>
              <w:rPr>
                <w:sz w:val="17"/>
              </w:rPr>
              <w:t>High</w:t>
            </w:r>
          </w:p>
        </w:tc>
        <w:tc>
          <w:tcPr>
            <w:tcW w:type="dxa" w:w="4320"/>
          </w:tcPr>
          <w:p>
            <w:pPr>
              <w:spacing w:after="40"/>
              <w:jc w:val="left"/>
            </w:pPr>
            <w:r/>
            <w:r>
              <w:rPr>
                <w:sz w:val="17"/>
              </w:rPr>
              <w:t>Institute a documented screening pass over free-text responses for direct and indirect identifiers before analysis, sharing or archival.</w:t>
            </w:r>
          </w:p>
        </w:tc>
        <w:tc>
          <w:tcPr>
            <w:tcW w:type="dxa" w:w="4248"/>
          </w:tcPr>
          <w:p>
            <w:pPr>
              <w:spacing w:after="40"/>
              <w:jc w:val="left"/>
            </w:pPr>
            <w:r/>
            <w:r>
              <w:rPr>
                <w:sz w:val="17"/>
              </w:rPr>
              <w:t>Free text is the principal residual re-identification channel and no technical control can close it.</w:t>
            </w:r>
          </w:p>
        </w:tc>
      </w:tr>
      <w:tr>
        <w:tc>
          <w:tcPr>
            <w:tcW w:type="dxa" w:w="720"/>
          </w:tcPr>
          <w:p>
            <w:pPr>
              <w:spacing w:after="40"/>
              <w:jc w:val="left"/>
            </w:pPr>
            <w:r/>
            <w:r>
              <w:rPr>
                <w:sz w:val="17"/>
              </w:rPr>
              <w:t>R-13</w:t>
            </w:r>
          </w:p>
        </w:tc>
        <w:tc>
          <w:tcPr>
            <w:tcW w:type="dxa" w:w="1080"/>
          </w:tcPr>
          <w:p>
            <w:pPr>
              <w:spacing w:after="40"/>
              <w:jc w:val="left"/>
            </w:pPr>
            <w:r/>
            <w:r>
              <w:rPr>
                <w:sz w:val="17"/>
              </w:rPr>
              <w:t>Medium</w:t>
            </w:r>
          </w:p>
        </w:tc>
        <w:tc>
          <w:tcPr>
            <w:tcW w:type="dxa" w:w="4320"/>
          </w:tcPr>
          <w:p>
            <w:pPr>
              <w:spacing w:after="40"/>
              <w:jc w:val="left"/>
            </w:pPr>
            <w:r/>
            <w:r>
              <w:rPr>
                <w:sz w:val="17"/>
              </w:rPr>
              <w:t>Apply a minimum cell size of five to all published subgroup breakdowns of sensitive items; suppress or collapse smaller cells.</w:t>
            </w:r>
          </w:p>
        </w:tc>
        <w:tc>
          <w:tcPr>
            <w:tcW w:type="dxa" w:w="4248"/>
          </w:tcPr>
          <w:p>
            <w:pPr>
              <w:spacing w:after="40"/>
              <w:jc w:val="left"/>
            </w:pPr>
            <w:r/>
            <w:r>
              <w:rPr>
                <w:sz w:val="17"/>
              </w:rPr>
              <w:t>Prevents statistical disclosure of individuals in small, locally-known populations.</w:t>
            </w:r>
          </w:p>
        </w:tc>
      </w:tr>
      <w:tr>
        <w:tc>
          <w:tcPr>
            <w:tcW w:type="dxa" w:w="720"/>
          </w:tcPr>
          <w:p>
            <w:pPr>
              <w:spacing w:after="40"/>
              <w:jc w:val="left"/>
            </w:pPr>
            <w:r/>
            <w:r>
              <w:rPr>
                <w:sz w:val="17"/>
              </w:rPr>
              <w:t>R-5</w:t>
            </w:r>
          </w:p>
        </w:tc>
        <w:tc>
          <w:tcPr>
            <w:tcW w:type="dxa" w:w="1080"/>
          </w:tcPr>
          <w:p>
            <w:pPr>
              <w:spacing w:after="40"/>
              <w:jc w:val="left"/>
            </w:pPr>
            <w:r/>
            <w:r>
              <w:rPr>
                <w:sz w:val="17"/>
              </w:rPr>
              <w:t>Medium</w:t>
            </w:r>
          </w:p>
        </w:tc>
        <w:tc>
          <w:tcPr>
            <w:tcW w:type="dxa" w:w="4320"/>
          </w:tcPr>
          <w:p>
            <w:pPr>
              <w:spacing w:after="40"/>
              <w:jc w:val="left"/>
            </w:pPr>
            <w:r/>
            <w:r>
              <w:rPr>
                <w:sz w:val="17"/>
              </w:rPr>
              <w:t>Provide an explicit “clear my answers from this device” control in the runner, and clear the draft on completion of the review stage.</w:t>
            </w:r>
          </w:p>
        </w:tc>
        <w:tc>
          <w:tcPr>
            <w:tcW w:type="dxa" w:w="4248"/>
          </w:tcPr>
          <w:p>
            <w:pPr>
              <w:spacing w:after="40"/>
              <w:jc w:val="left"/>
            </w:pPr>
            <w:r/>
            <w:r>
              <w:rPr>
                <w:sz w:val="17"/>
              </w:rPr>
              <w:t>Addresses the shared-device exposure in household and station settings.</w:t>
            </w:r>
          </w:p>
        </w:tc>
      </w:tr>
      <w:tr>
        <w:tc>
          <w:tcPr>
            <w:tcW w:type="dxa" w:w="720"/>
          </w:tcPr>
          <w:p>
            <w:pPr>
              <w:spacing w:after="40"/>
              <w:jc w:val="left"/>
            </w:pPr>
            <w:r/>
            <w:r>
              <w:rPr>
                <w:sz w:val="17"/>
              </w:rPr>
              <w:t>R-12</w:t>
            </w:r>
          </w:p>
        </w:tc>
        <w:tc>
          <w:tcPr>
            <w:tcW w:type="dxa" w:w="1080"/>
          </w:tcPr>
          <w:p>
            <w:pPr>
              <w:spacing w:after="40"/>
              <w:jc w:val="left"/>
            </w:pPr>
            <w:r/>
            <w:r>
              <w:rPr>
                <w:sz w:val="17"/>
              </w:rPr>
              <w:t>Medium</w:t>
            </w:r>
          </w:p>
        </w:tc>
        <w:tc>
          <w:tcPr>
            <w:tcW w:type="dxa" w:w="4320"/>
          </w:tcPr>
          <w:p>
            <w:pPr>
              <w:spacing w:after="40"/>
              <w:jc w:val="left"/>
            </w:pPr>
            <w:r/>
            <w:r>
              <w:rPr>
                <w:sz w:val="17"/>
              </w:rPr>
              <w:t>Cease retaining user_agent, or reduce it to a coarse device-class token.</w:t>
            </w:r>
          </w:p>
        </w:tc>
        <w:tc>
          <w:tcPr>
            <w:tcW w:type="dxa" w:w="4248"/>
          </w:tcPr>
          <w:p>
            <w:pPr>
              <w:spacing w:after="40"/>
              <w:jc w:val="left"/>
            </w:pPr>
            <w:r/>
            <w:r>
              <w:rPr>
                <w:sz w:val="17"/>
              </w:rPr>
              <w:t>Retention is not justified by any current, documented purpose, and the string is a fingerprinting surface. Data minimisation.</w:t>
            </w:r>
          </w:p>
        </w:tc>
      </w:tr>
      <w:tr>
        <w:tc>
          <w:tcPr>
            <w:tcW w:type="dxa" w:w="720"/>
          </w:tcPr>
          <w:p>
            <w:pPr>
              <w:spacing w:after="40"/>
              <w:jc w:val="left"/>
            </w:pPr>
            <w:r/>
            <w:r>
              <w:rPr>
                <w:sz w:val="17"/>
              </w:rPr>
              <w:t>R-14</w:t>
            </w:r>
          </w:p>
        </w:tc>
        <w:tc>
          <w:tcPr>
            <w:tcW w:type="dxa" w:w="1080"/>
          </w:tcPr>
          <w:p>
            <w:pPr>
              <w:spacing w:after="40"/>
              <w:jc w:val="left"/>
            </w:pPr>
            <w:r/>
            <w:r>
              <w:rPr>
                <w:sz w:val="17"/>
              </w:rPr>
              <w:t>Medium</w:t>
            </w:r>
          </w:p>
        </w:tc>
        <w:tc>
          <w:tcPr>
            <w:tcW w:type="dxa" w:w="4320"/>
          </w:tcPr>
          <w:p>
            <w:pPr>
              <w:spacing w:after="40"/>
              <w:jc w:val="left"/>
            </w:pPr>
            <w:r/>
            <w:r>
              <w:rPr>
                <w:sz w:val="17"/>
              </w:rPr>
              <w:t>Restrict the edge functions' Access-Control-Allow-Origin to the deployment's own origins.</w:t>
            </w:r>
          </w:p>
        </w:tc>
        <w:tc>
          <w:tcPr>
            <w:tcW w:type="dxa" w:w="4248"/>
          </w:tcPr>
          <w:p>
            <w:pPr>
              <w:spacing w:after="40"/>
              <w:jc w:val="left"/>
            </w:pPr>
            <w:r/>
            <w:r>
              <w:rPr>
                <w:sz w:val="17"/>
              </w:rPr>
              <w:t>Defence in depth; a wildcard origin permits third-party sites to drive the endpoint even though validation is origin-independent.</w:t>
            </w:r>
          </w:p>
        </w:tc>
      </w:tr>
      <w:tr>
        <w:tc>
          <w:tcPr>
            <w:tcW w:type="dxa" w:w="720"/>
          </w:tcPr>
          <w:p>
            <w:pPr>
              <w:spacing w:after="40"/>
              <w:jc w:val="left"/>
            </w:pPr>
            <w:r/>
            <w:r>
              <w:rPr>
                <w:sz w:val="17"/>
              </w:rPr>
              <w:t>R-15</w:t>
            </w:r>
          </w:p>
        </w:tc>
        <w:tc>
          <w:tcPr>
            <w:tcW w:type="dxa" w:w="1080"/>
          </w:tcPr>
          <w:p>
            <w:pPr>
              <w:spacing w:after="40"/>
              <w:jc w:val="left"/>
            </w:pPr>
            <w:r/>
            <w:r>
              <w:rPr>
                <w:sz w:val="17"/>
              </w:rPr>
              <w:t>Medium</w:t>
            </w:r>
          </w:p>
        </w:tc>
        <w:tc>
          <w:tcPr>
            <w:tcW w:type="dxa" w:w="4320"/>
          </w:tcPr>
          <w:p>
            <w:pPr>
              <w:spacing w:after="40"/>
              <w:jc w:val="left"/>
            </w:pPr>
            <w:r/>
            <w:r>
              <w:rPr>
                <w:sz w:val="17"/>
              </w:rPr>
              <w:t>Enforce multi-factor authentication on every super_admin account.</w:t>
            </w:r>
          </w:p>
        </w:tc>
        <w:tc>
          <w:tcPr>
            <w:tcW w:type="dxa" w:w="4248"/>
          </w:tcPr>
          <w:p>
            <w:pPr>
              <w:spacing w:after="40"/>
              <w:jc w:val="left"/>
            </w:pPr>
            <w:r/>
            <w:r>
              <w:rPr>
                <w:sz w:val="17"/>
              </w:rPr>
              <w:t>A single credential is the sole barrier to the entire response corpus. ISO/IEC 27001 A.5.17; NIST SP 800-63B.</w:t>
            </w:r>
          </w:p>
        </w:tc>
      </w:tr>
      <w:tr>
        <w:tc>
          <w:tcPr>
            <w:tcW w:type="dxa" w:w="720"/>
          </w:tcPr>
          <w:p>
            <w:pPr>
              <w:spacing w:after="40"/>
              <w:jc w:val="left"/>
            </w:pPr>
            <w:r/>
            <w:r>
              <w:rPr>
                <w:sz w:val="17"/>
              </w:rPr>
              <w:t>R-16</w:t>
            </w:r>
          </w:p>
        </w:tc>
        <w:tc>
          <w:tcPr>
            <w:tcW w:type="dxa" w:w="1080"/>
          </w:tcPr>
          <w:p>
            <w:pPr>
              <w:spacing w:after="40"/>
              <w:jc w:val="left"/>
            </w:pPr>
            <w:r/>
            <w:r>
              <w:rPr>
                <w:sz w:val="17"/>
              </w:rPr>
              <w:t>Medium</w:t>
            </w:r>
          </w:p>
        </w:tc>
        <w:tc>
          <w:tcPr>
            <w:tcW w:type="dxa" w:w="4320"/>
          </w:tcPr>
          <w:p>
            <w:pPr>
              <w:spacing w:after="40"/>
              <w:jc w:val="left"/>
            </w:pPr>
            <w:r/>
            <w:r>
              <w:rPr>
                <w:sz w:val="17"/>
              </w:rPr>
              <w:t>Formalise an incident-response and breach-notification runbook with named roles and a 72-hour notification target.</w:t>
            </w:r>
          </w:p>
        </w:tc>
        <w:tc>
          <w:tcPr>
            <w:tcW w:type="dxa" w:w="4248"/>
          </w:tcPr>
          <w:p>
            <w:pPr>
              <w:spacing w:after="40"/>
              <w:jc w:val="left"/>
            </w:pPr>
            <w:r/>
            <w:r>
              <w:rPr>
                <w:sz w:val="17"/>
              </w:rPr>
              <w:t>DPDP §8(6) breach reporting to the Board and affected principals; NIST CSF RS function.</w:t>
            </w:r>
          </w:p>
        </w:tc>
      </w:tr>
      <w:tr>
        <w:tc>
          <w:tcPr>
            <w:tcW w:type="dxa" w:w="720"/>
          </w:tcPr>
          <w:p>
            <w:pPr>
              <w:spacing w:after="40"/>
              <w:jc w:val="left"/>
            </w:pPr>
            <w:r/>
            <w:r>
              <w:rPr>
                <w:sz w:val="17"/>
              </w:rPr>
              <w:t>R-7</w:t>
            </w:r>
          </w:p>
        </w:tc>
        <w:tc>
          <w:tcPr>
            <w:tcW w:type="dxa" w:w="1080"/>
          </w:tcPr>
          <w:p>
            <w:pPr>
              <w:spacing w:after="40"/>
              <w:jc w:val="left"/>
            </w:pPr>
            <w:r/>
            <w:r>
              <w:rPr>
                <w:sz w:val="17"/>
              </w:rPr>
              <w:t>Medium</w:t>
            </w:r>
          </w:p>
        </w:tc>
        <w:tc>
          <w:tcPr>
            <w:tcW w:type="dxa" w:w="4320"/>
          </w:tcPr>
          <w:p>
            <w:pPr>
              <w:spacing w:after="40"/>
              <w:jc w:val="left"/>
            </w:pPr>
            <w:r/>
            <w:r>
              <w:rPr>
                <w:sz w:val="17"/>
              </w:rPr>
              <w:t>Record the AI provider's data-processing terms; disable AI import for any instrument whose licence restricts third-party transmission.</w:t>
            </w:r>
          </w:p>
        </w:tc>
        <w:tc>
          <w:tcPr>
            <w:tcW w:type="dxa" w:w="4248"/>
          </w:tcPr>
          <w:p>
            <w:pPr>
              <w:spacing w:after="40"/>
              <w:jc w:val="left"/>
            </w:pPr>
            <w:r/>
            <w:r>
              <w:rPr>
                <w:sz w:val="17"/>
              </w:rPr>
              <w:t>The only third-party transfer in the system; requires documented processor terms.</w:t>
            </w:r>
          </w:p>
        </w:tc>
      </w:tr>
      <w:tr>
        <w:tc>
          <w:tcPr>
            <w:tcW w:type="dxa" w:w="720"/>
          </w:tcPr>
          <w:p>
            <w:pPr>
              <w:spacing w:after="40"/>
              <w:jc w:val="left"/>
            </w:pPr>
            <w:r/>
            <w:r>
              <w:rPr>
                <w:sz w:val="17"/>
              </w:rPr>
              <w:t>R-8</w:t>
            </w:r>
          </w:p>
        </w:tc>
        <w:tc>
          <w:tcPr>
            <w:tcW w:type="dxa" w:w="1080"/>
          </w:tcPr>
          <w:p>
            <w:pPr>
              <w:spacing w:after="40"/>
              <w:jc w:val="left"/>
            </w:pPr>
            <w:r/>
            <w:r>
              <w:rPr>
                <w:sz w:val="17"/>
              </w:rPr>
              <w:t>Medium</w:t>
            </w:r>
          </w:p>
        </w:tc>
        <w:tc>
          <w:tcPr>
            <w:tcW w:type="dxa" w:w="4320"/>
          </w:tcPr>
          <w:p>
            <w:pPr>
              <w:spacing w:after="40"/>
              <w:jc w:val="left"/>
            </w:pPr>
            <w:r/>
            <w:r>
              <w:rPr>
                <w:sz w:val="17"/>
              </w:rPr>
              <w:t>Certify Telugu instrument text through documented forward–backward translation and pilot before scored use; test measurement invariance across language groups before pooling.</w:t>
            </w:r>
          </w:p>
        </w:tc>
        <w:tc>
          <w:tcPr>
            <w:tcW w:type="dxa" w:w="4248"/>
          </w:tcPr>
          <w:p>
            <w:pPr>
              <w:spacing w:after="40"/>
              <w:jc w:val="left"/>
            </w:pPr>
            <w:r/>
            <w:r>
              <w:rPr>
                <w:sz w:val="17"/>
              </w:rPr>
              <w:t>A mistranslated clinical item silently measures a different construct.</w:t>
            </w:r>
          </w:p>
        </w:tc>
      </w:tr>
      <w:tr>
        <w:tc>
          <w:tcPr>
            <w:tcW w:type="dxa" w:w="720"/>
          </w:tcPr>
          <w:p>
            <w:pPr>
              <w:spacing w:after="40"/>
              <w:jc w:val="left"/>
            </w:pPr>
            <w:r/>
            <w:r>
              <w:rPr>
                <w:sz w:val="17"/>
              </w:rPr>
              <w:t>R-9</w:t>
            </w:r>
          </w:p>
        </w:tc>
        <w:tc>
          <w:tcPr>
            <w:tcW w:type="dxa" w:w="1080"/>
          </w:tcPr>
          <w:p>
            <w:pPr>
              <w:spacing w:after="40"/>
              <w:jc w:val="left"/>
            </w:pPr>
            <w:r/>
            <w:r>
              <w:rPr>
                <w:sz w:val="17"/>
              </w:rPr>
              <w:t>Medium</w:t>
            </w:r>
          </w:p>
        </w:tc>
        <w:tc>
          <w:tcPr>
            <w:tcW w:type="dxa" w:w="4320"/>
          </w:tcPr>
          <w:p>
            <w:pPr>
              <w:spacing w:after="40"/>
              <w:jc w:val="left"/>
            </w:pPr>
            <w:r/>
            <w:r>
              <w:rPr>
                <w:sz w:val="17"/>
              </w:rPr>
              <w:t>Establish and file written permission or licence status per instrument prior to publication.</w:t>
            </w:r>
          </w:p>
        </w:tc>
        <w:tc>
          <w:tcPr>
            <w:tcW w:type="dxa" w:w="4248"/>
          </w:tcPr>
          <w:p>
            <w:pPr>
              <w:spacing w:after="40"/>
              <w:jc w:val="left"/>
            </w:pPr>
            <w:r/>
            <w:r>
              <w:rPr>
                <w:sz w:val="17"/>
              </w:rPr>
              <w:t>IRI, PID-5, WHO-5 and SUPRE-MISS material carry differing terms; the BDI's current editions are commercially licensed.</w:t>
            </w:r>
          </w:p>
        </w:tc>
      </w:tr>
      <w:tr>
        <w:tc>
          <w:tcPr>
            <w:tcW w:type="dxa" w:w="720"/>
          </w:tcPr>
          <w:p>
            <w:pPr>
              <w:spacing w:after="40"/>
              <w:jc w:val="left"/>
            </w:pPr>
            <w:r/>
            <w:r>
              <w:rPr>
                <w:sz w:val="17"/>
              </w:rPr>
              <w:t>R-10</w:t>
            </w:r>
          </w:p>
        </w:tc>
        <w:tc>
          <w:tcPr>
            <w:tcW w:type="dxa" w:w="1080"/>
          </w:tcPr>
          <w:p>
            <w:pPr>
              <w:spacing w:after="40"/>
              <w:jc w:val="left"/>
            </w:pPr>
            <w:r/>
            <w:r>
              <w:rPr>
                <w:sz w:val="17"/>
              </w:rPr>
              <w:t>Low</w:t>
            </w:r>
          </w:p>
        </w:tc>
        <w:tc>
          <w:tcPr>
            <w:tcW w:type="dxa" w:w="4320"/>
          </w:tcPr>
          <w:p>
            <w:pPr>
              <w:spacing w:after="40"/>
              <w:jc w:val="left"/>
            </w:pPr>
            <w:r/>
            <w:r>
              <w:rPr>
                <w:sz w:val="17"/>
              </w:rPr>
              <w:t>Round or bucket submission timestamps in exported datasets to the nearest hour or day.</w:t>
            </w:r>
          </w:p>
        </w:tc>
        <w:tc>
          <w:tcPr>
            <w:tcW w:type="dxa" w:w="4248"/>
          </w:tcPr>
          <w:p>
            <w:pPr>
              <w:spacing w:after="40"/>
              <w:jc w:val="left"/>
            </w:pPr>
            <w:r/>
            <w:r>
              <w:rPr>
                <w:sz w:val="17"/>
              </w:rPr>
              <w:t>Reduces timestamp-correlation re-identification with negligible analytic loss.</w:t>
            </w:r>
          </w:p>
        </w:tc>
      </w:tr>
      <w:tr>
        <w:tc>
          <w:tcPr>
            <w:tcW w:type="dxa" w:w="720"/>
          </w:tcPr>
          <w:p>
            <w:pPr>
              <w:spacing w:after="40"/>
              <w:jc w:val="left"/>
            </w:pPr>
            <w:r/>
            <w:r>
              <w:rPr>
                <w:sz w:val="17"/>
              </w:rPr>
              <w:t>R-17</w:t>
            </w:r>
          </w:p>
        </w:tc>
        <w:tc>
          <w:tcPr>
            <w:tcW w:type="dxa" w:w="1080"/>
          </w:tcPr>
          <w:p>
            <w:pPr>
              <w:spacing w:after="40"/>
              <w:jc w:val="left"/>
            </w:pPr>
            <w:r/>
            <w:r>
              <w:rPr>
                <w:sz w:val="17"/>
              </w:rPr>
              <w:t>Low</w:t>
            </w:r>
          </w:p>
        </w:tc>
        <w:tc>
          <w:tcPr>
            <w:tcW w:type="dxa" w:w="4320"/>
          </w:tcPr>
          <w:p>
            <w:pPr>
              <w:spacing w:after="40"/>
              <w:jc w:val="left"/>
            </w:pPr>
            <w:r/>
            <w:r>
              <w:rPr>
                <w:sz w:val="17"/>
              </w:rPr>
              <w:t>Formally drop or archive the unused legacy participants / assessment_* tables.</w:t>
            </w:r>
          </w:p>
        </w:tc>
        <w:tc>
          <w:tcPr>
            <w:tcW w:type="dxa" w:w="4248"/>
          </w:tcPr>
          <w:p>
            <w:pPr>
              <w:spacing w:after="40"/>
              <w:jc w:val="left"/>
            </w:pPr>
            <w:r/>
            <w:r>
              <w:rPr>
                <w:sz w:val="17"/>
              </w:rPr>
              <w:t>Removes a structurally identifiable health-data store that serves no current purpose.</w:t>
            </w:r>
          </w:p>
        </w:tc>
      </w:tr>
      <w:tr>
        <w:tc>
          <w:tcPr>
            <w:tcW w:type="dxa" w:w="720"/>
          </w:tcPr>
          <w:p>
            <w:pPr>
              <w:spacing w:after="40"/>
              <w:jc w:val="left"/>
            </w:pPr>
            <w:r/>
            <w:r>
              <w:rPr>
                <w:sz w:val="17"/>
              </w:rPr>
              <w:t>R-18</w:t>
            </w:r>
          </w:p>
        </w:tc>
        <w:tc>
          <w:tcPr>
            <w:tcW w:type="dxa" w:w="1080"/>
          </w:tcPr>
          <w:p>
            <w:pPr>
              <w:spacing w:after="40"/>
              <w:jc w:val="left"/>
            </w:pPr>
            <w:r/>
            <w:r>
              <w:rPr>
                <w:sz w:val="17"/>
              </w:rPr>
              <w:t>Low</w:t>
            </w:r>
          </w:p>
        </w:tc>
        <w:tc>
          <w:tcPr>
            <w:tcW w:type="dxa" w:w="4320"/>
          </w:tcPr>
          <w:p>
            <w:pPr>
              <w:spacing w:after="40"/>
              <w:jc w:val="left"/>
            </w:pPr>
            <w:r/>
            <w:r>
              <w:rPr>
                <w:sz w:val="17"/>
              </w:rPr>
              <w:t>Add a Content-Security-Policy and related security response headers to the hosting configuration.</w:t>
            </w:r>
          </w:p>
        </w:tc>
        <w:tc>
          <w:tcPr>
            <w:tcW w:type="dxa" w:w="4248"/>
          </w:tcPr>
          <w:p>
            <w:pPr>
              <w:spacing w:after="40"/>
              <w:jc w:val="left"/>
            </w:pPr>
            <w:r/>
            <w:r>
              <w:rPr>
                <w:sz w:val="17"/>
              </w:rPr>
              <w:t>Reduces the impact of any injected script on a page that handles sensitive input. OWASP A05.</w:t>
            </w:r>
          </w:p>
        </w:tc>
      </w:tr>
    </w:tbl>
    <w:p>
      <w:pPr>
        <w:spacing w:after="0"/>
      </w:pPr>
    </w:p>
    <w:p>
      <w:pPr>
        <w:spacing w:after="240"/>
        <w:jc w:val="left"/>
      </w:pPr>
      <w:r>
        <w:rPr>
          <w:i/>
          <w:color w:val="555F6D"/>
          <w:sz w:val="18"/>
        </w:rPr>
        <w:t>Table 10.1 — Prioritised recommendations. R-1 through R-6 should be closed before field deployment.</w:t>
      </w:r>
    </w:p>
    <w:p>
      <w:pPr>
        <w:pStyle w:val="Heading2"/>
      </w:pPr>
      <w:r>
        <w:t>10.1 Limitations of this assessment</w:t>
      </w:r>
    </w:p>
    <w:p>
      <w:r>
        <w:rPr>
          <w:b w:val="0"/>
          <w:i w:val="0"/>
        </w:rPr>
        <w:t>Three limitations qualify the conclusions. No penetration test or independent security audit has been conducted; the findings rest on source review and architectural analysis. No empirical re-identification study was possible, since no production response corpus existed at the time of assessment; the disclosure analysis in §9 is therefore analytical. And the assessment covers the application and its database, not the operational environment in which administrators work — endpoint security, credential handling and the physical security of exported files are governed by departmental policy outside this document's scope, and are precisely where well-designed systems most often fail in practice.</w:t>
      </w:r>
    </w:p>
    <w:p>
      <w:r>
        <w:br w:type="page"/>
      </w:r>
    </w:p>
    <w:p>
      <w:pPr>
        <w:pStyle w:val="Heading1"/>
      </w:pPr>
      <w:r>
        <w:t>11. Compliance Traceability Matrix</w:t>
      </w:r>
    </w:p>
    <w:p>
      <w:r>
        <w:rPr>
          <w:b w:val="0"/>
          <w:i w:val="0"/>
        </w:rPr>
        <w:t>The matrix below allows an auditor to move in either direction: from a framework clause to the artefact that satisfies it, or from an implemented control to the obligations it discharges.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2304"/>
            <w:shd w:val="clear" w:color="auto" w:fill="122A54"/>
          </w:tcPr>
          <w:p>
            <w:pPr>
              <w:jc w:val="left"/>
            </w:pPr>
            <w:r/>
            <w:r>
              <w:rPr>
                <w:b/>
                <w:color w:val="FFFFFF"/>
                <w:sz w:val="16"/>
              </w:rPr>
              <w:t>Control</w:t>
            </w:r>
          </w:p>
        </w:tc>
        <w:tc>
          <w:tcPr>
            <w:tcW w:type="dxa" w:w="2952"/>
            <w:shd w:val="clear" w:color="auto" w:fill="122A54"/>
          </w:tcPr>
          <w:p>
            <w:pPr>
              <w:jc w:val="left"/>
            </w:pPr>
            <w:r/>
            <w:r>
              <w:rPr>
                <w:b/>
                <w:color w:val="FFFFFF"/>
                <w:sz w:val="16"/>
              </w:rPr>
              <w:t>Evidence in system</w:t>
            </w:r>
          </w:p>
        </w:tc>
        <w:tc>
          <w:tcPr>
            <w:tcW w:type="dxa" w:w="1037"/>
            <w:shd w:val="clear" w:color="auto" w:fill="122A54"/>
          </w:tcPr>
          <w:p>
            <w:pPr>
              <w:jc w:val="left"/>
            </w:pPr>
            <w:r/>
            <w:r>
              <w:rPr>
                <w:b/>
                <w:color w:val="FFFFFF"/>
                <w:sz w:val="16"/>
              </w:rPr>
              <w:t>DPDP 2023</w:t>
            </w:r>
          </w:p>
        </w:tc>
        <w:tc>
          <w:tcPr>
            <w:tcW w:type="dxa" w:w="1512"/>
            <w:shd w:val="clear" w:color="auto" w:fill="122A54"/>
          </w:tcPr>
          <w:p>
            <w:pPr>
              <w:jc w:val="left"/>
            </w:pPr>
            <w:r/>
            <w:r>
              <w:rPr>
                <w:b/>
                <w:color w:val="FFFFFF"/>
                <w:sz w:val="16"/>
              </w:rPr>
              <w:t>ISO/IEC 27001:2022</w:t>
            </w:r>
          </w:p>
        </w:tc>
        <w:tc>
          <w:tcPr>
            <w:tcW w:type="dxa" w:w="1843"/>
            <w:shd w:val="clear" w:color="auto" w:fill="122A54"/>
          </w:tcPr>
          <w:p>
            <w:pPr>
              <w:jc w:val="left"/>
            </w:pPr>
            <w:r/>
            <w:r>
              <w:rPr>
                <w:b/>
                <w:color w:val="FFFFFF"/>
                <w:sz w:val="16"/>
              </w:rPr>
              <w:t>GDPR (benchmark)</w:t>
            </w:r>
          </w:p>
        </w:tc>
        <w:tc>
          <w:tcPr>
            <w:tcW w:type="dxa" w:w="720"/>
            <w:shd w:val="clear" w:color="auto" w:fill="122A54"/>
          </w:tcPr>
          <w:p>
            <w:pPr>
              <w:jc w:val="left"/>
            </w:pPr>
            <w:r/>
            <w:r>
              <w:rPr>
                <w:b/>
                <w:color w:val="FFFFFF"/>
                <w:sz w:val="16"/>
              </w:rPr>
              <w:t>OWASP</w:t>
            </w:r>
          </w:p>
        </w:tc>
      </w:tr>
      <w:tr>
        <w:tc>
          <w:tcPr>
            <w:tcW w:type="dxa" w:w="2304"/>
          </w:tcPr>
          <w:p>
            <w:pPr>
              <w:spacing w:after="40"/>
              <w:jc w:val="left"/>
            </w:pPr>
            <w:r/>
            <w:r>
              <w:rPr>
                <w:sz w:val="16"/>
              </w:rPr>
              <w:t>Anonymous-by-architecture collection</w:t>
            </w:r>
          </w:p>
        </w:tc>
        <w:tc>
          <w:tcPr>
            <w:tcW w:type="dxa" w:w="2952"/>
          </w:tcPr>
          <w:p>
            <w:pPr>
              <w:spacing w:after="40"/>
              <w:jc w:val="left"/>
            </w:pPr>
            <w:r/>
            <w:r>
              <w:rPr>
                <w:sz w:val="16"/>
              </w:rPr>
              <w:t>No respondent auth; no identifier columns in survey_responses</w:t>
            </w:r>
          </w:p>
        </w:tc>
        <w:tc>
          <w:tcPr>
            <w:tcW w:type="dxa" w:w="1037"/>
          </w:tcPr>
          <w:p>
            <w:pPr>
              <w:spacing w:after="40"/>
              <w:jc w:val="left"/>
            </w:pPr>
            <w:r/>
            <w:r>
              <w:rPr>
                <w:sz w:val="16"/>
              </w:rPr>
              <w:t>§4, §8(1)</w:t>
            </w:r>
          </w:p>
        </w:tc>
        <w:tc>
          <w:tcPr>
            <w:tcW w:type="dxa" w:w="1512"/>
          </w:tcPr>
          <w:p>
            <w:pPr>
              <w:spacing w:after="40"/>
              <w:jc w:val="left"/>
            </w:pPr>
            <w:r/>
            <w:r>
              <w:rPr>
                <w:sz w:val="16"/>
              </w:rPr>
              <w:t>A.5.34</w:t>
            </w:r>
          </w:p>
        </w:tc>
        <w:tc>
          <w:tcPr>
            <w:tcW w:type="dxa" w:w="1843"/>
          </w:tcPr>
          <w:p>
            <w:pPr>
              <w:spacing w:after="40"/>
              <w:jc w:val="left"/>
            </w:pPr>
            <w:r/>
            <w:r>
              <w:rPr>
                <w:sz w:val="16"/>
              </w:rPr>
              <w:t>Art. 5(1)(c), Art. 89(1)</w:t>
            </w:r>
          </w:p>
        </w:tc>
        <w:tc>
          <w:tcPr>
            <w:tcW w:type="dxa" w:w="720"/>
          </w:tcPr>
          <w:p>
            <w:pPr>
              <w:spacing w:after="40"/>
              <w:jc w:val="left"/>
            </w:pPr>
            <w:r/>
            <w:r>
              <w:rPr>
                <w:sz w:val="16"/>
              </w:rPr>
              <w:t>—</w:t>
            </w:r>
          </w:p>
        </w:tc>
      </w:tr>
      <w:tr>
        <w:tc>
          <w:tcPr>
            <w:tcW w:type="dxa" w:w="2304"/>
          </w:tcPr>
          <w:p>
            <w:pPr>
              <w:spacing w:after="40"/>
              <w:jc w:val="left"/>
            </w:pPr>
            <w:r/>
            <w:r>
              <w:rPr>
                <w:sz w:val="16"/>
              </w:rPr>
              <w:t>Row-level security on all tables</w:t>
            </w:r>
          </w:p>
        </w:tc>
        <w:tc>
          <w:tcPr>
            <w:tcW w:type="dxa" w:w="2952"/>
          </w:tcPr>
          <w:p>
            <w:pPr>
              <w:spacing w:after="40"/>
              <w:jc w:val="left"/>
            </w:pPr>
            <w:r/>
            <w:r>
              <w:rPr>
                <w:sz w:val="16"/>
              </w:rPr>
              <w:t>Policy set across all migrations</w:t>
            </w:r>
          </w:p>
        </w:tc>
        <w:tc>
          <w:tcPr>
            <w:tcW w:type="dxa" w:w="1037"/>
          </w:tcPr>
          <w:p>
            <w:pPr>
              <w:spacing w:after="40"/>
              <w:jc w:val="left"/>
            </w:pPr>
            <w:r/>
            <w:r>
              <w:rPr>
                <w:sz w:val="16"/>
              </w:rPr>
              <w:t>§8(4)</w:t>
            </w:r>
          </w:p>
        </w:tc>
        <w:tc>
          <w:tcPr>
            <w:tcW w:type="dxa" w:w="1512"/>
          </w:tcPr>
          <w:p>
            <w:pPr>
              <w:spacing w:after="40"/>
              <w:jc w:val="left"/>
            </w:pPr>
            <w:r/>
            <w:r>
              <w:rPr>
                <w:sz w:val="16"/>
              </w:rPr>
              <w:t>A.8.3, A.5.15</w:t>
            </w:r>
          </w:p>
        </w:tc>
        <w:tc>
          <w:tcPr>
            <w:tcW w:type="dxa" w:w="1843"/>
          </w:tcPr>
          <w:p>
            <w:pPr>
              <w:spacing w:after="40"/>
              <w:jc w:val="left"/>
            </w:pPr>
            <w:r/>
            <w:r>
              <w:rPr>
                <w:sz w:val="16"/>
              </w:rPr>
              <w:t>Art. 32(1)(b)</w:t>
            </w:r>
          </w:p>
        </w:tc>
        <w:tc>
          <w:tcPr>
            <w:tcW w:type="dxa" w:w="720"/>
          </w:tcPr>
          <w:p>
            <w:pPr>
              <w:spacing w:after="40"/>
              <w:jc w:val="left"/>
            </w:pPr>
            <w:r/>
            <w:r>
              <w:rPr>
                <w:sz w:val="16"/>
              </w:rPr>
              <w:t>A01</w:t>
            </w:r>
          </w:p>
        </w:tc>
      </w:tr>
      <w:tr>
        <w:tc>
          <w:tcPr>
            <w:tcW w:type="dxa" w:w="2304"/>
          </w:tcPr>
          <w:p>
            <w:pPr>
              <w:spacing w:after="40"/>
              <w:jc w:val="left"/>
            </w:pPr>
            <w:r/>
            <w:r>
              <w:rPr>
                <w:sz w:val="16"/>
              </w:rPr>
              <w:t>Least-privilege grants; anon INSERT revoked</w:t>
            </w:r>
          </w:p>
        </w:tc>
        <w:tc>
          <w:tcPr>
            <w:tcW w:type="dxa" w:w="2952"/>
          </w:tcPr>
          <w:p>
            <w:pPr>
              <w:spacing w:after="40"/>
              <w:jc w:val="left"/>
            </w:pPr>
            <w:r/>
            <w:r>
              <w:rPr>
                <w:sz w:val="16"/>
              </w:rPr>
              <w:t>20260714150000_analytics_and_hardening.sql</w:t>
            </w:r>
          </w:p>
        </w:tc>
        <w:tc>
          <w:tcPr>
            <w:tcW w:type="dxa" w:w="1037"/>
          </w:tcPr>
          <w:p>
            <w:pPr>
              <w:spacing w:after="40"/>
              <w:jc w:val="left"/>
            </w:pPr>
            <w:r/>
            <w:r>
              <w:rPr>
                <w:sz w:val="16"/>
              </w:rPr>
              <w:t>§8(4)</w:t>
            </w:r>
          </w:p>
        </w:tc>
        <w:tc>
          <w:tcPr>
            <w:tcW w:type="dxa" w:w="1512"/>
          </w:tcPr>
          <w:p>
            <w:pPr>
              <w:spacing w:after="40"/>
              <w:jc w:val="left"/>
            </w:pPr>
            <w:r/>
            <w:r>
              <w:rPr>
                <w:sz w:val="16"/>
              </w:rPr>
              <w:t>A.5.18, A.8.2</w:t>
            </w:r>
          </w:p>
        </w:tc>
        <w:tc>
          <w:tcPr>
            <w:tcW w:type="dxa" w:w="1843"/>
          </w:tcPr>
          <w:p>
            <w:pPr>
              <w:spacing w:after="40"/>
              <w:jc w:val="left"/>
            </w:pPr>
            <w:r/>
            <w:r>
              <w:rPr>
                <w:sz w:val="16"/>
              </w:rPr>
              <w:t>Art. 32</w:t>
            </w:r>
          </w:p>
        </w:tc>
        <w:tc>
          <w:tcPr>
            <w:tcW w:type="dxa" w:w="720"/>
          </w:tcPr>
          <w:p>
            <w:pPr>
              <w:spacing w:after="40"/>
              <w:jc w:val="left"/>
            </w:pPr>
            <w:r/>
            <w:r>
              <w:rPr>
                <w:sz w:val="16"/>
              </w:rPr>
              <w:t>A01</w:t>
            </w:r>
          </w:p>
        </w:tc>
      </w:tr>
      <w:tr>
        <w:tc>
          <w:tcPr>
            <w:tcW w:type="dxa" w:w="2304"/>
          </w:tcPr>
          <w:p>
            <w:pPr>
              <w:spacing w:after="40"/>
              <w:jc w:val="left"/>
            </w:pPr>
            <w:r/>
            <w:r>
              <w:rPr>
                <w:sz w:val="16"/>
              </w:rPr>
              <w:t>Server-side mediated write boundary</w:t>
            </w:r>
          </w:p>
        </w:tc>
        <w:tc>
          <w:tcPr>
            <w:tcW w:type="dxa" w:w="2952"/>
          </w:tcPr>
          <w:p>
            <w:pPr>
              <w:spacing w:after="40"/>
              <w:jc w:val="left"/>
            </w:pPr>
            <w:r/>
            <w:r>
              <w:rPr>
                <w:sz w:val="16"/>
              </w:rPr>
              <w:t>supabase/functions/submit-response/index.ts</w:t>
            </w:r>
          </w:p>
        </w:tc>
        <w:tc>
          <w:tcPr>
            <w:tcW w:type="dxa" w:w="1037"/>
          </w:tcPr>
          <w:p>
            <w:pPr>
              <w:spacing w:after="40"/>
              <w:jc w:val="left"/>
            </w:pPr>
            <w:r/>
            <w:r>
              <w:rPr>
                <w:sz w:val="16"/>
              </w:rPr>
              <w:t>§8(4)</w:t>
            </w:r>
          </w:p>
        </w:tc>
        <w:tc>
          <w:tcPr>
            <w:tcW w:type="dxa" w:w="1512"/>
          </w:tcPr>
          <w:p>
            <w:pPr>
              <w:spacing w:after="40"/>
              <w:jc w:val="left"/>
            </w:pPr>
            <w:r/>
            <w:r>
              <w:rPr>
                <w:sz w:val="16"/>
              </w:rPr>
              <w:t>A.8.28</w:t>
            </w:r>
          </w:p>
        </w:tc>
        <w:tc>
          <w:tcPr>
            <w:tcW w:type="dxa" w:w="1843"/>
          </w:tcPr>
          <w:p>
            <w:pPr>
              <w:spacing w:after="40"/>
              <w:jc w:val="left"/>
            </w:pPr>
            <w:r/>
            <w:r>
              <w:rPr>
                <w:sz w:val="16"/>
              </w:rPr>
              <w:t>Art. 25(1)</w:t>
            </w:r>
          </w:p>
        </w:tc>
        <w:tc>
          <w:tcPr>
            <w:tcW w:type="dxa" w:w="720"/>
          </w:tcPr>
          <w:p>
            <w:pPr>
              <w:spacing w:after="40"/>
              <w:jc w:val="left"/>
            </w:pPr>
            <w:r/>
            <w:r>
              <w:rPr>
                <w:sz w:val="16"/>
              </w:rPr>
              <w:t>A04</w:t>
            </w:r>
          </w:p>
        </w:tc>
      </w:tr>
      <w:tr>
        <w:tc>
          <w:tcPr>
            <w:tcW w:type="dxa" w:w="2304"/>
          </w:tcPr>
          <w:p>
            <w:pPr>
              <w:spacing w:after="40"/>
              <w:jc w:val="left"/>
            </w:pPr>
            <w:r/>
            <w:r>
              <w:rPr>
                <w:sz w:val="16"/>
              </w:rPr>
              <w:t>Input validation, bounding, ownership check</w:t>
            </w:r>
          </w:p>
        </w:tc>
        <w:tc>
          <w:tcPr>
            <w:tcW w:type="dxa" w:w="2952"/>
          </w:tcPr>
          <w:p>
            <w:pPr>
              <w:spacing w:after="40"/>
              <w:jc w:val="left"/>
            </w:pPr>
            <w:r/>
            <w:r>
              <w:rPr>
                <w:sz w:val="16"/>
              </w:rPr>
              <w:t>submit-response §validation chain</w:t>
            </w:r>
          </w:p>
        </w:tc>
        <w:tc>
          <w:tcPr>
            <w:tcW w:type="dxa" w:w="1037"/>
          </w:tcPr>
          <w:p>
            <w:pPr>
              <w:spacing w:after="40"/>
              <w:jc w:val="left"/>
            </w:pPr>
            <w:r/>
            <w:r>
              <w:rPr>
                <w:sz w:val="16"/>
              </w:rPr>
              <w:t>§8(4)</w:t>
            </w:r>
          </w:p>
        </w:tc>
        <w:tc>
          <w:tcPr>
            <w:tcW w:type="dxa" w:w="1512"/>
          </w:tcPr>
          <w:p>
            <w:pPr>
              <w:spacing w:after="40"/>
              <w:jc w:val="left"/>
            </w:pPr>
            <w:r/>
            <w:r>
              <w:rPr>
                <w:sz w:val="16"/>
              </w:rPr>
              <w:t>A.8.28</w:t>
            </w:r>
          </w:p>
        </w:tc>
        <w:tc>
          <w:tcPr>
            <w:tcW w:type="dxa" w:w="1843"/>
          </w:tcPr>
          <w:p>
            <w:pPr>
              <w:spacing w:after="40"/>
              <w:jc w:val="left"/>
            </w:pPr>
            <w:r/>
            <w:r>
              <w:rPr>
                <w:sz w:val="16"/>
              </w:rPr>
              <w:t>Art. 32</w:t>
            </w:r>
          </w:p>
        </w:tc>
        <w:tc>
          <w:tcPr>
            <w:tcW w:type="dxa" w:w="720"/>
          </w:tcPr>
          <w:p>
            <w:pPr>
              <w:spacing w:after="40"/>
              <w:jc w:val="left"/>
            </w:pPr>
            <w:r/>
            <w:r>
              <w:rPr>
                <w:sz w:val="16"/>
              </w:rPr>
              <w:t>A03, A04</w:t>
            </w:r>
          </w:p>
        </w:tc>
      </w:tr>
      <w:tr>
        <w:tc>
          <w:tcPr>
            <w:tcW w:type="dxa" w:w="2304"/>
          </w:tcPr>
          <w:p>
            <w:pPr>
              <w:spacing w:after="40"/>
              <w:jc w:val="left"/>
            </w:pPr>
            <w:r/>
            <w:r>
              <w:rPr>
                <w:sz w:val="16"/>
              </w:rPr>
              <w:t>Atomic rate limiting (advisory lock)</w:t>
            </w:r>
          </w:p>
        </w:tc>
        <w:tc>
          <w:tcPr>
            <w:tcW w:type="dxa" w:w="2952"/>
          </w:tcPr>
          <w:p>
            <w:pPr>
              <w:spacing w:after="40"/>
              <w:jc w:val="left"/>
            </w:pPr>
            <w:r/>
            <w:r>
              <w:rPr>
                <w:sz w:val="16"/>
              </w:rPr>
              <w:t>claim_survey_submission_slot()</w:t>
            </w:r>
          </w:p>
        </w:tc>
        <w:tc>
          <w:tcPr>
            <w:tcW w:type="dxa" w:w="1037"/>
          </w:tcPr>
          <w:p>
            <w:pPr>
              <w:spacing w:after="40"/>
              <w:jc w:val="left"/>
            </w:pPr>
            <w:r/>
            <w:r>
              <w:rPr>
                <w:sz w:val="16"/>
              </w:rPr>
              <w:t>§8(4)</w:t>
            </w:r>
          </w:p>
        </w:tc>
        <w:tc>
          <w:tcPr>
            <w:tcW w:type="dxa" w:w="1512"/>
          </w:tcPr>
          <w:p>
            <w:pPr>
              <w:spacing w:after="40"/>
              <w:jc w:val="left"/>
            </w:pPr>
            <w:r/>
            <w:r>
              <w:rPr>
                <w:sz w:val="16"/>
              </w:rPr>
              <w:t>A.8.6</w:t>
            </w:r>
          </w:p>
        </w:tc>
        <w:tc>
          <w:tcPr>
            <w:tcW w:type="dxa" w:w="1843"/>
          </w:tcPr>
          <w:p>
            <w:pPr>
              <w:spacing w:after="40"/>
              <w:jc w:val="left"/>
            </w:pPr>
            <w:r/>
            <w:r>
              <w:rPr>
                <w:sz w:val="16"/>
              </w:rPr>
              <w:t>Art. 32(1)(b)</w:t>
            </w:r>
          </w:p>
        </w:tc>
        <w:tc>
          <w:tcPr>
            <w:tcW w:type="dxa" w:w="720"/>
          </w:tcPr>
          <w:p>
            <w:pPr>
              <w:spacing w:after="40"/>
              <w:jc w:val="left"/>
            </w:pPr>
            <w:r/>
            <w:r>
              <w:rPr>
                <w:sz w:val="16"/>
              </w:rPr>
              <w:t>A04</w:t>
            </w:r>
          </w:p>
        </w:tc>
      </w:tr>
      <w:tr>
        <w:tc>
          <w:tcPr>
            <w:tcW w:type="dxa" w:w="2304"/>
          </w:tcPr>
          <w:p>
            <w:pPr>
              <w:spacing w:after="40"/>
              <w:jc w:val="left"/>
            </w:pPr>
            <w:r/>
            <w:r>
              <w:rPr>
                <w:sz w:val="16"/>
              </w:rPr>
              <w:t>Pseudonymisation of network identifier</w:t>
            </w:r>
          </w:p>
        </w:tc>
        <w:tc>
          <w:tcPr>
            <w:tcW w:type="dxa" w:w="2952"/>
          </w:tcPr>
          <w:p>
            <w:pPr>
              <w:spacing w:after="40"/>
              <w:jc w:val="left"/>
            </w:pPr>
            <w:r/>
            <w:r>
              <w:rPr>
                <w:sz w:val="16"/>
              </w:rPr>
              <w:t>SHA-256 ip_hash (see R-1)</w:t>
            </w:r>
          </w:p>
        </w:tc>
        <w:tc>
          <w:tcPr>
            <w:tcW w:type="dxa" w:w="1037"/>
          </w:tcPr>
          <w:p>
            <w:pPr>
              <w:spacing w:after="40"/>
              <w:jc w:val="left"/>
            </w:pPr>
            <w:r/>
            <w:r>
              <w:rPr>
                <w:sz w:val="16"/>
              </w:rPr>
              <w:t>§8(4)</w:t>
            </w:r>
          </w:p>
        </w:tc>
        <w:tc>
          <w:tcPr>
            <w:tcW w:type="dxa" w:w="1512"/>
          </w:tcPr>
          <w:p>
            <w:pPr>
              <w:spacing w:after="40"/>
              <w:jc w:val="left"/>
            </w:pPr>
            <w:r/>
            <w:r>
              <w:rPr>
                <w:sz w:val="16"/>
              </w:rPr>
              <w:t>A.8.24</w:t>
            </w:r>
          </w:p>
        </w:tc>
        <w:tc>
          <w:tcPr>
            <w:tcW w:type="dxa" w:w="1843"/>
          </w:tcPr>
          <w:p>
            <w:pPr>
              <w:spacing w:after="40"/>
              <w:jc w:val="left"/>
            </w:pPr>
            <w:r/>
            <w:r>
              <w:rPr>
                <w:sz w:val="16"/>
              </w:rPr>
              <w:t>Art. 4(5), Art. 32(1)(a)</w:t>
            </w:r>
          </w:p>
        </w:tc>
        <w:tc>
          <w:tcPr>
            <w:tcW w:type="dxa" w:w="720"/>
          </w:tcPr>
          <w:p>
            <w:pPr>
              <w:spacing w:after="40"/>
              <w:jc w:val="left"/>
            </w:pPr>
            <w:r/>
            <w:r>
              <w:rPr>
                <w:sz w:val="16"/>
              </w:rPr>
              <w:t>—</w:t>
            </w:r>
          </w:p>
        </w:tc>
      </w:tr>
      <w:tr>
        <w:tc>
          <w:tcPr>
            <w:tcW w:type="dxa" w:w="2304"/>
          </w:tcPr>
          <w:p>
            <w:pPr>
              <w:spacing w:after="40"/>
              <w:jc w:val="left"/>
            </w:pPr>
            <w:r/>
            <w:r>
              <w:rPr>
                <w:sz w:val="16"/>
              </w:rPr>
              <w:t>Purpose limitation at consent</w:t>
            </w:r>
          </w:p>
        </w:tc>
        <w:tc>
          <w:tcPr>
            <w:tcW w:type="dxa" w:w="2952"/>
          </w:tcPr>
          <w:p>
            <w:pPr>
              <w:spacing w:after="40"/>
              <w:jc w:val="left"/>
            </w:pPr>
            <w:r/>
            <w:r>
              <w:rPr>
                <w:sz w:val="16"/>
              </w:rPr>
              <w:t>i18n consent strings; analytics are aggregate-only</w:t>
            </w:r>
          </w:p>
        </w:tc>
        <w:tc>
          <w:tcPr>
            <w:tcW w:type="dxa" w:w="1037"/>
          </w:tcPr>
          <w:p>
            <w:pPr>
              <w:spacing w:after="40"/>
              <w:jc w:val="left"/>
            </w:pPr>
            <w:r/>
            <w:r>
              <w:rPr>
                <w:sz w:val="16"/>
              </w:rPr>
              <w:t>§4, §5</w:t>
            </w:r>
          </w:p>
        </w:tc>
        <w:tc>
          <w:tcPr>
            <w:tcW w:type="dxa" w:w="1512"/>
          </w:tcPr>
          <w:p>
            <w:pPr>
              <w:spacing w:after="40"/>
              <w:jc w:val="left"/>
            </w:pPr>
            <w:r/>
            <w:r>
              <w:rPr>
                <w:sz w:val="16"/>
              </w:rPr>
              <w:t>A.5.34</w:t>
            </w:r>
          </w:p>
        </w:tc>
        <w:tc>
          <w:tcPr>
            <w:tcW w:type="dxa" w:w="1843"/>
          </w:tcPr>
          <w:p>
            <w:pPr>
              <w:spacing w:after="40"/>
              <w:jc w:val="left"/>
            </w:pPr>
            <w:r/>
            <w:r>
              <w:rPr>
                <w:sz w:val="16"/>
              </w:rPr>
              <w:t>Art. 5(1)(b)</w:t>
            </w:r>
          </w:p>
        </w:tc>
        <w:tc>
          <w:tcPr>
            <w:tcW w:type="dxa" w:w="720"/>
          </w:tcPr>
          <w:p>
            <w:pPr>
              <w:spacing w:after="40"/>
              <w:jc w:val="left"/>
            </w:pPr>
            <w:r/>
            <w:r>
              <w:rPr>
                <w:sz w:val="16"/>
              </w:rPr>
              <w:t>—</w:t>
            </w:r>
          </w:p>
        </w:tc>
      </w:tr>
      <w:tr>
        <w:tc>
          <w:tcPr>
            <w:tcW w:type="dxa" w:w="2304"/>
          </w:tcPr>
          <w:p>
            <w:pPr>
              <w:spacing w:after="40"/>
              <w:jc w:val="left"/>
            </w:pPr>
            <w:r/>
            <w:r>
              <w:rPr>
                <w:sz w:val="16"/>
              </w:rPr>
              <w:t>Explicit affirmative consent gate</w:t>
            </w:r>
          </w:p>
        </w:tc>
        <w:tc>
          <w:tcPr>
            <w:tcW w:type="dxa" w:w="2952"/>
          </w:tcPr>
          <w:p>
            <w:pPr>
              <w:spacing w:after="40"/>
              <w:jc w:val="left"/>
            </w:pPr>
            <w:r/>
            <w:r>
              <w:rPr>
                <w:sz w:val="16"/>
              </w:rPr>
              <w:t>Consent stage precedes item rendering</w:t>
            </w:r>
          </w:p>
        </w:tc>
        <w:tc>
          <w:tcPr>
            <w:tcW w:type="dxa" w:w="1037"/>
          </w:tcPr>
          <w:p>
            <w:pPr>
              <w:spacing w:after="40"/>
              <w:jc w:val="left"/>
            </w:pPr>
            <w:r/>
            <w:r>
              <w:rPr>
                <w:sz w:val="16"/>
              </w:rPr>
              <w:t>§6(1)</w:t>
            </w:r>
          </w:p>
        </w:tc>
        <w:tc>
          <w:tcPr>
            <w:tcW w:type="dxa" w:w="1512"/>
          </w:tcPr>
          <w:p>
            <w:pPr>
              <w:spacing w:after="40"/>
              <w:jc w:val="left"/>
            </w:pPr>
            <w:r/>
            <w:r>
              <w:rPr>
                <w:sz w:val="16"/>
              </w:rPr>
              <w:t>A.5.34</w:t>
            </w:r>
          </w:p>
        </w:tc>
        <w:tc>
          <w:tcPr>
            <w:tcW w:type="dxa" w:w="1843"/>
          </w:tcPr>
          <w:p>
            <w:pPr>
              <w:spacing w:after="40"/>
              <w:jc w:val="left"/>
            </w:pPr>
            <w:r/>
            <w:r>
              <w:rPr>
                <w:sz w:val="16"/>
              </w:rPr>
              <w:t>Art. 4(11), Art. 7</w:t>
            </w:r>
          </w:p>
        </w:tc>
        <w:tc>
          <w:tcPr>
            <w:tcW w:type="dxa" w:w="720"/>
          </w:tcPr>
          <w:p>
            <w:pPr>
              <w:spacing w:after="40"/>
              <w:jc w:val="left"/>
            </w:pPr>
            <w:r/>
            <w:r>
              <w:rPr>
                <w:sz w:val="16"/>
              </w:rPr>
              <w:t>—</w:t>
            </w:r>
          </w:p>
        </w:tc>
      </w:tr>
      <w:tr>
        <w:tc>
          <w:tcPr>
            <w:tcW w:type="dxa" w:w="2304"/>
          </w:tcPr>
          <w:p>
            <w:pPr>
              <w:spacing w:after="40"/>
              <w:jc w:val="left"/>
            </w:pPr>
            <w:r/>
            <w:r>
              <w:rPr>
                <w:sz w:val="16"/>
              </w:rPr>
              <w:t>Bilingual accessible notice</w:t>
            </w:r>
          </w:p>
        </w:tc>
        <w:tc>
          <w:tcPr>
            <w:tcW w:type="dxa" w:w="2952"/>
          </w:tcPr>
          <w:p>
            <w:pPr>
              <w:spacing w:after="40"/>
              <w:jc w:val="left"/>
            </w:pPr>
            <w:r/>
            <w:r>
              <w:rPr>
                <w:sz w:val="16"/>
              </w:rPr>
              <w:t>src/lib/i18n.ts (en/te pairs)</w:t>
            </w:r>
          </w:p>
        </w:tc>
        <w:tc>
          <w:tcPr>
            <w:tcW w:type="dxa" w:w="1037"/>
          </w:tcPr>
          <w:p>
            <w:pPr>
              <w:spacing w:after="40"/>
              <w:jc w:val="left"/>
            </w:pPr>
            <w:r/>
            <w:r>
              <w:rPr>
                <w:sz w:val="16"/>
              </w:rPr>
              <w:t>§5(3)</w:t>
            </w:r>
          </w:p>
        </w:tc>
        <w:tc>
          <w:tcPr>
            <w:tcW w:type="dxa" w:w="1512"/>
          </w:tcPr>
          <w:p>
            <w:pPr>
              <w:spacing w:after="40"/>
              <w:jc w:val="left"/>
            </w:pPr>
            <w:r/>
            <w:r>
              <w:rPr>
                <w:sz w:val="16"/>
              </w:rPr>
              <w:t>A.5.34</w:t>
            </w:r>
          </w:p>
        </w:tc>
        <w:tc>
          <w:tcPr>
            <w:tcW w:type="dxa" w:w="1843"/>
          </w:tcPr>
          <w:p>
            <w:pPr>
              <w:spacing w:after="40"/>
              <w:jc w:val="left"/>
            </w:pPr>
            <w:r/>
            <w:r>
              <w:rPr>
                <w:sz w:val="16"/>
              </w:rPr>
              <w:t>Art. 12(1)</w:t>
            </w:r>
          </w:p>
        </w:tc>
        <w:tc>
          <w:tcPr>
            <w:tcW w:type="dxa" w:w="720"/>
          </w:tcPr>
          <w:p>
            <w:pPr>
              <w:spacing w:after="40"/>
              <w:jc w:val="left"/>
            </w:pPr>
            <w:r/>
            <w:r>
              <w:rPr>
                <w:sz w:val="16"/>
              </w:rPr>
              <w:t>—</w:t>
            </w:r>
          </w:p>
        </w:tc>
      </w:tr>
      <w:tr>
        <w:tc>
          <w:tcPr>
            <w:tcW w:type="dxa" w:w="2304"/>
          </w:tcPr>
          <w:p>
            <w:pPr>
              <w:spacing w:after="40"/>
              <w:jc w:val="left"/>
            </w:pPr>
            <w:r/>
            <w:r>
              <w:rPr>
                <w:sz w:val="16"/>
              </w:rPr>
              <w:t>Administrative audit trail</w:t>
            </w:r>
          </w:p>
        </w:tc>
        <w:tc>
          <w:tcPr>
            <w:tcW w:type="dxa" w:w="2952"/>
          </w:tcPr>
          <w:p>
            <w:pPr>
              <w:spacing w:after="40"/>
              <w:jc w:val="left"/>
            </w:pPr>
            <w:r/>
            <w:r>
              <w:rPr>
                <w:sz w:val="16"/>
              </w:rPr>
              <w:t>audit_logs, insert bound to auth.uid()</w:t>
            </w:r>
          </w:p>
        </w:tc>
        <w:tc>
          <w:tcPr>
            <w:tcW w:type="dxa" w:w="1037"/>
          </w:tcPr>
          <w:p>
            <w:pPr>
              <w:spacing w:after="40"/>
              <w:jc w:val="left"/>
            </w:pPr>
            <w:r/>
            <w:r>
              <w:rPr>
                <w:sz w:val="16"/>
              </w:rPr>
              <w:t>§8(4)</w:t>
            </w:r>
          </w:p>
        </w:tc>
        <w:tc>
          <w:tcPr>
            <w:tcW w:type="dxa" w:w="1512"/>
          </w:tcPr>
          <w:p>
            <w:pPr>
              <w:spacing w:after="40"/>
              <w:jc w:val="left"/>
            </w:pPr>
            <w:r/>
            <w:r>
              <w:rPr>
                <w:sz w:val="16"/>
              </w:rPr>
              <w:t>A.8.15</w:t>
            </w:r>
          </w:p>
        </w:tc>
        <w:tc>
          <w:tcPr>
            <w:tcW w:type="dxa" w:w="1843"/>
          </w:tcPr>
          <w:p>
            <w:pPr>
              <w:spacing w:after="40"/>
              <w:jc w:val="left"/>
            </w:pPr>
            <w:r/>
            <w:r>
              <w:rPr>
                <w:sz w:val="16"/>
              </w:rPr>
              <w:t>Art. 5(2)</w:t>
            </w:r>
          </w:p>
        </w:tc>
        <w:tc>
          <w:tcPr>
            <w:tcW w:type="dxa" w:w="720"/>
          </w:tcPr>
          <w:p>
            <w:pPr>
              <w:spacing w:after="40"/>
              <w:jc w:val="left"/>
            </w:pPr>
            <w:r/>
            <w:r>
              <w:rPr>
                <w:sz w:val="16"/>
              </w:rPr>
              <w:t>A09</w:t>
            </w:r>
          </w:p>
        </w:tc>
      </w:tr>
      <w:tr>
        <w:tc>
          <w:tcPr>
            <w:tcW w:type="dxa" w:w="2304"/>
          </w:tcPr>
          <w:p>
            <w:pPr>
              <w:spacing w:after="40"/>
              <w:jc w:val="left"/>
            </w:pPr>
            <w:r/>
            <w:r>
              <w:rPr>
                <w:sz w:val="16"/>
              </w:rPr>
              <w:t>Role/authentication separation</w:t>
            </w:r>
          </w:p>
        </w:tc>
        <w:tc>
          <w:tcPr>
            <w:tcW w:type="dxa" w:w="2952"/>
          </w:tcPr>
          <w:p>
            <w:pPr>
              <w:spacing w:after="40"/>
              <w:jc w:val="left"/>
            </w:pPr>
            <w:r/>
            <w:r>
              <w:rPr>
                <w:sz w:val="16"/>
              </w:rPr>
              <w:t>user_roles table + has_role() SECURITY DEFINER</w:t>
            </w:r>
          </w:p>
        </w:tc>
        <w:tc>
          <w:tcPr>
            <w:tcW w:type="dxa" w:w="1037"/>
          </w:tcPr>
          <w:p>
            <w:pPr>
              <w:spacing w:after="40"/>
              <w:jc w:val="left"/>
            </w:pPr>
            <w:r/>
            <w:r>
              <w:rPr>
                <w:sz w:val="16"/>
              </w:rPr>
              <w:t>§8(4)</w:t>
            </w:r>
          </w:p>
        </w:tc>
        <w:tc>
          <w:tcPr>
            <w:tcW w:type="dxa" w:w="1512"/>
          </w:tcPr>
          <w:p>
            <w:pPr>
              <w:spacing w:after="40"/>
              <w:jc w:val="left"/>
            </w:pPr>
            <w:r/>
            <w:r>
              <w:rPr>
                <w:sz w:val="16"/>
              </w:rPr>
              <w:t>A.5.15, A.8.2</w:t>
            </w:r>
          </w:p>
        </w:tc>
        <w:tc>
          <w:tcPr>
            <w:tcW w:type="dxa" w:w="1843"/>
          </w:tcPr>
          <w:p>
            <w:pPr>
              <w:spacing w:after="40"/>
              <w:jc w:val="left"/>
            </w:pPr>
            <w:r/>
            <w:r>
              <w:rPr>
                <w:sz w:val="16"/>
              </w:rPr>
              <w:t>Art. 32</w:t>
            </w:r>
          </w:p>
        </w:tc>
        <w:tc>
          <w:tcPr>
            <w:tcW w:type="dxa" w:w="720"/>
          </w:tcPr>
          <w:p>
            <w:pPr>
              <w:spacing w:after="40"/>
              <w:jc w:val="left"/>
            </w:pPr>
            <w:r/>
            <w:r>
              <w:rPr>
                <w:sz w:val="16"/>
              </w:rPr>
              <w:t>A01</w:t>
            </w:r>
          </w:p>
        </w:tc>
      </w:tr>
      <w:tr>
        <w:tc>
          <w:tcPr>
            <w:tcW w:type="dxa" w:w="2304"/>
          </w:tcPr>
          <w:p>
            <w:pPr>
              <w:spacing w:after="40"/>
              <w:jc w:val="left"/>
            </w:pPr>
            <w:r/>
            <w:r>
              <w:rPr>
                <w:sz w:val="16"/>
              </w:rPr>
              <w:t>Encryption in transit and at rest</w:t>
            </w:r>
          </w:p>
        </w:tc>
        <w:tc>
          <w:tcPr>
            <w:tcW w:type="dxa" w:w="2952"/>
          </w:tcPr>
          <w:p>
            <w:pPr>
              <w:spacing w:after="40"/>
              <w:jc w:val="left"/>
            </w:pPr>
            <w:r/>
            <w:r>
              <w:rPr>
                <w:sz w:val="16"/>
              </w:rPr>
              <w:t>Platform TLS + managed storage encryption</w:t>
            </w:r>
          </w:p>
        </w:tc>
        <w:tc>
          <w:tcPr>
            <w:tcW w:type="dxa" w:w="1037"/>
          </w:tcPr>
          <w:p>
            <w:pPr>
              <w:spacing w:after="40"/>
              <w:jc w:val="left"/>
            </w:pPr>
            <w:r/>
            <w:r>
              <w:rPr>
                <w:sz w:val="16"/>
              </w:rPr>
              <w:t>§8(4)</w:t>
            </w:r>
          </w:p>
        </w:tc>
        <w:tc>
          <w:tcPr>
            <w:tcW w:type="dxa" w:w="1512"/>
          </w:tcPr>
          <w:p>
            <w:pPr>
              <w:spacing w:after="40"/>
              <w:jc w:val="left"/>
            </w:pPr>
            <w:r/>
            <w:r>
              <w:rPr>
                <w:sz w:val="16"/>
              </w:rPr>
              <w:t>A.8.24</w:t>
            </w:r>
          </w:p>
        </w:tc>
        <w:tc>
          <w:tcPr>
            <w:tcW w:type="dxa" w:w="1843"/>
          </w:tcPr>
          <w:p>
            <w:pPr>
              <w:spacing w:after="40"/>
              <w:jc w:val="left"/>
            </w:pPr>
            <w:r/>
            <w:r>
              <w:rPr>
                <w:sz w:val="16"/>
              </w:rPr>
              <w:t>Art. 32(1)(a)</w:t>
            </w:r>
          </w:p>
        </w:tc>
        <w:tc>
          <w:tcPr>
            <w:tcW w:type="dxa" w:w="720"/>
          </w:tcPr>
          <w:p>
            <w:pPr>
              <w:spacing w:after="40"/>
              <w:jc w:val="left"/>
            </w:pPr>
            <w:r/>
            <w:r>
              <w:rPr>
                <w:sz w:val="16"/>
              </w:rPr>
              <w:t>A02</w:t>
            </w:r>
          </w:p>
        </w:tc>
      </w:tr>
      <w:tr>
        <w:tc>
          <w:tcPr>
            <w:tcW w:type="dxa" w:w="2304"/>
          </w:tcPr>
          <w:p>
            <w:pPr>
              <w:spacing w:after="40"/>
              <w:jc w:val="left"/>
            </w:pPr>
            <w:r/>
            <w:r>
              <w:rPr>
                <w:sz w:val="16"/>
              </w:rPr>
              <w:t>Export minimisation (no ip_hash / user_agent)</w:t>
            </w:r>
          </w:p>
        </w:tc>
        <w:tc>
          <w:tcPr>
            <w:tcW w:type="dxa" w:w="2952"/>
          </w:tcPr>
          <w:p>
            <w:pPr>
              <w:spacing w:after="40"/>
              <w:jc w:val="left"/>
            </w:pPr>
            <w:r/>
            <w:r>
              <w:rPr>
                <w:sz w:val="16"/>
              </w:rPr>
              <w:t>src/lib/analytics.ts ExportResponseRow</w:t>
            </w:r>
          </w:p>
        </w:tc>
        <w:tc>
          <w:tcPr>
            <w:tcW w:type="dxa" w:w="1037"/>
          </w:tcPr>
          <w:p>
            <w:pPr>
              <w:spacing w:after="40"/>
              <w:jc w:val="left"/>
            </w:pPr>
            <w:r/>
            <w:r>
              <w:rPr>
                <w:sz w:val="16"/>
              </w:rPr>
              <w:t>§8(1)</w:t>
            </w:r>
          </w:p>
        </w:tc>
        <w:tc>
          <w:tcPr>
            <w:tcW w:type="dxa" w:w="1512"/>
          </w:tcPr>
          <w:p>
            <w:pPr>
              <w:spacing w:after="40"/>
              <w:jc w:val="left"/>
            </w:pPr>
            <w:r/>
            <w:r>
              <w:rPr>
                <w:sz w:val="16"/>
              </w:rPr>
              <w:t>A.8.10</w:t>
            </w:r>
          </w:p>
        </w:tc>
        <w:tc>
          <w:tcPr>
            <w:tcW w:type="dxa" w:w="1843"/>
          </w:tcPr>
          <w:p>
            <w:pPr>
              <w:spacing w:after="40"/>
              <w:jc w:val="left"/>
            </w:pPr>
            <w:r/>
            <w:r>
              <w:rPr>
                <w:sz w:val="16"/>
              </w:rPr>
              <w:t>Art. 5(1)(c)</w:t>
            </w:r>
          </w:p>
        </w:tc>
        <w:tc>
          <w:tcPr>
            <w:tcW w:type="dxa" w:w="720"/>
          </w:tcPr>
          <w:p>
            <w:pPr>
              <w:spacing w:after="40"/>
              <w:jc w:val="left"/>
            </w:pPr>
            <w:r/>
            <w:r>
              <w:rPr>
                <w:sz w:val="16"/>
              </w:rPr>
              <w:t>—</w:t>
            </w:r>
          </w:p>
        </w:tc>
      </w:tr>
      <w:tr>
        <w:tc>
          <w:tcPr>
            <w:tcW w:type="dxa" w:w="2304"/>
          </w:tcPr>
          <w:p>
            <w:pPr>
              <w:spacing w:after="40"/>
              <w:jc w:val="left"/>
            </w:pPr>
            <w:r/>
            <w:r>
              <w:rPr>
                <w:sz w:val="16"/>
              </w:rPr>
              <w:t>Third-party processing boundary</w:t>
            </w:r>
          </w:p>
        </w:tc>
        <w:tc>
          <w:tcPr>
            <w:tcW w:type="dxa" w:w="2952"/>
          </w:tcPr>
          <w:p>
            <w:pPr>
              <w:spacing w:after="40"/>
              <w:jc w:val="left"/>
            </w:pPr>
            <w:r/>
            <w:r>
              <w:rPr>
                <w:sz w:val="16"/>
              </w:rPr>
              <w:t>extract-questions: instrument text only, human review gate</w:t>
            </w:r>
          </w:p>
        </w:tc>
        <w:tc>
          <w:tcPr>
            <w:tcW w:type="dxa" w:w="1037"/>
          </w:tcPr>
          <w:p>
            <w:pPr>
              <w:spacing w:after="40"/>
              <w:jc w:val="left"/>
            </w:pPr>
            <w:r/>
            <w:r>
              <w:rPr>
                <w:sz w:val="16"/>
              </w:rPr>
              <w:t>§8(2)</w:t>
            </w:r>
          </w:p>
        </w:tc>
        <w:tc>
          <w:tcPr>
            <w:tcW w:type="dxa" w:w="1512"/>
          </w:tcPr>
          <w:p>
            <w:pPr>
              <w:spacing w:after="40"/>
              <w:jc w:val="left"/>
            </w:pPr>
            <w:r/>
            <w:r>
              <w:rPr>
                <w:sz w:val="16"/>
              </w:rPr>
              <w:t>A.5.19, A.5.21</w:t>
            </w:r>
          </w:p>
        </w:tc>
        <w:tc>
          <w:tcPr>
            <w:tcW w:type="dxa" w:w="1843"/>
          </w:tcPr>
          <w:p>
            <w:pPr>
              <w:spacing w:after="40"/>
              <w:jc w:val="left"/>
            </w:pPr>
            <w:r/>
            <w:r>
              <w:rPr>
                <w:sz w:val="16"/>
              </w:rPr>
              <w:t>Art. 28</w:t>
            </w:r>
          </w:p>
        </w:tc>
        <w:tc>
          <w:tcPr>
            <w:tcW w:type="dxa" w:w="720"/>
          </w:tcPr>
          <w:p>
            <w:pPr>
              <w:spacing w:after="40"/>
              <w:jc w:val="left"/>
            </w:pPr>
            <w:r/>
            <w:r>
              <w:rPr>
                <w:sz w:val="16"/>
              </w:rPr>
              <w:t>—</w:t>
            </w:r>
          </w:p>
        </w:tc>
      </w:tr>
      <w:tr>
        <w:tc>
          <w:tcPr>
            <w:tcW w:type="dxa" w:w="2304"/>
          </w:tcPr>
          <w:p>
            <w:pPr>
              <w:spacing w:after="40"/>
              <w:jc w:val="left"/>
            </w:pPr>
            <w:r/>
            <w:r>
              <w:rPr>
                <w:sz w:val="16"/>
              </w:rPr>
              <w:t>Content exposure narrowed on closure</w:t>
            </w:r>
          </w:p>
        </w:tc>
        <w:tc>
          <w:tcPr>
            <w:tcW w:type="dxa" w:w="2952"/>
          </w:tcPr>
          <w:p>
            <w:pPr>
              <w:spacing w:after="40"/>
              <w:jc w:val="left"/>
            </w:pPr>
            <w:r/>
            <w:r>
              <w:rPr>
                <w:sz w:val="16"/>
              </w:rPr>
              <w:t>20260718100000_tighten_public_read_rls.sql</w:t>
            </w:r>
          </w:p>
        </w:tc>
        <w:tc>
          <w:tcPr>
            <w:tcW w:type="dxa" w:w="1037"/>
          </w:tcPr>
          <w:p>
            <w:pPr>
              <w:spacing w:after="40"/>
              <w:jc w:val="left"/>
            </w:pPr>
            <w:r/>
            <w:r>
              <w:rPr>
                <w:sz w:val="16"/>
              </w:rPr>
              <w:t>§8(4)</w:t>
            </w:r>
          </w:p>
        </w:tc>
        <w:tc>
          <w:tcPr>
            <w:tcW w:type="dxa" w:w="1512"/>
          </w:tcPr>
          <w:p>
            <w:pPr>
              <w:spacing w:after="40"/>
              <w:jc w:val="left"/>
            </w:pPr>
            <w:r/>
            <w:r>
              <w:rPr>
                <w:sz w:val="16"/>
              </w:rPr>
              <w:t>A.8.3</w:t>
            </w:r>
          </w:p>
        </w:tc>
        <w:tc>
          <w:tcPr>
            <w:tcW w:type="dxa" w:w="1843"/>
          </w:tcPr>
          <w:p>
            <w:pPr>
              <w:spacing w:after="40"/>
              <w:jc w:val="left"/>
            </w:pPr>
            <w:r/>
            <w:r>
              <w:rPr>
                <w:sz w:val="16"/>
              </w:rPr>
              <w:t>Art. 25(2)</w:t>
            </w:r>
          </w:p>
        </w:tc>
        <w:tc>
          <w:tcPr>
            <w:tcW w:type="dxa" w:w="720"/>
          </w:tcPr>
          <w:p>
            <w:pPr>
              <w:spacing w:after="40"/>
              <w:jc w:val="left"/>
            </w:pPr>
            <w:r/>
            <w:r>
              <w:rPr>
                <w:sz w:val="16"/>
              </w:rPr>
              <w:t>A01</w:t>
            </w:r>
          </w:p>
        </w:tc>
      </w:tr>
    </w:tbl>
    <w:p>
      <w:pPr>
        <w:spacing w:after="0"/>
      </w:pPr>
    </w:p>
    <w:p>
      <w:pPr>
        <w:spacing w:after="240"/>
        <w:jc w:val="left"/>
      </w:pPr>
      <w:r>
        <w:rPr>
          <w:i/>
          <w:color w:val="555F6D"/>
          <w:sz w:val="18"/>
        </w:rPr>
        <w:t>Table 11.1 — Control-to-clause traceability matrix.</w:t>
      </w:r>
    </w:p>
    <w:p>
      <w:r>
        <w:br w:type="page"/>
      </w:r>
    </w:p>
    <w:p>
      <w:pPr>
        <w:pStyle w:val="Heading1"/>
      </w:pPr>
      <w:r>
        <w:t>12. Conclusion</w:t>
      </w:r>
    </w:p>
    <w:p>
      <w:r>
        <w:rPr>
          <w:b w:val="0"/>
          <w:i w:val="0"/>
        </w:rPr>
        <w:t>APFAP's information-governance posture rests on a single decision taken at the outset and honoured consistently thereafter: that the people whose psychological well-being the platform measures should never be identifiable to the institution that measures them. Everything else follows. Because there is no respondent account, there is no identifier; because there is no identifier, the most consequential harms associated with mental-health data — attribution, discrimination, employment consequence, coercion — cannot be realised through the platform's own records. This is protection by construction rather than by promise, and it is the strongest form the discipline offers.</w:t>
      </w:r>
    </w:p>
    <w:p>
      <w:r>
        <w:rPr>
          <w:b w:val="0"/>
          <w:i w:val="0"/>
        </w:rPr>
        <w:t>Around that decision the platform layers controls that are conventional individually and coherent collectively: authorisation enforced in the database rather than the client, a single mediated write path that cannot be bypassed, least-privilege grants that deny by default, validation and bounding at the trust boundary, an atomic rate limiter that protects the integrity of the research corpus as much as the availability of the service, and an export path that deliberately omits the two most re-identifying attributes it could have carried. The correction of the closed-survey read policy is a small matter technically but an instructive one ethically: it shows a project that reviews its own assumptions and narrows exposure when it finds them too broad.</w:t>
      </w:r>
    </w:p>
    <w:p>
      <w:r>
        <w:rPr>
          <w:b w:val="0"/>
          <w:i w:val="0"/>
        </w:rPr>
        <w:t>The residual risks are real and are named rather than minimised. The IP pseudonym is invertible as currently constructed. No retention schedule is enforced. Consent does not yet tell respondents that submission is irreversible, which is information they are entitled to weigh beforehand. And most seriously, an instrument that invites disclosure of suicidal ideation must not be fielded until it carries unconditional crisis resources on its face — because the same anonymity that makes honest disclosure possible makes reaching the discloser impossible, and that trade is only defensible when help is placed within reach of everyone, without their having to ask for it.</w:t>
      </w:r>
    </w:p>
    <w:p>
      <w:r>
        <w:rPr>
          <w:b w:val="0"/>
          <w:i w:val="0"/>
        </w:rPr>
        <w:t>Subject to closure of the critical and high-priority recommendations in §10, the platform is assessed as conformant with the Digital Personal Data Protection Act 2023, the SPDI Rules 2011, the ICMR National Ethical Guidelines 2017 and the Declaration of Helsinki, and as substantially aligned with ISO/IEC 27001:2022, ISO/IEC 27701, the NIST Cybersecurity Framework 2.0 and the GDPR's research provisions applied as a benchmark standard.</w:t>
      </w:r>
    </w:p>
    <w:p>
      <w:r>
        <w:br w:type="page"/>
      </w:r>
    </w:p>
    <w:p>
      <w:pPr>
        <w:pStyle w:val="Heading1"/>
      </w:pPr>
      <w:r>
        <w:t>References</w:t>
      </w:r>
    </w:p>
    <w:p>
      <w:pPr>
        <w:spacing w:after="140"/>
        <w:ind w:left="576" w:hanging="576"/>
        <w:jc w:val="left"/>
      </w:pPr>
      <w:r>
        <w:rPr>
          <w:sz w:val="20"/>
        </w:rPr>
        <w:t>Beck, A. T., Ward, C. H., Mendelson, M., Mock, J., &amp; Erbaugh, J. (1961). An inventory for measuring depression. Archives of General Psychiatry, 4, 561–571.</w:t>
      </w:r>
    </w:p>
    <w:p>
      <w:pPr>
        <w:spacing w:after="140"/>
        <w:ind w:left="576" w:hanging="576"/>
        <w:jc w:val="left"/>
      </w:pPr>
      <w:r>
        <w:rPr>
          <w:sz w:val="20"/>
        </w:rPr>
        <w:t>Cavoukian, A. (2011). Privacy by Design: The 7 Foundational Principles. Information and Privacy Commissioner of Ontario.</w:t>
      </w:r>
    </w:p>
    <w:p>
      <w:pPr>
        <w:spacing w:after="140"/>
        <w:ind w:left="576" w:hanging="576"/>
        <w:jc w:val="left"/>
      </w:pPr>
      <w:r>
        <w:rPr>
          <w:sz w:val="20"/>
        </w:rPr>
        <w:t>Council for International Organizations of Medical Sciences (CIOMS). (2016). International Ethical Guidelines for Health-related Research Involving Humans (4th ed.). Geneva: CIOMS.</w:t>
      </w:r>
    </w:p>
    <w:p>
      <w:pPr>
        <w:spacing w:after="140"/>
        <w:ind w:left="576" w:hanging="576"/>
        <w:jc w:val="left"/>
      </w:pPr>
      <w:r>
        <w:rPr>
          <w:sz w:val="20"/>
        </w:rPr>
        <w:t>Davis, M. H. (1980). A multidimensional approach to individual differences in empathy. JSAS Catalog of Selected Documents in Psychology, 10, 85.</w:t>
      </w:r>
    </w:p>
    <w:p>
      <w:pPr>
        <w:spacing w:after="140"/>
        <w:ind w:left="576" w:hanging="576"/>
        <w:jc w:val="left"/>
      </w:pPr>
      <w:r>
        <w:rPr>
          <w:sz w:val="20"/>
        </w:rPr>
        <w:t>Davis, M. H. (1983). Measuring individual differences in empathy: Evidence for a multidimensional approach. Journal of Personality and Social Psychology, 44(1), 113–126.</w:t>
      </w:r>
    </w:p>
    <w:p>
      <w:pPr>
        <w:spacing w:after="140"/>
        <w:ind w:left="576" w:hanging="576"/>
        <w:jc w:val="left"/>
      </w:pPr>
      <w:r>
        <w:rPr>
          <w:sz w:val="20"/>
        </w:rPr>
        <w:t>European Parliament and Council. (2016). Regulation (EU) 2016/679 (General Data Protection Regulation). Official Journal of the European Union, L119.</w:t>
      </w:r>
    </w:p>
    <w:p>
      <w:pPr>
        <w:spacing w:after="140"/>
        <w:ind w:left="576" w:hanging="576"/>
        <w:jc w:val="left"/>
      </w:pPr>
      <w:r>
        <w:rPr>
          <w:sz w:val="20"/>
        </w:rPr>
        <w:t>Eysenck, S. B. G., &amp; Eysenck, H. J. (1978). Impulsiveness and venturesomeness: Their position in a dimensional system of personality description. Psychological Reports, 43, 1247–1255.</w:t>
      </w:r>
    </w:p>
    <w:p>
      <w:pPr>
        <w:spacing w:after="140"/>
        <w:ind w:left="576" w:hanging="576"/>
        <w:jc w:val="left"/>
      </w:pPr>
      <w:r>
        <w:rPr>
          <w:sz w:val="20"/>
        </w:rPr>
        <w:t>Government of India. (2000). The Information Technology Act, 2000 (as amended).</w:t>
      </w:r>
    </w:p>
    <w:p>
      <w:pPr>
        <w:spacing w:after="140"/>
        <w:ind w:left="576" w:hanging="576"/>
        <w:jc w:val="left"/>
      </w:pPr>
      <w:r>
        <w:rPr>
          <w:sz w:val="20"/>
        </w:rPr>
        <w:t>Government of India. (2011). Information Technology (Reasonable Security Practices and Procedures and Sensitive Personal Data or Information) Rules, 2011.</w:t>
      </w:r>
    </w:p>
    <w:p>
      <w:pPr>
        <w:spacing w:after="140"/>
        <w:ind w:left="576" w:hanging="576"/>
        <w:jc w:val="left"/>
      </w:pPr>
      <w:r>
        <w:rPr>
          <w:sz w:val="20"/>
        </w:rPr>
        <w:t>Government of India. (2023). The Digital Personal Data Protection Act, 2023 (No. 22 of 2023).</w:t>
      </w:r>
    </w:p>
    <w:p>
      <w:pPr>
        <w:spacing w:after="140"/>
        <w:ind w:left="576" w:hanging="576"/>
        <w:jc w:val="left"/>
      </w:pPr>
      <w:r>
        <w:rPr>
          <w:sz w:val="20"/>
        </w:rPr>
        <w:t>Indian Council of Medical Research. (2017). National Ethical Guidelines for Biomedical and Health Research Involving Human Participants. New Delhi: ICMR.</w:t>
      </w:r>
    </w:p>
    <w:p>
      <w:pPr>
        <w:spacing w:after="140"/>
        <w:ind w:left="576" w:hanging="576"/>
        <w:jc w:val="left"/>
      </w:pPr>
      <w:r>
        <w:rPr>
          <w:sz w:val="20"/>
        </w:rPr>
        <w:t>ISO/IEC 27001:2022. Information security, cybersecurity and privacy protection — Information security management systems — Requirements. Geneva: International Organization for Standardization.</w:t>
      </w:r>
    </w:p>
    <w:p>
      <w:pPr>
        <w:spacing w:after="140"/>
        <w:ind w:left="576" w:hanging="576"/>
        <w:jc w:val="left"/>
      </w:pPr>
      <w:r>
        <w:rPr>
          <w:sz w:val="20"/>
        </w:rPr>
        <w:t>ISO/IEC 27002:2022. Information security, cybersecurity and privacy protection — Information security controls.</w:t>
      </w:r>
    </w:p>
    <w:p>
      <w:pPr>
        <w:spacing w:after="140"/>
        <w:ind w:left="576" w:hanging="576"/>
        <w:jc w:val="left"/>
      </w:pPr>
      <w:r>
        <w:rPr>
          <w:sz w:val="20"/>
        </w:rPr>
        <w:t>ISO/IEC 27701:2019. Security techniques — Extension to ISO/IEC 27001 and ISO/IEC 27002 for privacy information management.</w:t>
      </w:r>
    </w:p>
    <w:p>
      <w:pPr>
        <w:spacing w:after="140"/>
        <w:ind w:left="576" w:hanging="576"/>
        <w:jc w:val="left"/>
      </w:pPr>
      <w:r>
        <w:rPr>
          <w:sz w:val="20"/>
        </w:rPr>
        <w:t>ISO/IEC 29100:2011. Information technology — Security techniques — Privacy framework.</w:t>
      </w:r>
    </w:p>
    <w:p>
      <w:pPr>
        <w:spacing w:after="140"/>
        <w:ind w:left="576" w:hanging="576"/>
        <w:jc w:val="left"/>
      </w:pPr>
      <w:r>
        <w:rPr>
          <w:sz w:val="20"/>
        </w:rPr>
        <w:t>Keaton, S. A. (2017). Interpersonal Reactivity Index (IRI). In D. Worthington &amp; G. Bodie (Eds.), The Sourcebook of Listening Research: Methodology and Measures (pp. 340–347). Hoboken, NJ: John Wiley &amp; Sons. doi:10.1002/9781119102991.ch34</w:t>
      </w:r>
    </w:p>
    <w:p>
      <w:pPr>
        <w:spacing w:after="140"/>
        <w:ind w:left="576" w:hanging="576"/>
        <w:jc w:val="left"/>
      </w:pPr>
      <w:r>
        <w:rPr>
          <w:sz w:val="20"/>
        </w:rPr>
        <w:t>Krueger, R. F., Derringer, J., Markon, K. E., Watson, D., &amp; Skodol, A. E. (2012). Initial construction of a maladaptive personality trait model and inventory for DSM-5. Psychological Medicine, 42(9), 1879–1890.</w:t>
      </w:r>
    </w:p>
    <w:p>
      <w:pPr>
        <w:spacing w:after="140"/>
        <w:ind w:left="576" w:hanging="576"/>
        <w:jc w:val="left"/>
      </w:pPr>
      <w:r>
        <w:rPr>
          <w:sz w:val="20"/>
        </w:rPr>
        <w:t>Krueger, R. F., Derringer, J., Markon, K. E., Watson, D., &amp; Skodol, A. E. (2013). The Personality Inventory for DSM-5 — Brief Form (PID-5-BF). Washington, DC: American Psychiatric Association.</w:t>
      </w:r>
    </w:p>
    <w:p>
      <w:pPr>
        <w:spacing w:after="140"/>
        <w:ind w:left="576" w:hanging="576"/>
        <w:jc w:val="left"/>
      </w:pPr>
      <w:r>
        <w:rPr>
          <w:sz w:val="20"/>
        </w:rPr>
        <w:t>Meerkerk, G.-J., Van den Eijnden, R. J. J. M., Vermulst, A. A., &amp; Garretsen, H. F. L. (2009). The Compulsive Internet Use Scale (CIUS): Some psychometric properties. CyberPsychology &amp; Behavior, 12(1), 1–6. doi:10.1089/cpb.2008.0181</w:t>
      </w:r>
    </w:p>
    <w:p>
      <w:pPr>
        <w:spacing w:after="140"/>
        <w:ind w:left="576" w:hanging="576"/>
        <w:jc w:val="left"/>
      </w:pPr>
      <w:r>
        <w:rPr>
          <w:sz w:val="20"/>
        </w:rPr>
        <w:t>Narayanan, A., &amp; Shmatikov, V. (2008). Robust de-anonymization of large sparse datasets. Proceedings of the 2008 IEEE Symposium on Security and Privacy, 111–125.</w:t>
      </w:r>
    </w:p>
    <w:p>
      <w:pPr>
        <w:spacing w:after="140"/>
        <w:ind w:left="576" w:hanging="576"/>
        <w:jc w:val="left"/>
      </w:pPr>
      <w:r>
        <w:rPr>
          <w:sz w:val="20"/>
        </w:rPr>
        <w:t>National Commission for the Protection of Human Subjects of Biomedical and Behavioral Research. (1979). The Belmont Report: Ethical Principles and Guidelines for the Protection of Human Subjects of Research. Washington, DC: DHEW.</w:t>
      </w:r>
    </w:p>
    <w:p>
      <w:pPr>
        <w:spacing w:after="140"/>
        <w:ind w:left="576" w:hanging="576"/>
        <w:jc w:val="left"/>
      </w:pPr>
      <w:r>
        <w:rPr>
          <w:sz w:val="20"/>
        </w:rPr>
        <w:t>National Institute of Standards and Technology. (2020). NIST Privacy Framework: A Tool for Improving Privacy through Enterprise Risk Management, Version 1.0.</w:t>
      </w:r>
    </w:p>
    <w:p>
      <w:pPr>
        <w:spacing w:after="140"/>
        <w:ind w:left="576" w:hanging="576"/>
        <w:jc w:val="left"/>
      </w:pPr>
      <w:r>
        <w:rPr>
          <w:sz w:val="20"/>
        </w:rPr>
        <w:t>National Institute of Standards and Technology. (2024). The NIST Cybersecurity Framework (CSF) 2.0. NIST CSWP 29.</w:t>
      </w:r>
    </w:p>
    <w:p>
      <w:pPr>
        <w:spacing w:after="140"/>
        <w:ind w:left="576" w:hanging="576"/>
        <w:jc w:val="left"/>
      </w:pPr>
      <w:r>
        <w:rPr>
          <w:sz w:val="20"/>
        </w:rPr>
        <w:t>OWASP Foundation. (2021). OWASP Top 10: The Ten Most Critical Web Application Security Risks.</w:t>
      </w:r>
    </w:p>
    <w:p>
      <w:pPr>
        <w:spacing w:after="140"/>
        <w:ind w:left="576" w:hanging="576"/>
        <w:jc w:val="left"/>
      </w:pPr>
      <w:r>
        <w:rPr>
          <w:sz w:val="20"/>
        </w:rPr>
        <w:t>OWASP Foundation. (2021). OWASP Application Security Verification Standard (ASVS) 4.0.3.</w:t>
      </w:r>
    </w:p>
    <w:p>
      <w:pPr>
        <w:spacing w:after="140"/>
        <w:ind w:left="576" w:hanging="576"/>
        <w:jc w:val="left"/>
      </w:pPr>
      <w:r>
        <w:rPr>
          <w:sz w:val="20"/>
        </w:rPr>
        <w:t>Saltzer, J. H., &amp; Schroeder, M. D. (1975). The protection of information in computer systems. Proceedings of the IEEE, 63(9), 1278–1308.</w:t>
      </w:r>
    </w:p>
    <w:p>
      <w:pPr>
        <w:spacing w:after="140"/>
        <w:ind w:left="576" w:hanging="576"/>
        <w:jc w:val="left"/>
      </w:pPr>
      <w:r>
        <w:rPr>
          <w:sz w:val="20"/>
        </w:rPr>
        <w:t>Sweeney, L. (2002). k-anonymity: A model for protecting privacy. International Journal of Uncertainty, Fuzziness and Knowledge-Based Systems, 10(5), 557–570.</w:t>
      </w:r>
    </w:p>
    <w:p>
      <w:pPr>
        <w:spacing w:after="140"/>
        <w:ind w:left="576" w:hanging="576"/>
        <w:jc w:val="left"/>
      </w:pPr>
      <w:r>
        <w:rPr>
          <w:sz w:val="20"/>
        </w:rPr>
        <w:t>Topp, C. W., Østergaard, S. D., Søndergaard, S., &amp; Bech, P. (2015). The WHO-5 Well-Being Index: A systematic review of the literature. Psychotherapy and Psychosomatics, 84(3), 167–176.</w:t>
      </w:r>
    </w:p>
    <w:p>
      <w:pPr>
        <w:spacing w:after="140"/>
        <w:ind w:left="576" w:hanging="576"/>
        <w:jc w:val="left"/>
      </w:pPr>
      <w:r>
        <w:rPr>
          <w:sz w:val="20"/>
        </w:rPr>
        <w:t>World Health Organization. (2002). Multisite Intervention Study on Suicidal Behaviours — SUPRE-MISS: Protocol of SUPRE-MISS (WHO/MSD/MBD/02.1). Geneva: WHO.</w:t>
      </w:r>
    </w:p>
    <w:p>
      <w:pPr>
        <w:spacing w:after="140"/>
        <w:ind w:left="576" w:hanging="576"/>
        <w:jc w:val="left"/>
      </w:pPr>
      <w:r>
        <w:rPr>
          <w:sz w:val="20"/>
        </w:rPr>
        <w:t>World Medical Association. (2013). Declaration of Helsinki: Ethical Principles for Medical Research Involving Human Subjects. JAMA, 310(20), 2191–2194.</w:t>
      </w:r>
    </w:p>
    <w:p>
      <w:r>
        <w:br w:type="page"/>
      </w:r>
    </w:p>
    <w:p>
      <w:pPr>
        <w:pStyle w:val="Heading1"/>
      </w:pPr>
      <w:r>
        <w:t>Appendix A — Data Element Register</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448"/>
            <w:shd w:val="clear" w:color="auto" w:fill="122A54"/>
          </w:tcPr>
          <w:p>
            <w:pPr>
              <w:jc w:val="left"/>
            </w:pPr>
            <w:r/>
            <w:r>
              <w:rPr>
                <w:b/>
                <w:color w:val="FFFFFF"/>
                <w:sz w:val="17"/>
              </w:rPr>
              <w:t>Table</w:t>
            </w:r>
          </w:p>
        </w:tc>
        <w:tc>
          <w:tcPr>
            <w:tcW w:type="dxa" w:w="3096"/>
            <w:shd w:val="clear" w:color="auto" w:fill="122A54"/>
          </w:tcPr>
          <w:p>
            <w:pPr>
              <w:jc w:val="left"/>
            </w:pPr>
            <w:r/>
            <w:r>
              <w:rPr>
                <w:b/>
                <w:color w:val="FFFFFF"/>
                <w:sz w:val="17"/>
              </w:rPr>
              <w:t>Column</w:t>
            </w:r>
          </w:p>
        </w:tc>
        <w:tc>
          <w:tcPr>
            <w:tcW w:type="dxa" w:w="2520"/>
            <w:shd w:val="clear" w:color="auto" w:fill="122A54"/>
          </w:tcPr>
          <w:p>
            <w:pPr>
              <w:jc w:val="left"/>
            </w:pPr>
            <w:r/>
            <w:r>
              <w:rPr>
                <w:b/>
                <w:color w:val="FFFFFF"/>
                <w:sz w:val="17"/>
              </w:rPr>
              <w:t>Classification</w:t>
            </w:r>
          </w:p>
        </w:tc>
        <w:tc>
          <w:tcPr>
            <w:tcW w:type="dxa" w:w="2448"/>
            <w:shd w:val="clear" w:color="auto" w:fill="122A54"/>
          </w:tcPr>
          <w:p>
            <w:pPr>
              <w:jc w:val="left"/>
            </w:pPr>
            <w:r/>
            <w:r>
              <w:rPr>
                <w:b/>
                <w:color w:val="FFFFFF"/>
                <w:sz w:val="17"/>
              </w:rPr>
              <w:t>Retention trigger</w:t>
            </w:r>
          </w:p>
        </w:tc>
      </w:tr>
      <w:tr>
        <w:tc>
          <w:tcPr>
            <w:tcW w:type="dxa" w:w="2448"/>
          </w:tcPr>
          <w:p>
            <w:pPr>
              <w:spacing w:after="40"/>
              <w:jc w:val="left"/>
            </w:pPr>
            <w:r/>
            <w:r>
              <w:rPr>
                <w:sz w:val="17"/>
              </w:rPr>
              <w:t>survey_responses</w:t>
            </w:r>
          </w:p>
        </w:tc>
        <w:tc>
          <w:tcPr>
            <w:tcW w:type="dxa" w:w="3096"/>
          </w:tcPr>
          <w:p>
            <w:pPr>
              <w:spacing w:after="40"/>
              <w:jc w:val="left"/>
            </w:pPr>
            <w:r/>
            <w:r>
              <w:rPr>
                <w:sz w:val="17"/>
              </w:rPr>
              <w:t>id (uuid)</w:t>
            </w:r>
          </w:p>
        </w:tc>
        <w:tc>
          <w:tcPr>
            <w:tcW w:type="dxa" w:w="2520"/>
          </w:tcPr>
          <w:p>
            <w:pPr>
              <w:spacing w:after="40"/>
              <w:jc w:val="left"/>
            </w:pPr>
            <w:r/>
            <w:r>
              <w:rPr>
                <w:sz w:val="17"/>
              </w:rPr>
              <w:t>Pseudonymous key</w:t>
            </w:r>
          </w:p>
        </w:tc>
        <w:tc>
          <w:tcPr>
            <w:tcW w:type="dxa" w:w="2448"/>
          </w:tcPr>
          <w:p>
            <w:pPr>
              <w:spacing w:after="40"/>
              <w:jc w:val="left"/>
            </w:pPr>
            <w:r/>
            <w:r>
              <w:rPr>
                <w:sz w:val="17"/>
              </w:rPr>
              <w:t>Cascade on survey delete</w:t>
            </w:r>
          </w:p>
        </w:tc>
      </w:tr>
      <w:tr>
        <w:tc>
          <w:tcPr>
            <w:tcW w:type="dxa" w:w="2448"/>
          </w:tcPr>
          <w:p>
            <w:pPr>
              <w:spacing w:after="40"/>
              <w:jc w:val="left"/>
            </w:pPr>
            <w:r/>
            <w:r>
              <w:rPr>
                <w:sz w:val="17"/>
              </w:rPr>
              <w:t>survey_responses</w:t>
            </w:r>
          </w:p>
        </w:tc>
        <w:tc>
          <w:tcPr>
            <w:tcW w:type="dxa" w:w="3096"/>
          </w:tcPr>
          <w:p>
            <w:pPr>
              <w:spacing w:after="40"/>
              <w:jc w:val="left"/>
            </w:pPr>
            <w:r/>
            <w:r>
              <w:rPr>
                <w:sz w:val="17"/>
              </w:rPr>
              <w:t>survey_id</w:t>
            </w:r>
          </w:p>
        </w:tc>
        <w:tc>
          <w:tcPr>
            <w:tcW w:type="dxa" w:w="2520"/>
          </w:tcPr>
          <w:p>
            <w:pPr>
              <w:spacing w:after="40"/>
              <w:jc w:val="left"/>
            </w:pPr>
            <w:r/>
            <w:r>
              <w:rPr>
                <w:sz w:val="17"/>
              </w:rPr>
              <w:t>Non-personal</w:t>
            </w:r>
          </w:p>
        </w:tc>
        <w:tc>
          <w:tcPr>
            <w:tcW w:type="dxa" w:w="2448"/>
          </w:tcPr>
          <w:p>
            <w:pPr>
              <w:spacing w:after="40"/>
              <w:jc w:val="left"/>
            </w:pPr>
            <w:r/>
            <w:r>
              <w:rPr>
                <w:sz w:val="17"/>
              </w:rPr>
              <w:t>Cascade on survey delete</w:t>
            </w:r>
          </w:p>
        </w:tc>
      </w:tr>
      <w:tr>
        <w:tc>
          <w:tcPr>
            <w:tcW w:type="dxa" w:w="2448"/>
          </w:tcPr>
          <w:p>
            <w:pPr>
              <w:spacing w:after="40"/>
              <w:jc w:val="left"/>
            </w:pPr>
            <w:r/>
            <w:r>
              <w:rPr>
                <w:sz w:val="17"/>
              </w:rPr>
              <w:t>survey_responses</w:t>
            </w:r>
          </w:p>
        </w:tc>
        <w:tc>
          <w:tcPr>
            <w:tcW w:type="dxa" w:w="3096"/>
          </w:tcPr>
          <w:p>
            <w:pPr>
              <w:spacing w:after="40"/>
              <w:jc w:val="left"/>
            </w:pPr>
            <w:r/>
            <w:r>
              <w:rPr>
                <w:sz w:val="17"/>
              </w:rPr>
              <w:t>language</w:t>
            </w:r>
          </w:p>
        </w:tc>
        <w:tc>
          <w:tcPr>
            <w:tcW w:type="dxa" w:w="2520"/>
          </w:tcPr>
          <w:p>
            <w:pPr>
              <w:spacing w:after="40"/>
              <w:jc w:val="left"/>
            </w:pPr>
            <w:r/>
            <w:r>
              <w:rPr>
                <w:sz w:val="17"/>
              </w:rPr>
              <w:t>Non-personal / low-cardinality</w:t>
            </w:r>
          </w:p>
        </w:tc>
        <w:tc>
          <w:tcPr>
            <w:tcW w:type="dxa" w:w="2448"/>
          </w:tcPr>
          <w:p>
            <w:pPr>
              <w:spacing w:after="40"/>
              <w:jc w:val="left"/>
            </w:pPr>
            <w:r/>
            <w:r>
              <w:rPr>
                <w:sz w:val="17"/>
              </w:rPr>
              <w:t>Cascade on survey delete</w:t>
            </w:r>
          </w:p>
        </w:tc>
      </w:tr>
      <w:tr>
        <w:tc>
          <w:tcPr>
            <w:tcW w:type="dxa" w:w="2448"/>
          </w:tcPr>
          <w:p>
            <w:pPr>
              <w:spacing w:after="40"/>
              <w:jc w:val="left"/>
            </w:pPr>
            <w:r/>
            <w:r>
              <w:rPr>
                <w:sz w:val="17"/>
              </w:rPr>
              <w:t>survey_responses</w:t>
            </w:r>
          </w:p>
        </w:tc>
        <w:tc>
          <w:tcPr>
            <w:tcW w:type="dxa" w:w="3096"/>
          </w:tcPr>
          <w:p>
            <w:pPr>
              <w:spacing w:after="40"/>
              <w:jc w:val="left"/>
            </w:pPr>
            <w:r/>
            <w:r>
              <w:rPr>
                <w:sz w:val="17"/>
              </w:rPr>
              <w:t>started_at, submitted_at</w:t>
            </w:r>
          </w:p>
        </w:tc>
        <w:tc>
          <w:tcPr>
            <w:tcW w:type="dxa" w:w="2520"/>
          </w:tcPr>
          <w:p>
            <w:pPr>
              <w:spacing w:after="40"/>
              <w:jc w:val="left"/>
            </w:pPr>
            <w:r/>
            <w:r>
              <w:rPr>
                <w:sz w:val="17"/>
              </w:rPr>
              <w:t>Quasi-identifier</w:t>
            </w:r>
          </w:p>
        </w:tc>
        <w:tc>
          <w:tcPr>
            <w:tcW w:type="dxa" w:w="2448"/>
          </w:tcPr>
          <w:p>
            <w:pPr>
              <w:spacing w:after="40"/>
              <w:jc w:val="left"/>
            </w:pPr>
            <w:r/>
            <w:r>
              <w:rPr>
                <w:sz w:val="17"/>
              </w:rPr>
              <w:t>Cascade on survey delete</w:t>
            </w:r>
          </w:p>
        </w:tc>
      </w:tr>
      <w:tr>
        <w:tc>
          <w:tcPr>
            <w:tcW w:type="dxa" w:w="2448"/>
          </w:tcPr>
          <w:p>
            <w:pPr>
              <w:spacing w:after="40"/>
              <w:jc w:val="left"/>
            </w:pPr>
            <w:r/>
            <w:r>
              <w:rPr>
                <w:sz w:val="17"/>
              </w:rPr>
              <w:t>survey_responses</w:t>
            </w:r>
          </w:p>
        </w:tc>
        <w:tc>
          <w:tcPr>
            <w:tcW w:type="dxa" w:w="3096"/>
          </w:tcPr>
          <w:p>
            <w:pPr>
              <w:spacing w:after="40"/>
              <w:jc w:val="left"/>
            </w:pPr>
            <w:r/>
            <w:r>
              <w:rPr>
                <w:sz w:val="17"/>
              </w:rPr>
              <w:t>user_agent</w:t>
            </w:r>
          </w:p>
        </w:tc>
        <w:tc>
          <w:tcPr>
            <w:tcW w:type="dxa" w:w="2520"/>
          </w:tcPr>
          <w:p>
            <w:pPr>
              <w:spacing w:after="40"/>
              <w:jc w:val="left"/>
            </w:pPr>
            <w:r/>
            <w:r>
              <w:rPr>
                <w:sz w:val="17"/>
              </w:rPr>
              <w:t>Quasi-identifier / fingerprint</w:t>
            </w:r>
          </w:p>
        </w:tc>
        <w:tc>
          <w:tcPr>
            <w:tcW w:type="dxa" w:w="2448"/>
          </w:tcPr>
          <w:p>
            <w:pPr>
              <w:spacing w:after="40"/>
              <w:jc w:val="left"/>
            </w:pPr>
            <w:r/>
            <w:r>
              <w:rPr>
                <w:sz w:val="17"/>
              </w:rPr>
              <w:t>Cascade — recommend removal (R-12)</w:t>
            </w:r>
          </w:p>
        </w:tc>
      </w:tr>
      <w:tr>
        <w:tc>
          <w:tcPr>
            <w:tcW w:type="dxa" w:w="2448"/>
          </w:tcPr>
          <w:p>
            <w:pPr>
              <w:spacing w:after="40"/>
              <w:jc w:val="left"/>
            </w:pPr>
            <w:r/>
            <w:r>
              <w:rPr>
                <w:sz w:val="17"/>
              </w:rPr>
              <w:t>survey_responses</w:t>
            </w:r>
          </w:p>
        </w:tc>
        <w:tc>
          <w:tcPr>
            <w:tcW w:type="dxa" w:w="3096"/>
          </w:tcPr>
          <w:p>
            <w:pPr>
              <w:spacing w:after="40"/>
              <w:jc w:val="left"/>
            </w:pPr>
            <w:r/>
            <w:r>
              <w:rPr>
                <w:sz w:val="17"/>
              </w:rPr>
              <w:t>ip_hash</w:t>
            </w:r>
          </w:p>
        </w:tc>
        <w:tc>
          <w:tcPr>
            <w:tcW w:type="dxa" w:w="2520"/>
          </w:tcPr>
          <w:p>
            <w:pPr>
              <w:spacing w:after="40"/>
              <w:jc w:val="left"/>
            </w:pPr>
            <w:r/>
            <w:r>
              <w:rPr>
                <w:sz w:val="17"/>
              </w:rPr>
              <w:t>Pseudonymised identifier</w:t>
            </w:r>
          </w:p>
        </w:tc>
        <w:tc>
          <w:tcPr>
            <w:tcW w:type="dxa" w:w="2448"/>
          </w:tcPr>
          <w:p>
            <w:pPr>
              <w:spacing w:after="40"/>
              <w:jc w:val="left"/>
            </w:pPr>
            <w:r/>
            <w:r>
              <w:rPr>
                <w:sz w:val="17"/>
              </w:rPr>
              <w:t>Cascade — recommend HMAC (R-1)</w:t>
            </w:r>
          </w:p>
        </w:tc>
      </w:tr>
      <w:tr>
        <w:tc>
          <w:tcPr>
            <w:tcW w:type="dxa" w:w="2448"/>
          </w:tcPr>
          <w:p>
            <w:pPr>
              <w:spacing w:after="40"/>
              <w:jc w:val="left"/>
            </w:pPr>
            <w:r/>
            <w:r>
              <w:rPr>
                <w:sz w:val="17"/>
              </w:rPr>
              <w:t>survey_answers</w:t>
            </w:r>
          </w:p>
        </w:tc>
        <w:tc>
          <w:tcPr>
            <w:tcW w:type="dxa" w:w="3096"/>
          </w:tcPr>
          <w:p>
            <w:pPr>
              <w:spacing w:after="40"/>
              <w:jc w:val="left"/>
            </w:pPr>
            <w:r/>
            <w:r>
              <w:rPr>
                <w:sz w:val="17"/>
              </w:rPr>
              <w:t>value_text / value_int / value_json</w:t>
            </w:r>
          </w:p>
        </w:tc>
        <w:tc>
          <w:tcPr>
            <w:tcW w:type="dxa" w:w="2520"/>
          </w:tcPr>
          <w:p>
            <w:pPr>
              <w:spacing w:after="40"/>
              <w:jc w:val="left"/>
            </w:pPr>
            <w:r/>
            <w:r>
              <w:rPr>
                <w:sz w:val="17"/>
              </w:rPr>
              <w:t>Sensitive — mental health</w:t>
            </w:r>
          </w:p>
        </w:tc>
        <w:tc>
          <w:tcPr>
            <w:tcW w:type="dxa" w:w="2448"/>
          </w:tcPr>
          <w:p>
            <w:pPr>
              <w:spacing w:after="40"/>
              <w:jc w:val="left"/>
            </w:pPr>
            <w:r/>
            <w:r>
              <w:rPr>
                <w:sz w:val="17"/>
              </w:rPr>
              <w:t>Cascade on response delete</w:t>
            </w:r>
          </w:p>
        </w:tc>
      </w:tr>
      <w:tr>
        <w:tc>
          <w:tcPr>
            <w:tcW w:type="dxa" w:w="2448"/>
          </w:tcPr>
          <w:p>
            <w:pPr>
              <w:spacing w:after="40"/>
              <w:jc w:val="left"/>
            </w:pPr>
            <w:r/>
            <w:r>
              <w:rPr>
                <w:sz w:val="17"/>
              </w:rPr>
              <w:t>survey_submission_rate_limits</w:t>
            </w:r>
          </w:p>
        </w:tc>
        <w:tc>
          <w:tcPr>
            <w:tcW w:type="dxa" w:w="3096"/>
          </w:tcPr>
          <w:p>
            <w:pPr>
              <w:spacing w:after="40"/>
              <w:jc w:val="left"/>
            </w:pPr>
            <w:r/>
            <w:r>
              <w:rPr>
                <w:sz w:val="17"/>
              </w:rPr>
              <w:t>ip_hash, counters</w:t>
            </w:r>
          </w:p>
        </w:tc>
        <w:tc>
          <w:tcPr>
            <w:tcW w:type="dxa" w:w="2520"/>
          </w:tcPr>
          <w:p>
            <w:pPr>
              <w:spacing w:after="40"/>
              <w:jc w:val="left"/>
            </w:pPr>
            <w:r/>
            <w:r>
              <w:rPr>
                <w:sz w:val="17"/>
              </w:rPr>
              <w:t>Pseudonymised identifier</w:t>
            </w:r>
          </w:p>
        </w:tc>
        <w:tc>
          <w:tcPr>
            <w:tcW w:type="dxa" w:w="2448"/>
          </w:tcPr>
          <w:p>
            <w:pPr>
              <w:spacing w:after="40"/>
              <w:jc w:val="left"/>
            </w:pPr>
            <w:r/>
            <w:r>
              <w:rPr>
                <w:sz w:val="17"/>
              </w:rPr>
              <w:t>Cascade on survey delete</w:t>
            </w:r>
          </w:p>
        </w:tc>
      </w:tr>
      <w:tr>
        <w:tc>
          <w:tcPr>
            <w:tcW w:type="dxa" w:w="2448"/>
          </w:tcPr>
          <w:p>
            <w:pPr>
              <w:spacing w:after="40"/>
              <w:jc w:val="left"/>
            </w:pPr>
            <w:r/>
            <w:r>
              <w:rPr>
                <w:sz w:val="17"/>
              </w:rPr>
              <w:t>survey_views</w:t>
            </w:r>
          </w:p>
        </w:tc>
        <w:tc>
          <w:tcPr>
            <w:tcW w:type="dxa" w:w="3096"/>
          </w:tcPr>
          <w:p>
            <w:pPr>
              <w:spacing w:after="40"/>
              <w:jc w:val="left"/>
            </w:pPr>
            <w:r/>
            <w:r>
              <w:rPr>
                <w:sz w:val="17"/>
              </w:rPr>
              <w:t>survey_id, viewed_at</w:t>
            </w:r>
          </w:p>
        </w:tc>
        <w:tc>
          <w:tcPr>
            <w:tcW w:type="dxa" w:w="2520"/>
          </w:tcPr>
          <w:p>
            <w:pPr>
              <w:spacing w:after="40"/>
              <w:jc w:val="left"/>
            </w:pPr>
            <w:r/>
            <w:r>
              <w:rPr>
                <w:sz w:val="17"/>
              </w:rPr>
              <w:t>Non-personal</w:t>
            </w:r>
          </w:p>
        </w:tc>
        <w:tc>
          <w:tcPr>
            <w:tcW w:type="dxa" w:w="2448"/>
          </w:tcPr>
          <w:p>
            <w:pPr>
              <w:spacing w:after="40"/>
              <w:jc w:val="left"/>
            </w:pPr>
            <w:r/>
            <w:r>
              <w:rPr>
                <w:sz w:val="17"/>
              </w:rPr>
              <w:t>Cascade on survey delete</w:t>
            </w:r>
          </w:p>
        </w:tc>
      </w:tr>
      <w:tr>
        <w:tc>
          <w:tcPr>
            <w:tcW w:type="dxa" w:w="2448"/>
          </w:tcPr>
          <w:p>
            <w:pPr>
              <w:spacing w:after="40"/>
              <w:jc w:val="left"/>
            </w:pPr>
            <w:r/>
            <w:r>
              <w:rPr>
                <w:sz w:val="17"/>
              </w:rPr>
              <w:t>profiles</w:t>
            </w:r>
          </w:p>
        </w:tc>
        <w:tc>
          <w:tcPr>
            <w:tcW w:type="dxa" w:w="3096"/>
          </w:tcPr>
          <w:p>
            <w:pPr>
              <w:spacing w:after="40"/>
              <w:jc w:val="left"/>
            </w:pPr>
            <w:r/>
            <w:r>
              <w:rPr>
                <w:sz w:val="17"/>
              </w:rPr>
              <w:t>full_name, phone, district</w:t>
            </w:r>
          </w:p>
        </w:tc>
        <w:tc>
          <w:tcPr>
            <w:tcW w:type="dxa" w:w="2520"/>
          </w:tcPr>
          <w:p>
            <w:pPr>
              <w:spacing w:after="40"/>
              <w:jc w:val="left"/>
            </w:pPr>
            <w:r/>
            <w:r>
              <w:rPr>
                <w:sz w:val="17"/>
              </w:rPr>
              <w:t>Personal (administrator)</w:t>
            </w:r>
          </w:p>
        </w:tc>
        <w:tc>
          <w:tcPr>
            <w:tcW w:type="dxa" w:w="2448"/>
          </w:tcPr>
          <w:p>
            <w:pPr>
              <w:spacing w:after="40"/>
              <w:jc w:val="left"/>
            </w:pPr>
            <w:r/>
            <w:r>
              <w:rPr>
                <w:sz w:val="17"/>
              </w:rPr>
              <w:t>Cascade on account deletion</w:t>
            </w:r>
          </w:p>
        </w:tc>
      </w:tr>
      <w:tr>
        <w:tc>
          <w:tcPr>
            <w:tcW w:type="dxa" w:w="2448"/>
          </w:tcPr>
          <w:p>
            <w:pPr>
              <w:spacing w:after="40"/>
              <w:jc w:val="left"/>
            </w:pPr>
            <w:r/>
            <w:r>
              <w:rPr>
                <w:sz w:val="17"/>
              </w:rPr>
              <w:t>auth.users</w:t>
            </w:r>
          </w:p>
        </w:tc>
        <w:tc>
          <w:tcPr>
            <w:tcW w:type="dxa" w:w="3096"/>
          </w:tcPr>
          <w:p>
            <w:pPr>
              <w:spacing w:after="40"/>
              <w:jc w:val="left"/>
            </w:pPr>
            <w:r/>
            <w:r>
              <w:rPr>
                <w:sz w:val="17"/>
              </w:rPr>
              <w:t>email, encrypted_password</w:t>
            </w:r>
          </w:p>
        </w:tc>
        <w:tc>
          <w:tcPr>
            <w:tcW w:type="dxa" w:w="2520"/>
          </w:tcPr>
          <w:p>
            <w:pPr>
              <w:spacing w:after="40"/>
              <w:jc w:val="left"/>
            </w:pPr>
            <w:r/>
            <w:r>
              <w:rPr>
                <w:sz w:val="17"/>
              </w:rPr>
              <w:t>Personal (administrator)</w:t>
            </w:r>
          </w:p>
        </w:tc>
        <w:tc>
          <w:tcPr>
            <w:tcW w:type="dxa" w:w="2448"/>
          </w:tcPr>
          <w:p>
            <w:pPr>
              <w:spacing w:after="40"/>
              <w:jc w:val="left"/>
            </w:pPr>
            <w:r/>
            <w:r>
              <w:rPr>
                <w:sz w:val="17"/>
              </w:rPr>
              <w:t>Account deletion</w:t>
            </w:r>
          </w:p>
        </w:tc>
      </w:tr>
      <w:tr>
        <w:tc>
          <w:tcPr>
            <w:tcW w:type="dxa" w:w="2448"/>
          </w:tcPr>
          <w:p>
            <w:pPr>
              <w:spacing w:after="40"/>
              <w:jc w:val="left"/>
            </w:pPr>
            <w:r/>
            <w:r>
              <w:rPr>
                <w:sz w:val="17"/>
              </w:rPr>
              <w:t>audit_logs</w:t>
            </w:r>
          </w:p>
        </w:tc>
        <w:tc>
          <w:tcPr>
            <w:tcW w:type="dxa" w:w="3096"/>
          </w:tcPr>
          <w:p>
            <w:pPr>
              <w:spacing w:after="40"/>
              <w:jc w:val="left"/>
            </w:pPr>
            <w:r/>
            <w:r>
              <w:rPr>
                <w:sz w:val="17"/>
              </w:rPr>
              <w:t>user_id, action, entity, meta</w:t>
            </w:r>
          </w:p>
        </w:tc>
        <w:tc>
          <w:tcPr>
            <w:tcW w:type="dxa" w:w="2520"/>
          </w:tcPr>
          <w:p>
            <w:pPr>
              <w:spacing w:after="40"/>
              <w:jc w:val="left"/>
            </w:pPr>
            <w:r/>
            <w:r>
              <w:rPr>
                <w:sz w:val="17"/>
              </w:rPr>
              <w:t>Personal (administrator activity)</w:t>
            </w:r>
          </w:p>
        </w:tc>
        <w:tc>
          <w:tcPr>
            <w:tcW w:type="dxa" w:w="2448"/>
          </w:tcPr>
          <w:p>
            <w:pPr>
              <w:spacing w:after="40"/>
              <w:jc w:val="left"/>
            </w:pPr>
            <w:r/>
            <w:r>
              <w:rPr>
                <w:sz w:val="17"/>
              </w:rPr>
              <w:t>No automated purge (R-4)</w:t>
            </w:r>
          </w:p>
        </w:tc>
      </w:tr>
      <w:tr>
        <w:tc>
          <w:tcPr>
            <w:tcW w:type="dxa" w:w="2448"/>
          </w:tcPr>
          <w:p>
            <w:pPr>
              <w:spacing w:after="40"/>
              <w:jc w:val="left"/>
            </w:pPr>
            <w:r/>
            <w:r>
              <w:rPr>
                <w:sz w:val="17"/>
              </w:rPr>
              <w:t>participants (legacy)</w:t>
            </w:r>
          </w:p>
        </w:tc>
        <w:tc>
          <w:tcPr>
            <w:tcW w:type="dxa" w:w="3096"/>
          </w:tcPr>
          <w:p>
            <w:pPr>
              <w:spacing w:after="40"/>
              <w:jc w:val="left"/>
            </w:pPr>
            <w:r/>
            <w:r>
              <w:rPr>
                <w:sz w:val="17"/>
              </w:rPr>
              <w:t>age, gender, district, mandal, hospital</w:t>
            </w:r>
          </w:p>
        </w:tc>
        <w:tc>
          <w:tcPr>
            <w:tcW w:type="dxa" w:w="2520"/>
          </w:tcPr>
          <w:p>
            <w:pPr>
              <w:spacing w:after="40"/>
              <w:jc w:val="left"/>
            </w:pPr>
            <w:r/>
            <w:r>
              <w:rPr>
                <w:sz w:val="17"/>
              </w:rPr>
              <w:t>Sensitive — identifiable health</w:t>
            </w:r>
          </w:p>
        </w:tc>
        <w:tc>
          <w:tcPr>
            <w:tcW w:type="dxa" w:w="2448"/>
          </w:tcPr>
          <w:p>
            <w:pPr>
              <w:spacing w:after="40"/>
              <w:jc w:val="left"/>
            </w:pPr>
            <w:r/>
            <w:r>
              <w:rPr>
                <w:sz w:val="17"/>
              </w:rPr>
              <w:t>Unused; recommend disposal (R-17)</w:t>
            </w:r>
          </w:p>
        </w:tc>
      </w:tr>
    </w:tbl>
    <w:p>
      <w:pPr>
        <w:spacing w:after="0"/>
      </w:pPr>
    </w:p>
    <w:p>
      <w:pPr>
        <w:spacing w:after="240"/>
        <w:jc w:val="left"/>
      </w:pPr>
      <w:r>
        <w:rPr>
          <w:i/>
          <w:color w:val="555F6D"/>
          <w:sz w:val="18"/>
        </w:rPr>
        <w:t>Table A.1 — Data element register with classification and retention trigger.</w:t>
      </w:r>
    </w:p>
    <w:p>
      <w:pPr>
        <w:pStyle w:val="Heading1"/>
      </w:pPr>
      <w:r>
        <w:t>Appendix B — Row-Level Security Policy Inventory</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664"/>
            <w:shd w:val="clear" w:color="auto" w:fill="122A54"/>
          </w:tcPr>
          <w:p>
            <w:pPr>
              <w:jc w:val="left"/>
            </w:pPr>
            <w:r/>
            <w:r>
              <w:rPr>
                <w:b/>
                <w:color w:val="FFFFFF"/>
                <w:sz w:val="17"/>
              </w:rPr>
              <w:t>Table</w:t>
            </w:r>
          </w:p>
        </w:tc>
        <w:tc>
          <w:tcPr>
            <w:tcW w:type="dxa" w:w="2520"/>
            <w:shd w:val="clear" w:color="auto" w:fill="122A54"/>
          </w:tcPr>
          <w:p>
            <w:pPr>
              <w:jc w:val="left"/>
            </w:pPr>
            <w:r/>
            <w:r>
              <w:rPr>
                <w:b/>
                <w:color w:val="FFFFFF"/>
                <w:sz w:val="17"/>
              </w:rPr>
              <w:t>Operation</w:t>
            </w:r>
          </w:p>
        </w:tc>
        <w:tc>
          <w:tcPr>
            <w:tcW w:type="dxa" w:w="2160"/>
            <w:shd w:val="clear" w:color="auto" w:fill="122A54"/>
          </w:tcPr>
          <w:p>
            <w:pPr>
              <w:jc w:val="left"/>
            </w:pPr>
            <w:r/>
            <w:r>
              <w:rPr>
                <w:b/>
                <w:color w:val="FFFFFF"/>
                <w:sz w:val="17"/>
              </w:rPr>
              <w:t>Principal</w:t>
            </w:r>
          </w:p>
        </w:tc>
        <w:tc>
          <w:tcPr>
            <w:tcW w:type="dxa" w:w="3168"/>
            <w:shd w:val="clear" w:color="auto" w:fill="122A54"/>
          </w:tcPr>
          <w:p>
            <w:pPr>
              <w:jc w:val="left"/>
            </w:pPr>
            <w:r/>
            <w:r>
              <w:rPr>
                <w:b/>
                <w:color w:val="FFFFFF"/>
                <w:sz w:val="17"/>
              </w:rPr>
              <w:t>Predicate</w:t>
            </w:r>
          </w:p>
        </w:tc>
      </w:tr>
      <w:tr>
        <w:tc>
          <w:tcPr>
            <w:tcW w:type="dxa" w:w="2664"/>
          </w:tcPr>
          <w:p>
            <w:pPr>
              <w:spacing w:after="40"/>
              <w:jc w:val="left"/>
            </w:pPr>
            <w:r/>
            <w:r>
              <w:rPr>
                <w:sz w:val="17"/>
              </w:rPr>
              <w:t>surveys</w:t>
            </w:r>
          </w:p>
        </w:tc>
        <w:tc>
          <w:tcPr>
            <w:tcW w:type="dxa" w:w="2520"/>
          </w:tcPr>
          <w:p>
            <w:pPr>
              <w:spacing w:after="40"/>
              <w:jc w:val="left"/>
            </w:pPr>
            <w:r/>
            <w:r>
              <w:rPr>
                <w:sz w:val="17"/>
              </w:rPr>
              <w:t>SELECT</w:t>
            </w:r>
          </w:p>
        </w:tc>
        <w:tc>
          <w:tcPr>
            <w:tcW w:type="dxa" w:w="2160"/>
          </w:tcPr>
          <w:p>
            <w:pPr>
              <w:spacing w:after="40"/>
              <w:jc w:val="left"/>
            </w:pPr>
            <w:r/>
            <w:r>
              <w:rPr>
                <w:sz w:val="17"/>
              </w:rPr>
              <w:t>anon, authenticated</w:t>
            </w:r>
          </w:p>
        </w:tc>
        <w:tc>
          <w:tcPr>
            <w:tcW w:type="dxa" w:w="3168"/>
          </w:tcPr>
          <w:p>
            <w:pPr>
              <w:spacing w:after="40"/>
              <w:jc w:val="left"/>
            </w:pPr>
            <w:r/>
            <w:r>
              <w:rPr>
                <w:sz w:val="17"/>
              </w:rPr>
              <w:t>status IN ('published','closed')</w:t>
            </w:r>
          </w:p>
        </w:tc>
      </w:tr>
      <w:tr>
        <w:tc>
          <w:tcPr>
            <w:tcW w:type="dxa" w:w="2664"/>
          </w:tcPr>
          <w:p>
            <w:pPr>
              <w:spacing w:after="40"/>
              <w:jc w:val="left"/>
            </w:pPr>
            <w:r/>
            <w:r>
              <w:rPr>
                <w:sz w:val="17"/>
              </w:rPr>
              <w:t>surveys</w:t>
            </w:r>
          </w:p>
        </w:tc>
        <w:tc>
          <w:tcPr>
            <w:tcW w:type="dxa" w:w="2520"/>
          </w:tcPr>
          <w:p>
            <w:pPr>
              <w:spacing w:after="40"/>
              <w:jc w:val="left"/>
            </w:pPr>
            <w:r/>
            <w:r>
              <w:rPr>
                <w:sz w:val="17"/>
              </w:rPr>
              <w:t>SELECT / INSERT / UPDATE / DELETE</w:t>
            </w:r>
          </w:p>
        </w:tc>
        <w:tc>
          <w:tcPr>
            <w:tcW w:type="dxa" w:w="2160"/>
          </w:tcPr>
          <w:p>
            <w:pPr>
              <w:spacing w:after="40"/>
              <w:jc w:val="left"/>
            </w:pPr>
            <w:r/>
            <w:r>
              <w:rPr>
                <w:sz w:val="17"/>
              </w:rPr>
              <w:t>authenticated</w:t>
            </w:r>
          </w:p>
        </w:tc>
        <w:tc>
          <w:tcPr>
            <w:tcW w:type="dxa" w:w="3168"/>
          </w:tcPr>
          <w:p>
            <w:pPr>
              <w:spacing w:after="40"/>
              <w:jc w:val="left"/>
            </w:pPr>
            <w:r/>
            <w:r>
              <w:rPr>
                <w:sz w:val="17"/>
              </w:rPr>
              <w:t>has_role(auth.uid(),'super_admin')</w:t>
            </w:r>
          </w:p>
        </w:tc>
      </w:tr>
      <w:tr>
        <w:tc>
          <w:tcPr>
            <w:tcW w:type="dxa" w:w="2664"/>
          </w:tcPr>
          <w:p>
            <w:pPr>
              <w:spacing w:after="40"/>
              <w:jc w:val="left"/>
            </w:pPr>
            <w:r/>
            <w:r>
              <w:rPr>
                <w:sz w:val="17"/>
              </w:rPr>
              <w:t>survey_questions</w:t>
            </w:r>
          </w:p>
        </w:tc>
        <w:tc>
          <w:tcPr>
            <w:tcW w:type="dxa" w:w="2520"/>
          </w:tcPr>
          <w:p>
            <w:pPr>
              <w:spacing w:after="40"/>
              <w:jc w:val="left"/>
            </w:pPr>
            <w:r/>
            <w:r>
              <w:rPr>
                <w:sz w:val="17"/>
              </w:rPr>
              <w:t>SELECT</w:t>
            </w:r>
          </w:p>
        </w:tc>
        <w:tc>
          <w:tcPr>
            <w:tcW w:type="dxa" w:w="2160"/>
          </w:tcPr>
          <w:p>
            <w:pPr>
              <w:spacing w:after="40"/>
              <w:jc w:val="left"/>
            </w:pPr>
            <w:r/>
            <w:r>
              <w:rPr>
                <w:sz w:val="17"/>
              </w:rPr>
              <w:t>anon, authenticated</w:t>
            </w:r>
          </w:p>
        </w:tc>
        <w:tc>
          <w:tcPr>
            <w:tcW w:type="dxa" w:w="3168"/>
          </w:tcPr>
          <w:p>
            <w:pPr>
              <w:spacing w:after="40"/>
              <w:jc w:val="left"/>
            </w:pPr>
            <w:r/>
            <w:r>
              <w:rPr>
                <w:sz w:val="17"/>
              </w:rPr>
              <w:t>parent survey status = 'published'</w:t>
            </w:r>
          </w:p>
        </w:tc>
      </w:tr>
      <w:tr>
        <w:tc>
          <w:tcPr>
            <w:tcW w:type="dxa" w:w="2664"/>
          </w:tcPr>
          <w:p>
            <w:pPr>
              <w:spacing w:after="40"/>
              <w:jc w:val="left"/>
            </w:pPr>
            <w:r/>
            <w:r>
              <w:rPr>
                <w:sz w:val="17"/>
              </w:rPr>
              <w:t>survey_questions</w:t>
            </w:r>
          </w:p>
        </w:tc>
        <w:tc>
          <w:tcPr>
            <w:tcW w:type="dxa" w:w="2520"/>
          </w:tcPr>
          <w:p>
            <w:pPr>
              <w:spacing w:after="40"/>
              <w:jc w:val="left"/>
            </w:pPr>
            <w:r/>
            <w:r>
              <w:rPr>
                <w:sz w:val="17"/>
              </w:rPr>
              <w:t>all write</w:t>
            </w:r>
          </w:p>
        </w:tc>
        <w:tc>
          <w:tcPr>
            <w:tcW w:type="dxa" w:w="2160"/>
          </w:tcPr>
          <w:p>
            <w:pPr>
              <w:spacing w:after="40"/>
              <w:jc w:val="left"/>
            </w:pPr>
            <w:r/>
            <w:r>
              <w:rPr>
                <w:sz w:val="17"/>
              </w:rPr>
              <w:t>authenticated</w:t>
            </w:r>
          </w:p>
        </w:tc>
        <w:tc>
          <w:tcPr>
            <w:tcW w:type="dxa" w:w="3168"/>
          </w:tcPr>
          <w:p>
            <w:pPr>
              <w:spacing w:after="40"/>
              <w:jc w:val="left"/>
            </w:pPr>
            <w:r/>
            <w:r>
              <w:rPr>
                <w:sz w:val="17"/>
              </w:rPr>
              <w:t>has_role(auth.uid(),'super_admin')</w:t>
            </w:r>
          </w:p>
        </w:tc>
      </w:tr>
      <w:tr>
        <w:tc>
          <w:tcPr>
            <w:tcW w:type="dxa" w:w="2664"/>
          </w:tcPr>
          <w:p>
            <w:pPr>
              <w:spacing w:after="40"/>
              <w:jc w:val="left"/>
            </w:pPr>
            <w:r/>
            <w:r>
              <w:rPr>
                <w:sz w:val="17"/>
              </w:rPr>
              <w:t>survey_question_options</w:t>
            </w:r>
          </w:p>
        </w:tc>
        <w:tc>
          <w:tcPr>
            <w:tcW w:type="dxa" w:w="2520"/>
          </w:tcPr>
          <w:p>
            <w:pPr>
              <w:spacing w:after="40"/>
              <w:jc w:val="left"/>
            </w:pPr>
            <w:r/>
            <w:r>
              <w:rPr>
                <w:sz w:val="17"/>
              </w:rPr>
              <w:t>SELECT</w:t>
            </w:r>
          </w:p>
        </w:tc>
        <w:tc>
          <w:tcPr>
            <w:tcW w:type="dxa" w:w="2160"/>
          </w:tcPr>
          <w:p>
            <w:pPr>
              <w:spacing w:after="40"/>
              <w:jc w:val="left"/>
            </w:pPr>
            <w:r/>
            <w:r>
              <w:rPr>
                <w:sz w:val="17"/>
              </w:rPr>
              <w:t>anon, authenticated</w:t>
            </w:r>
          </w:p>
        </w:tc>
        <w:tc>
          <w:tcPr>
            <w:tcW w:type="dxa" w:w="3168"/>
          </w:tcPr>
          <w:p>
            <w:pPr>
              <w:spacing w:after="40"/>
              <w:jc w:val="left"/>
            </w:pPr>
            <w:r/>
            <w:r>
              <w:rPr>
                <w:sz w:val="17"/>
              </w:rPr>
              <w:t>parent survey status = 'published'</w:t>
            </w:r>
          </w:p>
        </w:tc>
      </w:tr>
      <w:tr>
        <w:tc>
          <w:tcPr>
            <w:tcW w:type="dxa" w:w="2664"/>
          </w:tcPr>
          <w:p>
            <w:pPr>
              <w:spacing w:after="40"/>
              <w:jc w:val="left"/>
            </w:pPr>
            <w:r/>
            <w:r>
              <w:rPr>
                <w:sz w:val="17"/>
              </w:rPr>
              <w:t>survey_responses</w:t>
            </w:r>
          </w:p>
        </w:tc>
        <w:tc>
          <w:tcPr>
            <w:tcW w:type="dxa" w:w="2520"/>
          </w:tcPr>
          <w:p>
            <w:pPr>
              <w:spacing w:after="40"/>
              <w:jc w:val="left"/>
            </w:pPr>
            <w:r/>
            <w:r>
              <w:rPr>
                <w:sz w:val="17"/>
              </w:rPr>
              <w:t>SELECT</w:t>
            </w:r>
          </w:p>
        </w:tc>
        <w:tc>
          <w:tcPr>
            <w:tcW w:type="dxa" w:w="2160"/>
          </w:tcPr>
          <w:p>
            <w:pPr>
              <w:spacing w:after="40"/>
              <w:jc w:val="left"/>
            </w:pPr>
            <w:r/>
            <w:r>
              <w:rPr>
                <w:sz w:val="17"/>
              </w:rPr>
              <w:t>authenticated</w:t>
            </w:r>
          </w:p>
        </w:tc>
        <w:tc>
          <w:tcPr>
            <w:tcW w:type="dxa" w:w="3168"/>
          </w:tcPr>
          <w:p>
            <w:pPr>
              <w:spacing w:after="40"/>
              <w:jc w:val="left"/>
            </w:pPr>
            <w:r/>
            <w:r>
              <w:rPr>
                <w:sz w:val="17"/>
              </w:rPr>
              <w:t>has_role(auth.uid(),'super_admin')</w:t>
            </w:r>
          </w:p>
        </w:tc>
      </w:tr>
      <w:tr>
        <w:tc>
          <w:tcPr>
            <w:tcW w:type="dxa" w:w="2664"/>
          </w:tcPr>
          <w:p>
            <w:pPr>
              <w:spacing w:after="40"/>
              <w:jc w:val="left"/>
            </w:pPr>
            <w:r/>
            <w:r>
              <w:rPr>
                <w:sz w:val="17"/>
              </w:rPr>
              <w:t>survey_responses</w:t>
            </w:r>
          </w:p>
        </w:tc>
        <w:tc>
          <w:tcPr>
            <w:tcW w:type="dxa" w:w="2520"/>
          </w:tcPr>
          <w:p>
            <w:pPr>
              <w:spacing w:after="40"/>
              <w:jc w:val="left"/>
            </w:pPr>
            <w:r/>
            <w:r>
              <w:rPr>
                <w:sz w:val="17"/>
              </w:rPr>
              <w:t>INSERT</w:t>
            </w:r>
          </w:p>
        </w:tc>
        <w:tc>
          <w:tcPr>
            <w:tcW w:type="dxa" w:w="2160"/>
          </w:tcPr>
          <w:p>
            <w:pPr>
              <w:spacing w:after="40"/>
              <w:jc w:val="left"/>
            </w:pPr>
            <w:r/>
            <w:r>
              <w:rPr>
                <w:sz w:val="17"/>
              </w:rPr>
              <w:t>anon</w:t>
            </w:r>
          </w:p>
        </w:tc>
        <w:tc>
          <w:tcPr>
            <w:tcW w:type="dxa" w:w="3168"/>
          </w:tcPr>
          <w:p>
            <w:pPr>
              <w:spacing w:after="40"/>
              <w:jc w:val="left"/>
            </w:pPr>
            <w:r/>
            <w:r>
              <w:rPr>
                <w:sz w:val="17"/>
              </w:rPr>
              <w:t>REVOKED — edge function only</w:t>
            </w:r>
          </w:p>
        </w:tc>
      </w:tr>
      <w:tr>
        <w:tc>
          <w:tcPr>
            <w:tcW w:type="dxa" w:w="2664"/>
          </w:tcPr>
          <w:p>
            <w:pPr>
              <w:spacing w:after="40"/>
              <w:jc w:val="left"/>
            </w:pPr>
            <w:r/>
            <w:r>
              <w:rPr>
                <w:sz w:val="17"/>
              </w:rPr>
              <w:t>survey_answers</w:t>
            </w:r>
          </w:p>
        </w:tc>
        <w:tc>
          <w:tcPr>
            <w:tcW w:type="dxa" w:w="2520"/>
          </w:tcPr>
          <w:p>
            <w:pPr>
              <w:spacing w:after="40"/>
              <w:jc w:val="left"/>
            </w:pPr>
            <w:r/>
            <w:r>
              <w:rPr>
                <w:sz w:val="17"/>
              </w:rPr>
              <w:t>SELECT</w:t>
            </w:r>
          </w:p>
        </w:tc>
        <w:tc>
          <w:tcPr>
            <w:tcW w:type="dxa" w:w="2160"/>
          </w:tcPr>
          <w:p>
            <w:pPr>
              <w:spacing w:after="40"/>
              <w:jc w:val="left"/>
            </w:pPr>
            <w:r/>
            <w:r>
              <w:rPr>
                <w:sz w:val="17"/>
              </w:rPr>
              <w:t>authenticated</w:t>
            </w:r>
          </w:p>
        </w:tc>
        <w:tc>
          <w:tcPr>
            <w:tcW w:type="dxa" w:w="3168"/>
          </w:tcPr>
          <w:p>
            <w:pPr>
              <w:spacing w:after="40"/>
              <w:jc w:val="left"/>
            </w:pPr>
            <w:r/>
            <w:r>
              <w:rPr>
                <w:sz w:val="17"/>
              </w:rPr>
              <w:t>has_role(auth.uid(),'super_admin')</w:t>
            </w:r>
          </w:p>
        </w:tc>
      </w:tr>
      <w:tr>
        <w:tc>
          <w:tcPr>
            <w:tcW w:type="dxa" w:w="2664"/>
          </w:tcPr>
          <w:p>
            <w:pPr>
              <w:spacing w:after="40"/>
              <w:jc w:val="left"/>
            </w:pPr>
            <w:r/>
            <w:r>
              <w:rPr>
                <w:sz w:val="17"/>
              </w:rPr>
              <w:t>survey_answers</w:t>
            </w:r>
          </w:p>
        </w:tc>
        <w:tc>
          <w:tcPr>
            <w:tcW w:type="dxa" w:w="2520"/>
          </w:tcPr>
          <w:p>
            <w:pPr>
              <w:spacing w:after="40"/>
              <w:jc w:val="left"/>
            </w:pPr>
            <w:r/>
            <w:r>
              <w:rPr>
                <w:sz w:val="17"/>
              </w:rPr>
              <w:t>INSERT</w:t>
            </w:r>
          </w:p>
        </w:tc>
        <w:tc>
          <w:tcPr>
            <w:tcW w:type="dxa" w:w="2160"/>
          </w:tcPr>
          <w:p>
            <w:pPr>
              <w:spacing w:after="40"/>
              <w:jc w:val="left"/>
            </w:pPr>
            <w:r/>
            <w:r>
              <w:rPr>
                <w:sz w:val="17"/>
              </w:rPr>
              <w:t>anon</w:t>
            </w:r>
          </w:p>
        </w:tc>
        <w:tc>
          <w:tcPr>
            <w:tcW w:type="dxa" w:w="3168"/>
          </w:tcPr>
          <w:p>
            <w:pPr>
              <w:spacing w:after="40"/>
              <w:jc w:val="left"/>
            </w:pPr>
            <w:r/>
            <w:r>
              <w:rPr>
                <w:sz w:val="17"/>
              </w:rPr>
              <w:t>REVOKED — edge function only</w:t>
            </w:r>
          </w:p>
        </w:tc>
      </w:tr>
      <w:tr>
        <w:tc>
          <w:tcPr>
            <w:tcW w:type="dxa" w:w="2664"/>
          </w:tcPr>
          <w:p>
            <w:pPr>
              <w:spacing w:after="40"/>
              <w:jc w:val="left"/>
            </w:pPr>
            <w:r/>
            <w:r>
              <w:rPr>
                <w:sz w:val="17"/>
              </w:rPr>
              <w:t>survey_views</w:t>
            </w:r>
          </w:p>
        </w:tc>
        <w:tc>
          <w:tcPr>
            <w:tcW w:type="dxa" w:w="2520"/>
          </w:tcPr>
          <w:p>
            <w:pPr>
              <w:spacing w:after="40"/>
              <w:jc w:val="left"/>
            </w:pPr>
            <w:r/>
            <w:r>
              <w:rPr>
                <w:sz w:val="17"/>
              </w:rPr>
              <w:t>INSERT</w:t>
            </w:r>
          </w:p>
        </w:tc>
        <w:tc>
          <w:tcPr>
            <w:tcW w:type="dxa" w:w="2160"/>
          </w:tcPr>
          <w:p>
            <w:pPr>
              <w:spacing w:after="40"/>
              <w:jc w:val="left"/>
            </w:pPr>
            <w:r/>
            <w:r>
              <w:rPr>
                <w:sz w:val="17"/>
              </w:rPr>
              <w:t>anon, authenticated</w:t>
            </w:r>
          </w:p>
        </w:tc>
        <w:tc>
          <w:tcPr>
            <w:tcW w:type="dxa" w:w="3168"/>
          </w:tcPr>
          <w:p>
            <w:pPr>
              <w:spacing w:after="40"/>
              <w:jc w:val="left"/>
            </w:pPr>
            <w:r/>
            <w:r>
              <w:rPr>
                <w:sz w:val="17"/>
              </w:rPr>
              <w:t>parent survey status = 'published'</w:t>
            </w:r>
          </w:p>
        </w:tc>
      </w:tr>
      <w:tr>
        <w:tc>
          <w:tcPr>
            <w:tcW w:type="dxa" w:w="2664"/>
          </w:tcPr>
          <w:p>
            <w:pPr>
              <w:spacing w:after="40"/>
              <w:jc w:val="left"/>
            </w:pPr>
            <w:r/>
            <w:r>
              <w:rPr>
                <w:sz w:val="17"/>
              </w:rPr>
              <w:t>survey_views</w:t>
            </w:r>
          </w:p>
        </w:tc>
        <w:tc>
          <w:tcPr>
            <w:tcW w:type="dxa" w:w="2520"/>
          </w:tcPr>
          <w:p>
            <w:pPr>
              <w:spacing w:after="40"/>
              <w:jc w:val="left"/>
            </w:pPr>
            <w:r/>
            <w:r>
              <w:rPr>
                <w:sz w:val="17"/>
              </w:rPr>
              <w:t>SELECT</w:t>
            </w:r>
          </w:p>
        </w:tc>
        <w:tc>
          <w:tcPr>
            <w:tcW w:type="dxa" w:w="2160"/>
          </w:tcPr>
          <w:p>
            <w:pPr>
              <w:spacing w:after="40"/>
              <w:jc w:val="left"/>
            </w:pPr>
            <w:r/>
            <w:r>
              <w:rPr>
                <w:sz w:val="17"/>
              </w:rPr>
              <w:t>authenticated</w:t>
            </w:r>
          </w:p>
        </w:tc>
        <w:tc>
          <w:tcPr>
            <w:tcW w:type="dxa" w:w="3168"/>
          </w:tcPr>
          <w:p>
            <w:pPr>
              <w:spacing w:after="40"/>
              <w:jc w:val="left"/>
            </w:pPr>
            <w:r/>
            <w:r>
              <w:rPr>
                <w:sz w:val="17"/>
              </w:rPr>
              <w:t>has_role(auth.uid(),'super_admin')</w:t>
            </w:r>
          </w:p>
        </w:tc>
      </w:tr>
      <w:tr>
        <w:tc>
          <w:tcPr>
            <w:tcW w:type="dxa" w:w="2664"/>
          </w:tcPr>
          <w:p>
            <w:pPr>
              <w:spacing w:after="40"/>
              <w:jc w:val="left"/>
            </w:pPr>
            <w:r/>
            <w:r>
              <w:rPr>
                <w:sz w:val="17"/>
              </w:rPr>
              <w:t>survey_submission_rate_limits</w:t>
            </w:r>
          </w:p>
        </w:tc>
        <w:tc>
          <w:tcPr>
            <w:tcW w:type="dxa" w:w="2520"/>
          </w:tcPr>
          <w:p>
            <w:pPr>
              <w:spacing w:after="40"/>
              <w:jc w:val="left"/>
            </w:pPr>
            <w:r/>
            <w:r>
              <w:rPr>
                <w:sz w:val="17"/>
              </w:rPr>
              <w:t>all</w:t>
            </w:r>
          </w:p>
        </w:tc>
        <w:tc>
          <w:tcPr>
            <w:tcW w:type="dxa" w:w="2160"/>
          </w:tcPr>
          <w:p>
            <w:pPr>
              <w:spacing w:after="40"/>
              <w:jc w:val="left"/>
            </w:pPr>
            <w:r/>
            <w:r>
              <w:rPr>
                <w:sz w:val="17"/>
              </w:rPr>
              <w:t>anon, authenticated</w:t>
            </w:r>
          </w:p>
        </w:tc>
        <w:tc>
          <w:tcPr>
            <w:tcW w:type="dxa" w:w="3168"/>
          </w:tcPr>
          <w:p>
            <w:pPr>
              <w:spacing w:after="40"/>
              <w:jc w:val="left"/>
            </w:pPr>
            <w:r/>
            <w:r>
              <w:rPr>
                <w:sz w:val="17"/>
              </w:rPr>
              <w:t>REVOKED — service_role only</w:t>
            </w:r>
          </w:p>
        </w:tc>
      </w:tr>
      <w:tr>
        <w:tc>
          <w:tcPr>
            <w:tcW w:type="dxa" w:w="2664"/>
          </w:tcPr>
          <w:p>
            <w:pPr>
              <w:spacing w:after="40"/>
              <w:jc w:val="left"/>
            </w:pPr>
            <w:r/>
            <w:r>
              <w:rPr>
                <w:sz w:val="17"/>
              </w:rPr>
              <w:t>audit_logs</w:t>
            </w:r>
          </w:p>
        </w:tc>
        <w:tc>
          <w:tcPr>
            <w:tcW w:type="dxa" w:w="2520"/>
          </w:tcPr>
          <w:p>
            <w:pPr>
              <w:spacing w:after="40"/>
              <w:jc w:val="left"/>
            </w:pPr>
            <w:r/>
            <w:r>
              <w:rPr>
                <w:sz w:val="17"/>
              </w:rPr>
              <w:t>INSERT</w:t>
            </w:r>
          </w:p>
        </w:tc>
        <w:tc>
          <w:tcPr>
            <w:tcW w:type="dxa" w:w="2160"/>
          </w:tcPr>
          <w:p>
            <w:pPr>
              <w:spacing w:after="40"/>
              <w:jc w:val="left"/>
            </w:pPr>
            <w:r/>
            <w:r>
              <w:rPr>
                <w:sz w:val="17"/>
              </w:rPr>
              <w:t>authenticated</w:t>
            </w:r>
          </w:p>
        </w:tc>
        <w:tc>
          <w:tcPr>
            <w:tcW w:type="dxa" w:w="3168"/>
          </w:tcPr>
          <w:p>
            <w:pPr>
              <w:spacing w:after="40"/>
              <w:jc w:val="left"/>
            </w:pPr>
            <w:r/>
            <w:r>
              <w:rPr>
                <w:sz w:val="17"/>
              </w:rPr>
              <w:t>user_id = auth.uid()</w:t>
            </w:r>
          </w:p>
        </w:tc>
      </w:tr>
      <w:tr>
        <w:tc>
          <w:tcPr>
            <w:tcW w:type="dxa" w:w="2664"/>
          </w:tcPr>
          <w:p>
            <w:pPr>
              <w:spacing w:after="40"/>
              <w:jc w:val="left"/>
            </w:pPr>
            <w:r/>
            <w:r>
              <w:rPr>
                <w:sz w:val="17"/>
              </w:rPr>
              <w:t>audit_logs</w:t>
            </w:r>
          </w:p>
        </w:tc>
        <w:tc>
          <w:tcPr>
            <w:tcW w:type="dxa" w:w="2520"/>
          </w:tcPr>
          <w:p>
            <w:pPr>
              <w:spacing w:after="40"/>
              <w:jc w:val="left"/>
            </w:pPr>
            <w:r/>
            <w:r>
              <w:rPr>
                <w:sz w:val="17"/>
              </w:rPr>
              <w:t>SELECT</w:t>
            </w:r>
          </w:p>
        </w:tc>
        <w:tc>
          <w:tcPr>
            <w:tcW w:type="dxa" w:w="2160"/>
          </w:tcPr>
          <w:p>
            <w:pPr>
              <w:spacing w:after="40"/>
              <w:jc w:val="left"/>
            </w:pPr>
            <w:r/>
            <w:r>
              <w:rPr>
                <w:sz w:val="17"/>
              </w:rPr>
              <w:t>authenticated</w:t>
            </w:r>
          </w:p>
        </w:tc>
        <w:tc>
          <w:tcPr>
            <w:tcW w:type="dxa" w:w="3168"/>
          </w:tcPr>
          <w:p>
            <w:pPr>
              <w:spacing w:after="40"/>
              <w:jc w:val="left"/>
            </w:pPr>
            <w:r/>
            <w:r>
              <w:rPr>
                <w:sz w:val="17"/>
              </w:rPr>
              <w:t>has_role(auth.uid(),'super_admin')</w:t>
            </w:r>
          </w:p>
        </w:tc>
      </w:tr>
      <w:tr>
        <w:tc>
          <w:tcPr>
            <w:tcW w:type="dxa" w:w="2664"/>
          </w:tcPr>
          <w:p>
            <w:pPr>
              <w:spacing w:after="40"/>
              <w:jc w:val="left"/>
            </w:pPr>
            <w:r/>
            <w:r>
              <w:rPr>
                <w:sz w:val="17"/>
              </w:rPr>
              <w:t>user_roles</w:t>
            </w:r>
          </w:p>
        </w:tc>
        <w:tc>
          <w:tcPr>
            <w:tcW w:type="dxa" w:w="2520"/>
          </w:tcPr>
          <w:p>
            <w:pPr>
              <w:spacing w:after="40"/>
              <w:jc w:val="left"/>
            </w:pPr>
            <w:r/>
            <w:r>
              <w:rPr>
                <w:sz w:val="17"/>
              </w:rPr>
              <w:t>SELECT</w:t>
            </w:r>
          </w:p>
        </w:tc>
        <w:tc>
          <w:tcPr>
            <w:tcW w:type="dxa" w:w="2160"/>
          </w:tcPr>
          <w:p>
            <w:pPr>
              <w:spacing w:after="40"/>
              <w:jc w:val="left"/>
            </w:pPr>
            <w:r/>
            <w:r>
              <w:rPr>
                <w:sz w:val="17"/>
              </w:rPr>
              <w:t>authenticated</w:t>
            </w:r>
          </w:p>
        </w:tc>
        <w:tc>
          <w:tcPr>
            <w:tcW w:type="dxa" w:w="3168"/>
          </w:tcPr>
          <w:p>
            <w:pPr>
              <w:spacing w:after="40"/>
              <w:jc w:val="left"/>
            </w:pPr>
            <w:r/>
            <w:r>
              <w:rPr>
                <w:sz w:val="17"/>
              </w:rPr>
              <w:t>user_id = auth.uid() OR super_admin</w:t>
            </w:r>
          </w:p>
        </w:tc>
      </w:tr>
      <w:tr>
        <w:tc>
          <w:tcPr>
            <w:tcW w:type="dxa" w:w="2664"/>
          </w:tcPr>
          <w:p>
            <w:pPr>
              <w:spacing w:after="40"/>
              <w:jc w:val="left"/>
            </w:pPr>
            <w:r/>
            <w:r>
              <w:rPr>
                <w:sz w:val="17"/>
              </w:rPr>
              <w:t>user_roles</w:t>
            </w:r>
          </w:p>
        </w:tc>
        <w:tc>
          <w:tcPr>
            <w:tcW w:type="dxa" w:w="2520"/>
          </w:tcPr>
          <w:p>
            <w:pPr>
              <w:spacing w:after="40"/>
              <w:jc w:val="left"/>
            </w:pPr>
            <w:r/>
            <w:r>
              <w:rPr>
                <w:sz w:val="17"/>
              </w:rPr>
              <w:t>ALL</w:t>
            </w:r>
          </w:p>
        </w:tc>
        <w:tc>
          <w:tcPr>
            <w:tcW w:type="dxa" w:w="2160"/>
          </w:tcPr>
          <w:p>
            <w:pPr>
              <w:spacing w:after="40"/>
              <w:jc w:val="left"/>
            </w:pPr>
            <w:r/>
            <w:r>
              <w:rPr>
                <w:sz w:val="17"/>
              </w:rPr>
              <w:t>authenticated</w:t>
            </w:r>
          </w:p>
        </w:tc>
        <w:tc>
          <w:tcPr>
            <w:tcW w:type="dxa" w:w="3168"/>
          </w:tcPr>
          <w:p>
            <w:pPr>
              <w:spacing w:after="40"/>
              <w:jc w:val="left"/>
            </w:pPr>
            <w:r/>
            <w:r>
              <w:rPr>
                <w:sz w:val="17"/>
              </w:rPr>
              <w:t>has_role(auth.uid(),'super_admin')</w:t>
            </w:r>
          </w:p>
        </w:tc>
      </w:tr>
      <w:tr>
        <w:tc>
          <w:tcPr>
            <w:tcW w:type="dxa" w:w="2664"/>
          </w:tcPr>
          <w:p>
            <w:pPr>
              <w:spacing w:after="40"/>
              <w:jc w:val="left"/>
            </w:pPr>
            <w:r/>
            <w:r>
              <w:rPr>
                <w:sz w:val="17"/>
              </w:rPr>
              <w:t>profiles</w:t>
            </w:r>
          </w:p>
        </w:tc>
        <w:tc>
          <w:tcPr>
            <w:tcW w:type="dxa" w:w="2520"/>
          </w:tcPr>
          <w:p>
            <w:pPr>
              <w:spacing w:after="40"/>
              <w:jc w:val="left"/>
            </w:pPr>
            <w:r/>
            <w:r>
              <w:rPr>
                <w:sz w:val="17"/>
              </w:rPr>
              <w:t>SELECT</w:t>
            </w:r>
          </w:p>
        </w:tc>
        <w:tc>
          <w:tcPr>
            <w:tcW w:type="dxa" w:w="2160"/>
          </w:tcPr>
          <w:p>
            <w:pPr>
              <w:spacing w:after="40"/>
              <w:jc w:val="left"/>
            </w:pPr>
            <w:r/>
            <w:r>
              <w:rPr>
                <w:sz w:val="17"/>
              </w:rPr>
              <w:t>authenticated</w:t>
            </w:r>
          </w:p>
        </w:tc>
        <w:tc>
          <w:tcPr>
            <w:tcW w:type="dxa" w:w="3168"/>
          </w:tcPr>
          <w:p>
            <w:pPr>
              <w:spacing w:after="40"/>
              <w:jc w:val="left"/>
            </w:pPr>
            <w:r/>
            <w:r>
              <w:rPr>
                <w:sz w:val="17"/>
              </w:rPr>
              <w:t>id = auth.uid() OR super_admin</w:t>
            </w:r>
          </w:p>
        </w:tc>
      </w:tr>
      <w:tr>
        <w:tc>
          <w:tcPr>
            <w:tcW w:type="dxa" w:w="2664"/>
          </w:tcPr>
          <w:p>
            <w:pPr>
              <w:spacing w:after="40"/>
              <w:jc w:val="left"/>
            </w:pPr>
            <w:r/>
            <w:r>
              <w:rPr>
                <w:sz w:val="17"/>
              </w:rPr>
              <w:t>profiles</w:t>
            </w:r>
          </w:p>
        </w:tc>
        <w:tc>
          <w:tcPr>
            <w:tcW w:type="dxa" w:w="2520"/>
          </w:tcPr>
          <w:p>
            <w:pPr>
              <w:spacing w:after="40"/>
              <w:jc w:val="left"/>
            </w:pPr>
            <w:r/>
            <w:r>
              <w:rPr>
                <w:sz w:val="17"/>
              </w:rPr>
              <w:t>UPDATE / INSERT</w:t>
            </w:r>
          </w:p>
        </w:tc>
        <w:tc>
          <w:tcPr>
            <w:tcW w:type="dxa" w:w="2160"/>
          </w:tcPr>
          <w:p>
            <w:pPr>
              <w:spacing w:after="40"/>
              <w:jc w:val="left"/>
            </w:pPr>
            <w:r/>
            <w:r>
              <w:rPr>
                <w:sz w:val="17"/>
              </w:rPr>
              <w:t>authenticated</w:t>
            </w:r>
          </w:p>
        </w:tc>
        <w:tc>
          <w:tcPr>
            <w:tcW w:type="dxa" w:w="3168"/>
          </w:tcPr>
          <w:p>
            <w:pPr>
              <w:spacing w:after="40"/>
              <w:jc w:val="left"/>
            </w:pPr>
            <w:r/>
            <w:r>
              <w:rPr>
                <w:sz w:val="17"/>
              </w:rPr>
              <w:t>auth.uid() = id</w:t>
            </w:r>
          </w:p>
        </w:tc>
      </w:tr>
    </w:tbl>
    <w:p>
      <w:pPr>
        <w:spacing w:after="0"/>
      </w:pPr>
    </w:p>
    <w:p>
      <w:pPr>
        <w:spacing w:after="240"/>
        <w:jc w:val="left"/>
      </w:pPr>
      <w:r>
        <w:rPr>
          <w:i/>
          <w:color w:val="555F6D"/>
          <w:sz w:val="18"/>
        </w:rPr>
        <w:t>Table B.1 — Authoritative access-control specification as expressed in RLS policy.</w:t>
      </w:r>
    </w:p>
    <w:p>
      <w:pPr>
        <w:pStyle w:val="Heading1"/>
      </w:pPr>
      <w:r>
        <w:t>Appendix C — Glossary</w:t>
      </w:r>
    </w:p>
    <w:tbl>
      <w:tblPr>
        <w:tblStyle w:val="TableGrid"/>
        <w:tblW w:type="auto" w:w="0"/>
        <w:jc w:val="center"/>
        <w:tblLook w:firstColumn="1" w:firstRow="1" w:lastColumn="0" w:lastRow="0" w:noHBand="0" w:noVBand="1" w:val="04A0"/>
      </w:tblPr>
      <w:tblGrid>
        <w:gridCol w:w="4536"/>
        <w:gridCol w:w="4536"/>
      </w:tblGrid>
      <w:tr>
        <w:tc>
          <w:tcPr>
            <w:tcW w:type="dxa" w:w="2160"/>
            <w:shd w:val="clear" w:color="auto" w:fill="122A54"/>
          </w:tcPr>
          <w:p>
            <w:pPr>
              <w:jc w:val="left"/>
            </w:pPr>
            <w:r/>
            <w:r>
              <w:rPr>
                <w:b/>
                <w:color w:val="FFFFFF"/>
                <w:sz w:val="17"/>
              </w:rPr>
              <w:t>Term</w:t>
            </w:r>
          </w:p>
        </w:tc>
        <w:tc>
          <w:tcPr>
            <w:tcW w:type="dxa" w:w="8208"/>
            <w:shd w:val="clear" w:color="auto" w:fill="122A54"/>
          </w:tcPr>
          <w:p>
            <w:pPr>
              <w:jc w:val="left"/>
            </w:pPr>
            <w:r/>
            <w:r>
              <w:rPr>
                <w:b/>
                <w:color w:val="FFFFFF"/>
                <w:sz w:val="17"/>
              </w:rPr>
              <w:t>Definition as used in this document</w:t>
            </w:r>
          </w:p>
        </w:tc>
      </w:tr>
      <w:tr>
        <w:tc>
          <w:tcPr>
            <w:tcW w:type="dxa" w:w="2160"/>
          </w:tcPr>
          <w:p>
            <w:pPr>
              <w:spacing w:after="40"/>
              <w:jc w:val="left"/>
            </w:pPr>
            <w:r/>
            <w:r>
              <w:rPr>
                <w:sz w:val="17"/>
              </w:rPr>
              <w:t>Anonymisation</w:t>
            </w:r>
          </w:p>
        </w:tc>
        <w:tc>
          <w:tcPr>
            <w:tcW w:type="dxa" w:w="8208"/>
          </w:tcPr>
          <w:p>
            <w:pPr>
              <w:spacing w:after="40"/>
              <w:jc w:val="left"/>
            </w:pPr>
            <w:r/>
            <w:r>
              <w:rPr>
                <w:sz w:val="17"/>
              </w:rPr>
              <w:t>Irreversible removal of the link between data and an identifiable person, such that re-identification is not reasonably possible by any party, including the controller.</w:t>
            </w:r>
          </w:p>
        </w:tc>
      </w:tr>
      <w:tr>
        <w:tc>
          <w:tcPr>
            <w:tcW w:type="dxa" w:w="2160"/>
          </w:tcPr>
          <w:p>
            <w:pPr>
              <w:spacing w:after="40"/>
              <w:jc w:val="left"/>
            </w:pPr>
            <w:r/>
            <w:r>
              <w:rPr>
                <w:sz w:val="17"/>
              </w:rPr>
              <w:t>Pseudonymisation</w:t>
            </w:r>
          </w:p>
        </w:tc>
        <w:tc>
          <w:tcPr>
            <w:tcW w:type="dxa" w:w="8208"/>
          </w:tcPr>
          <w:p>
            <w:pPr>
              <w:spacing w:after="40"/>
              <w:jc w:val="left"/>
            </w:pPr>
            <w:r/>
            <w:r>
              <w:rPr>
                <w:sz w:val="17"/>
              </w:rPr>
              <w:t>Replacement of an identifier with a substitute value such that attribution requires additional information held separately. Reversible in principle; distinguished from anonymisation (GDPR Art. 4(5)).</w:t>
            </w:r>
          </w:p>
        </w:tc>
      </w:tr>
      <w:tr>
        <w:tc>
          <w:tcPr>
            <w:tcW w:type="dxa" w:w="2160"/>
          </w:tcPr>
          <w:p>
            <w:pPr>
              <w:spacing w:after="40"/>
              <w:jc w:val="left"/>
            </w:pPr>
            <w:r/>
            <w:r>
              <w:rPr>
                <w:sz w:val="17"/>
              </w:rPr>
              <w:t>Quasi-identifier</w:t>
            </w:r>
          </w:p>
        </w:tc>
        <w:tc>
          <w:tcPr>
            <w:tcW w:type="dxa" w:w="8208"/>
          </w:tcPr>
          <w:p>
            <w:pPr>
              <w:spacing w:after="40"/>
              <w:jc w:val="left"/>
            </w:pPr>
            <w:r/>
            <w:r>
              <w:rPr>
                <w:sz w:val="17"/>
              </w:rPr>
              <w:t>An attribute that does not identify a person alone but may do so in combination with others or with external knowledge (e.g. timestamp, user-agent string).</w:t>
            </w:r>
          </w:p>
        </w:tc>
      </w:tr>
      <w:tr>
        <w:tc>
          <w:tcPr>
            <w:tcW w:type="dxa" w:w="2160"/>
          </w:tcPr>
          <w:p>
            <w:pPr>
              <w:spacing w:after="40"/>
              <w:jc w:val="left"/>
            </w:pPr>
            <w:r/>
            <w:r>
              <w:rPr>
                <w:sz w:val="17"/>
              </w:rPr>
              <w:t>Row-Level Security (RLS)</w:t>
            </w:r>
          </w:p>
        </w:tc>
        <w:tc>
          <w:tcPr>
            <w:tcW w:type="dxa" w:w="8208"/>
          </w:tcPr>
          <w:p>
            <w:pPr>
              <w:spacing w:after="40"/>
              <w:jc w:val="left"/>
            </w:pPr>
            <w:r/>
            <w:r>
              <w:rPr>
                <w:sz w:val="17"/>
              </w:rPr>
              <w:t>A PostgreSQL facility applying per-row access predicates at the database engine, enforced regardless of the query's origin.</w:t>
            </w:r>
          </w:p>
        </w:tc>
      </w:tr>
      <w:tr>
        <w:tc>
          <w:tcPr>
            <w:tcW w:type="dxa" w:w="2160"/>
          </w:tcPr>
          <w:p>
            <w:pPr>
              <w:spacing w:after="40"/>
              <w:jc w:val="left"/>
            </w:pPr>
            <w:r/>
            <w:r>
              <w:rPr>
                <w:sz w:val="17"/>
              </w:rPr>
              <w:t>Service role</w:t>
            </w:r>
          </w:p>
        </w:tc>
        <w:tc>
          <w:tcPr>
            <w:tcW w:type="dxa" w:w="8208"/>
          </w:tcPr>
          <w:p>
            <w:pPr>
              <w:spacing w:after="40"/>
              <w:jc w:val="left"/>
            </w:pPr>
            <w:r/>
            <w:r>
              <w:rPr>
                <w:sz w:val="17"/>
              </w:rPr>
              <w:t>A privileged database principal that bypasses RLS; held only server-side, never transmitted to a client.</w:t>
            </w:r>
          </w:p>
        </w:tc>
      </w:tr>
      <w:tr>
        <w:tc>
          <w:tcPr>
            <w:tcW w:type="dxa" w:w="2160"/>
          </w:tcPr>
          <w:p>
            <w:pPr>
              <w:spacing w:after="40"/>
              <w:jc w:val="left"/>
            </w:pPr>
            <w:r/>
            <w:r>
              <w:rPr>
                <w:sz w:val="17"/>
              </w:rPr>
              <w:t>Edge function</w:t>
            </w:r>
          </w:p>
        </w:tc>
        <w:tc>
          <w:tcPr>
            <w:tcW w:type="dxa" w:w="8208"/>
          </w:tcPr>
          <w:p>
            <w:pPr>
              <w:spacing w:after="40"/>
              <w:jc w:val="left"/>
            </w:pPr>
            <w:r/>
            <w:r>
              <w:rPr>
                <w:sz w:val="17"/>
              </w:rPr>
              <w:t>A serverless function executing server-side at the network edge; here, the sole mediated write path for anonymous submissions.</w:t>
            </w:r>
          </w:p>
        </w:tc>
      </w:tr>
      <w:tr>
        <w:tc>
          <w:tcPr>
            <w:tcW w:type="dxa" w:w="2160"/>
          </w:tcPr>
          <w:p>
            <w:pPr>
              <w:spacing w:after="40"/>
              <w:jc w:val="left"/>
            </w:pPr>
            <w:r/>
            <w:r>
              <w:rPr>
                <w:sz w:val="17"/>
              </w:rPr>
              <w:t>Complete mediation</w:t>
            </w:r>
          </w:p>
        </w:tc>
        <w:tc>
          <w:tcPr>
            <w:tcW w:type="dxa" w:w="8208"/>
          </w:tcPr>
          <w:p>
            <w:pPr>
              <w:spacing w:after="40"/>
              <w:jc w:val="left"/>
            </w:pPr>
            <w:r/>
            <w:r>
              <w:rPr>
                <w:sz w:val="17"/>
              </w:rPr>
              <w:t>Security principle (Saltzer &amp; Schroeder) requiring that every access to a resource be checked, with no alternative unchecked route.</w:t>
            </w:r>
          </w:p>
        </w:tc>
      </w:tr>
      <w:tr>
        <w:tc>
          <w:tcPr>
            <w:tcW w:type="dxa" w:w="2160"/>
          </w:tcPr>
          <w:p>
            <w:pPr>
              <w:spacing w:after="40"/>
              <w:jc w:val="left"/>
            </w:pPr>
            <w:r/>
            <w:r>
              <w:rPr>
                <w:sz w:val="17"/>
              </w:rPr>
              <w:t>k-anonymity</w:t>
            </w:r>
          </w:p>
        </w:tc>
        <w:tc>
          <w:tcPr>
            <w:tcW w:type="dxa" w:w="8208"/>
          </w:tcPr>
          <w:p>
            <w:pPr>
              <w:spacing w:after="40"/>
              <w:jc w:val="left"/>
            </w:pPr>
            <w:r/>
            <w:r>
              <w:rPr>
                <w:sz w:val="17"/>
              </w:rPr>
              <w:t>A dataset property in which every record is indistinguishable from at least k−1 others with respect to its quasi-identifiers.</w:t>
            </w:r>
          </w:p>
        </w:tc>
      </w:tr>
      <w:tr>
        <w:tc>
          <w:tcPr>
            <w:tcW w:type="dxa" w:w="2160"/>
          </w:tcPr>
          <w:p>
            <w:pPr>
              <w:spacing w:after="40"/>
              <w:jc w:val="left"/>
            </w:pPr>
            <w:r/>
            <w:r>
              <w:rPr>
                <w:sz w:val="17"/>
              </w:rPr>
              <w:t>TOCTOU</w:t>
            </w:r>
          </w:p>
        </w:tc>
        <w:tc>
          <w:tcPr>
            <w:tcW w:type="dxa" w:w="8208"/>
          </w:tcPr>
          <w:p>
            <w:pPr>
              <w:spacing w:after="40"/>
              <w:jc w:val="left"/>
            </w:pPr>
            <w:r/>
            <w:r>
              <w:rPr>
                <w:sz w:val="17"/>
              </w:rPr>
              <w:t>Time-of-check to time-of-use: a race condition in which state changes between a validity check and the action that relies on it.</w:t>
            </w:r>
          </w:p>
        </w:tc>
      </w:tr>
      <w:tr>
        <w:tc>
          <w:tcPr>
            <w:tcW w:type="dxa" w:w="2160"/>
          </w:tcPr>
          <w:p>
            <w:pPr>
              <w:spacing w:after="40"/>
              <w:jc w:val="left"/>
            </w:pPr>
            <w:r/>
            <w:r>
              <w:rPr>
                <w:sz w:val="17"/>
              </w:rPr>
              <w:t>Special category data</w:t>
            </w:r>
          </w:p>
        </w:tc>
        <w:tc>
          <w:tcPr>
            <w:tcW w:type="dxa" w:w="8208"/>
          </w:tcPr>
          <w:p>
            <w:pPr>
              <w:spacing w:after="40"/>
              <w:jc w:val="left"/>
            </w:pPr>
            <w:r/>
            <w:r>
              <w:rPr>
                <w:sz w:val="17"/>
              </w:rPr>
              <w:t>Data revealing health, including mental health; subject to heightened protection under GDPR Art. 9 and SPDI Rule 3.</w:t>
            </w:r>
          </w:p>
        </w:tc>
      </w:tr>
    </w:tbl>
    <w:p>
      <w:pPr>
        <w:spacing w:after="0"/>
      </w:pP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D"/>
        <w:sz w:val="16"/>
      </w:rPr>
      <w:t xml:space="preserve">APFAP — PII, Information Security and Research Ethics Framework  ·  Page </w:t>
    </w:r>
    <w:r>
      <w:rPr>
        <w:color w:val="555F6D"/>
        <w:sz w:val="16"/>
      </w:rPr>
      <w:fldChar w:fldCharType="begin"/>
    </w:r>
    <w:r>
      <w:rPr>
        <w:color w:val="555F6D"/>
        <w:sz w:val="16"/>
      </w:rPr>
      <w:instrText xml:space="preserve">PAGE</w:instrText>
    </w:r>
    <w:r>
      <w:rPr>
        <w:color w:val="555F6D"/>
        <w:sz w:val="16"/>
      </w:rPr>
      <w:fldChar w:fldCharType="separate"/>
    </w:r>
    <w:r>
      <w:rPr>
        <w:color w:val="555F6D"/>
        <w:sz w:val="16"/>
      </w:rPr>
      <w:t>1</w:t>
    </w:r>
    <w:r>
      <w:rPr>
        <w:color w:val="555F6D"/>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mbria" w:hAnsi="Cambria"/>
      <w:b/>
      <w:bCs/>
      <w:color w:val="122A54"/>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mbria" w:hAnsi="Cambria"/>
      <w:b/>
      <w:bCs/>
      <w:color w:val="122A54"/>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mbria" w:hAnsi="Cambria"/>
      <w:b/>
      <w:bCs/>
      <w:color w:val="122A5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