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Topic</w:t>
      </w:r>
      <w:r>
        <w:t xml:space="preserve"> </w:t>
      </w:r>
      <w:r>
        <w:t xml:space="preserve">Control</w:t>
      </w:r>
      <w:r>
        <w:t xml:space="preserve"> </w:t>
      </w:r>
      <w:r>
        <w:t xml:space="preserve">in</w:t>
      </w:r>
      <w:r>
        <w:t xml:space="preserve"> </w:t>
      </w:r>
      <w:r>
        <w:t xml:space="preserve">Mixed-Gender</w:t>
      </w:r>
      <w:r>
        <w:t xml:space="preserve"> </w:t>
      </w:r>
      <w:r>
        <w:t xml:space="preserve">Podcast</w:t>
      </w:r>
      <w:r>
        <w:t xml:space="preserve"> </w:t>
      </w:r>
      <w:r>
        <w:t xml:space="preserve">Dyads</w:t>
      </w:r>
    </w:p>
    <w:p>
      <w:pPr>
        <w:pStyle w:val="Author"/>
      </w:pPr>
      <w:r>
        <w:t xml:space="preserve">Listening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Lines</w:t>
      </w:r>
      <w:r>
        <w:t xml:space="preserve"> </w:t>
      </w:r>
      <w:r>
        <w:t xml:space="preserve">—</w:t>
      </w:r>
      <w:r>
        <w:t xml:space="preserve"> </w:t>
      </w:r>
      <w:r>
        <w:t xml:space="preserve">Dyad-Level</w:t>
      </w:r>
      <w:r>
        <w:t xml:space="preserve"> </w:t>
      </w:r>
      <w:r>
        <w:t xml:space="preserve">Bias</w:t>
      </w:r>
      <w:r>
        <w:t xml:space="preserve"> </w:t>
      </w:r>
      <w:r>
        <w:t xml:space="preserve">Analysis</w:t>
      </w:r>
    </w:p>
    <w:p>
      <w:pPr>
        <w:pStyle w:val="FirstParagraph"/>
      </w:pPr>
      <w:r>
        <w:rPr>
          <w:bCs/>
          <w:b/>
        </w:rPr>
        <w:t xml:space="preserve">Does a male speaker’s new topic get taken up by the other speaker more often than a female speaker’s does?</w:t>
      </w:r>
      <w:r>
        <w:t xml:space="preserve"> </w:t>
      </w:r>
      <w:r>
        <w:t xml:space="preserve">A TF-IDF lexical-overlap measure, tested with episode-aware statistics and cross-checked against a semantic similarity measure.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Episodes:</w:t>
      </w:r>
      <w:r>
        <w:t xml:space="preserve"> </w:t>
      </w:r>
      <w:r>
        <w:t xml:space="preserve">100 mixed-gender (50 MALE→FEMALE, 50 FEMALE→MALE)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Turn-pairs:</w:t>
      </w:r>
      <w:r>
        <w:t xml:space="preserve"> </w:t>
      </w:r>
      <w:r>
        <w:t xml:space="preserve">12,573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TF-IDF cosine similarity</w:t>
      </w:r>
    </w:p>
    <w:p>
      <w:pPr>
        <w:pStyle w:val="BlockText"/>
      </w:pPr>
      <w:r>
        <w:rPr>
          <w:bCs/>
          <w:b/>
        </w:rPr>
        <w:t xml:space="preserve">Bottom line:</w:t>
      </w:r>
      <w:r>
        <w:t xml:space="preserve"> </w:t>
      </w:r>
      <w:r>
        <w:t xml:space="preserve">across five independent tests and two different similarity measures, we find no robust evidence that male speakers’ topic introductions are followed up more than female speakers’ in mixed-gender dyads. The strongly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naive result turns out to be a clustering artifact, not a gender effect.</w:t>
      </w:r>
    </w:p>
    <w:bookmarkStart w:id="20" w:name="what-we-measured"/>
    <w:p>
      <w:pPr>
        <w:pStyle w:val="Heading2"/>
      </w:pPr>
      <w:r>
        <w:t xml:space="preserve">1. What we measured</w:t>
      </w:r>
    </w:p>
    <w:p>
      <w:pPr>
        <w:pStyle w:val="FirstParagraph"/>
      </w:pPr>
      <w:r>
        <w:t xml:space="preserve">To assess topic control — whether a speaker’s introduction of a new subject is picked up by the other speaker — we computed</w:t>
      </w:r>
      <w:r>
        <w:t xml:space="preserve"> </w:t>
      </w:r>
      <w:r>
        <w:rPr>
          <w:bCs/>
          <w:b/>
        </w:rPr>
        <w:t xml:space="preserve">TF-IDF cosine similarity</w:t>
      </w:r>
      <w:r>
        <w:t xml:space="preserve"> </w:t>
      </w:r>
      <w:r>
        <w:t xml:space="preserve">between consecutive turns within each episode. A turn was classified as a</w:t>
      </w:r>
      <w:r>
        <w:t xml:space="preserve"> </w:t>
      </w:r>
      <w:r>
        <w:rPr>
          <w:bCs/>
          <w:b/>
        </w:rPr>
        <w:t xml:space="preserve">topic initiation</w:t>
      </w:r>
      <w:r>
        <w:t xml:space="preserve"> </w:t>
      </w:r>
      <w:r>
        <w:t xml:space="preserve">if its similarity to the immediately preceding turn fell at or below that episode’s median incoming similarity: it diverged from what was just said, rather than continuing it.</w:t>
      </w:r>
    </w:p>
    <w:p>
      <w:pPr>
        <w:pStyle w:val="BodyText"/>
      </w:pPr>
      <w:r>
        <w:t xml:space="preserve">For each initiation, we located the next turn produced by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speaker and measured the cosine similarity between the initiation and that response — the</w:t>
      </w:r>
      <w:r>
        <w:t xml:space="preserve"> </w:t>
      </w:r>
      <w:r>
        <w:rPr>
          <w:bCs/>
          <w:b/>
        </w:rPr>
        <w:t xml:space="preserve">follow-up strength</w:t>
      </w:r>
      <w:r>
        <w:t xml:space="preserve">. A response counted as having followed up the initiation if this similarity exceeded the episode’s median outgoing similarity. Pure backchannels (</w:t>
      </w:r>
      <w:r>
        <w:rPr>
          <w:rStyle w:val="VerbatimChar"/>
        </w:rPr>
        <w:t xml:space="preserve">yeah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mhm</w:t>
      </w:r>
      <w:r>
        <w:t xml:space="preserve">) were stripped from the turn sequence before pairing, so a filler acknowledgment could never count as either an initiation or a follow-up.</w:t>
      </w:r>
    </w:p>
    <w:p>
      <w:pPr>
        <w:pStyle w:val="BodyText"/>
      </w:pPr>
      <w:r>
        <w:t xml:space="preserve">We then tested whether</w:t>
      </w:r>
      <w:r>
        <w:t xml:space="preserve"> </w:t>
      </w:r>
      <w:r>
        <w:rPr>
          <w:bCs/>
          <w:b/>
        </w:rPr>
        <w:t xml:space="preserve">male</w:t>
      </w:r>
      <w:r>
        <w:t xml:space="preserve"> </w:t>
      </w:r>
      <w:r>
        <w:t xml:space="preserve">initiations are followed up more than</w:t>
      </w:r>
      <w:r>
        <w:t xml:space="preserve"> </w:t>
      </w:r>
      <w:r>
        <w:rPr>
          <w:bCs/>
          <w:b/>
        </w:rPr>
        <w:t xml:space="preserve">female</w:t>
      </w:r>
      <w:r>
        <w:t xml:space="preserve"> </w:t>
      </w:r>
      <w:r>
        <w:t xml:space="preserve">initiations, restricted to mixed-gender host/guest dyads —</w:t>
      </w:r>
      <w:r>
        <w:t xml:space="preserve"> </w:t>
      </w:r>
      <w:r>
        <w:rPr>
          <w:rStyle w:val="VerbatimChar"/>
        </w:rPr>
        <w:t xml:space="preserve">MALE→FEMALE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FEMALE→MALE</w:t>
      </w:r>
      <w:r>
        <w:t xml:space="preserve">. Same-gender dyads (</w:t>
      </w:r>
      <w:r>
        <w:rPr>
          <w:rStyle w:val="VerbatimChar"/>
        </w:rPr>
        <w:t xml:space="preserve">MALE→MALE</w:t>
      </w:r>
      <w:r>
        <w:t xml:space="preserve">,</w:t>
      </w:r>
      <w:r>
        <w:t xml:space="preserve"> </w:t>
      </w:r>
      <w:r>
        <w:rPr>
          <w:rStyle w:val="VerbatimChar"/>
        </w:rPr>
        <w:t xml:space="preserve">FEMALE→FEMALE</w:t>
      </w:r>
      <w:r>
        <w:t xml:space="preserve">) can’t supply this comparison: every initiator in those episodes is the same gender, so there’s no cross-gender contrast to draw within them.</w:t>
      </w:r>
    </w:p>
    <w:bookmarkEnd w:id="20"/>
    <w:bookmarkStart w:id="21" w:name="data"/>
    <w:p>
      <w:pPr>
        <w:pStyle w:val="Heading2"/>
      </w:pPr>
      <w:r>
        <w:t xml:space="preserve">2. Data</w:t>
      </w:r>
    </w:p>
    <w:p>
      <w:pPr>
        <w:pStyle w:val="FirstParagraph"/>
      </w:pPr>
      <w:r>
        <w:t xml:space="preserve">100 mixed-gender episodes (50</w:t>
      </w:r>
      <w:r>
        <w:t xml:space="preserve"> </w:t>
      </w:r>
      <w:r>
        <w:rPr>
          <w:rStyle w:val="VerbatimChar"/>
        </w:rPr>
        <w:t xml:space="preserve">MALE→FEMALE</w:t>
      </w:r>
      <w:r>
        <w:t xml:space="preserve">, 50</w:t>
      </w:r>
      <w:r>
        <w:t xml:space="preserve"> </w:t>
      </w:r>
      <w:r>
        <w:rPr>
          <w:rStyle w:val="VerbatimChar"/>
        </w:rPr>
        <w:t xml:space="preserve">FEMALE→MALE</w:t>
      </w:r>
      <w:r>
        <w:t xml:space="preserve">), drawn from a gender-balanced sample of 200 podcast episodes. All 100 had usable transcripts, yielding</w:t>
      </w:r>
      <w:r>
        <w:t xml:space="preserve"> </w:t>
      </w:r>
      <w:r>
        <w:rPr>
          <w:bCs/>
          <w:b/>
        </w:rPr>
        <w:t xml:space="preserve">12,573 initiation→response pairs</w:t>
      </w:r>
      <w:r>
        <w:t xml:space="preserve"> </w:t>
      </w:r>
      <w:r>
        <w:t xml:space="preserve">— 6,444 male-initiated, 6,129 female-initiated.</w:t>
      </w:r>
    </w:p>
    <w:bookmarkEnd w:id="21"/>
    <w:bookmarkStart w:id="22" w:name="X76489a888fe7b9291b042895d683c925bdc8c7e"/>
    <w:p>
      <w:pPr>
        <w:pStyle w:val="Heading2"/>
      </w:pPr>
      <w:r>
        <w:t xml:space="preserve">3. Why the naive tests are not the test of record</w:t>
      </w:r>
    </w:p>
    <w:p>
      <w:pPr>
        <w:pStyle w:val="FirstParagraph"/>
      </w:pPr>
      <w:r>
        <w:t xml:space="preserve">Initial descriptive tests — a chi-square on the binarized follow-up outcome, a Welch’s t-test on raw similarity — suggested a large, highly significant male &gt; female gap (chi-square p ≈ 3.5×10⁻⁸; t-test p ≈ 1.1×10⁻⁹). But these treat all 12,573 pairs as independent observations, when they’re really nested inside only 100 episodes — averaging 125.7 pairs per episode, ranging from 19 to 598. A handful of unusually talkative episodes can dominate the sample and manufacture significance that isn’t really there (pseudoreplication).</w:t>
      </w:r>
    </w:p>
    <w:p>
      <w:pPr>
        <w:pStyle w:val="BodyText"/>
      </w:pPr>
      <w:r>
        <w:t xml:space="preserve">We report the naive tests only as a descriptive reference, and rely instead 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Mixed-effects regression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MixedLM</w:t>
      </w:r>
      <w:r>
        <w:t xml:space="preserve">) of outgoing similarity on initiator gender, controlling for turn length and host/guest role, with random intercepts for episode and for speaker nested in episode.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GEE logistic regression</w:t>
      </w:r>
      <w:r>
        <w:t xml:space="preserve"> </w:t>
      </w:r>
      <w:r>
        <w:t xml:space="preserve">(exchangeable correlation, clustered by episode, robust sandwich SEs) on the binarized follow-up outcome — the primary significance test for that outcome.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variational-Bayes mixed logistic model</w:t>
      </w:r>
      <w:r>
        <w:t xml:space="preserve"> </w:t>
      </w:r>
      <w:r>
        <w:t xml:space="preserve">as a secondary cross-check — its posterior SDs ran roughly 2.4× tighter than GEE’s for the same coefficient, a known instability in that fitting method, so it isn’t treated as the test of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Episode-level paired tests</w:t>
      </w:r>
      <w:r>
        <w:t xml:space="preserve"> </w:t>
      </w:r>
      <w:r>
        <w:t xml:space="preserve">(paired t-test, Wilcoxon signed-rank, and a 10,000-iteration sign-flip permutation test) comparing male- vs. female-initiated follow-up within each episode directly — fully model-free, since the real sample size for this comparison is episodes, not turn-pairs.</w:t>
      </w:r>
    </w:p>
    <w:bookmarkEnd w:id="22"/>
    <w:bookmarkStart w:id="27" w:name="results"/>
    <w:p>
      <w:pPr>
        <w:pStyle w:val="Heading2"/>
      </w:pPr>
      <w:r>
        <w:t xml:space="preserve">4. Results</w:t>
      </w:r>
    </w:p>
    <w:p>
      <w:pPr>
        <w:pStyle w:val="CaptionedFigure"/>
      </w:pPr>
      <w:r>
        <w:drawing>
          <wp:inline>
            <wp:extent cx="3734054" cy="4003175"/>
            <wp:effectExtent b="0" l="0" r="0" t="0"/>
            <wp:docPr descr="Fig. 1 — Raw follow-up rate by initiator gender (mixed-gender dyads). The naive gap shown here does not survive episode-clustered testing." title="" id="1" name="Picture"/>
            <a:graphic>
              <a:graphicData uri="http://schemas.openxmlformats.org/drawingml/2006/picture">
                <pic:pic>
                  <pic:nvPicPr>
                    <pic:cNvPr descr="/home/bm5726/listening-between-the-lines/results/figures/fig1_followup_rate_by_gend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054" cy="4003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 — Raw follow-up rate by initiator gender (mixed-gender dyads). The naive gap shown here does not survive episode-clustered testing.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Naive chi-square (descriptive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male 42.6% vs. female 37.8% follow-up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 ≈ 3.5×10⁻⁸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Naive Welch’s t-test (descriptive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mean sim. 0.054 (male) vs. 0.042 (female)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 ≈ 1.1×10⁻⁹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Mixed-effects model (similarity)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 = +0.003 (male)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≈ 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 logistic regression (follow-up)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 = −0.117 (log-odds)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≈ 0.060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t-test, episode follow-up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0.417 vs. female 0.423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≈ 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Wilcoxon signed-rank, episode follow-up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≈ 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Permutation test, episode follow-up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= −0.006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≈ 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t-test, episode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0.045 vs. female 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≈ 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Permutation test, episode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= +0.001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≈ 0.70</w:t>
            </w:r>
          </w:p>
        </w:tc>
      </w:tr>
    </w:tbl>
    <w:p>
      <w:pPr>
        <w:pStyle w:val="BodyText"/>
      </w:pPr>
      <w:r>
        <w:t xml:space="preserve">Once episode clustering is properly accounted for,</w:t>
      </w:r>
      <w:r>
        <w:t xml:space="preserve"> </w:t>
      </w:r>
      <w:r>
        <w:rPr>
          <w:bCs/>
          <w:b/>
        </w:rPr>
        <w:t xml:space="preserve">the apparent male &gt; female follow-up gap is not statistically significant</w:t>
      </w:r>
      <w:r>
        <w:t xml:space="preserve">, and the fully model-free episode-level comparisons put the two groups at parity — within 1–2 percentage points, in either direction depending on the metric.</w:t>
      </w:r>
    </w:p>
    <w:p>
      <w:pPr>
        <w:pStyle w:val="CaptionedFigure"/>
      </w:pPr>
      <w:r>
        <w:drawing>
          <wp:inline>
            <wp:extent cx="5334000" cy="3672590"/>
            <wp:effectExtent b="0" l="0" r="0" t="0"/>
            <wp:docPr descr="Fig. 3 — What predicts follow-up strength, controlling for the other variables. Host/guest role carries the effect; initiator gender does not." title="" id="1" name="Picture"/>
            <a:graphic>
              <a:graphicData uri="http://schemas.openxmlformats.org/drawingml/2006/picture">
                <pic:pic>
                  <pic:nvPicPr>
                    <pic:cNvPr descr="/home/bm5726/listening-between-the-lines/results/figures/fig3_regression_forest_pl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 — What predicts follow-up strength, controlling for the other variables. Host/guest role carries the effect; initiator gender does not.</w:t>
      </w:r>
    </w:p>
    <w:bookmarkStart w:id="26" w:name="its-role-not-gender"/>
    <w:p>
      <w:pPr>
        <w:pStyle w:val="Heading3"/>
      </w:pPr>
      <w:r>
        <w:t xml:space="preserve">It’s role, not gender</w:t>
      </w:r>
    </w:p>
    <w:p>
      <w:pPr>
        <w:pStyle w:val="FirstParagraph"/>
      </w:pPr>
      <w:r>
        <w:t xml:space="preserve">Both host/guest role and initiator turn length were significant predictors of follow-up strength (role: GEE coef = 0.784, p &lt; 0.001). Because host and guest happen to skew by gender in this sample, the naive gender gap is better explained by conversational role than by speaker gender.</w:t>
      </w:r>
    </w:p>
    <w:p>
      <w:pPr>
        <w:pStyle w:val="CaptionedFigure"/>
      </w:pPr>
      <w:r>
        <w:drawing>
          <wp:inline>
            <wp:extent cx="5334000" cy="3967162"/>
            <wp:effectExtent b="0" l="0" r="0" t="0"/>
            <wp:docPr descr="Fig. 2 — Follow-up rate by initiator gender and role. The apparent gender gap tracks host/guest role." title="" id="1" name="Picture"/>
            <a:graphic>
              <a:graphicData uri="http://schemas.openxmlformats.org/drawingml/2006/picture">
                <pic:pic>
                  <pic:nvPicPr>
                    <pic:cNvPr descr="/home/bm5726/listening-between-the-lines/results/figures/fig2_gender_by_role_confou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 — Follow-up rate by initiator gender and role. The apparent gender gap tracks host/guest role.</w:t>
      </w:r>
    </w:p>
    <w:bookmarkEnd w:id="26"/>
    <w:bookmarkEnd w:id="27"/>
    <w:bookmarkStart w:id="31" w:name="robustness-checks"/>
    <w:p>
      <w:pPr>
        <w:pStyle w:val="Heading2"/>
      </w:pPr>
      <w:r>
        <w:t xml:space="preserve">5. Robustness checks</w:t>
      </w:r>
    </w:p>
    <w:bookmarkStart w:id="29" w:name="threshold-sensitivity"/>
    <w:p>
      <w:pPr>
        <w:pStyle w:val="Heading3"/>
      </w:pPr>
      <w:r>
        <w:t xml:space="preserve">Threshold sensitivity</w:t>
      </w:r>
    </w:p>
    <w:p>
      <w:pPr>
        <w:pStyle w:val="FirstParagraph"/>
      </w:pPr>
      <w:r>
        <w:t xml:space="preserve">Re-running the (naive, pooled) follow-up rate at fixed similarity thresholds of 0.05, 0.10, and 0.20 showed the same small male &gt; female pattern in the raw counts at every threshold (e.g. at 0.10: female 12.0% vs. male 15.4%) — confirming the raw descriptive gap isn’t an artifact of the episode-median cutoff specifically, though it remains subject to the same clustering caveat as the naive tests above.</w:t>
      </w:r>
    </w:p>
    <w:p>
      <w:pPr>
        <w:pStyle w:val="CaptionedFigure"/>
      </w:pPr>
      <w:r>
        <w:drawing>
          <wp:inline>
            <wp:extent cx="5334000" cy="3966385"/>
            <wp:effectExtent b="0" l="0" r="0" t="0"/>
            <wp:docPr descr="Fig. 4 — Follow-up rate by threshold. Descriptive, pooled turn-pairs — see the clustered tests above for significance." title="" id="1" name="Picture"/>
            <a:graphic>
              <a:graphicData uri="http://schemas.openxmlformats.org/drawingml/2006/picture">
                <pic:pic>
                  <pic:nvPicPr>
                    <pic:cNvPr descr="/home/bm5726/listening-between-the-lines/results/figures/fig4_robustness_across_threshold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 — Follow-up rate by threshold. Descriptive, pooled turn-pairs — see the clustered tests above for significance.</w:t>
      </w:r>
    </w:p>
    <w:bookmarkEnd w:id="29"/>
    <w:bookmarkStart w:id="30" w:name="lexical-vs.-semantic-similarity"/>
    <w:p>
      <w:pPr>
        <w:pStyle w:val="Heading3"/>
      </w:pPr>
      <w:r>
        <w:t xml:space="preserve">Lexical vs. semantic similarity</w:t>
      </w:r>
    </w:p>
    <w:p>
      <w:pPr>
        <w:pStyle w:val="FirstParagraph"/>
      </w:pPr>
      <w:r>
        <w:t xml:space="preserve">To rule out TF-IDF’s lexical-overlap-only definition as the cause of the null result, we repeated the episode-level paired comparison using sentence-embedding cosine similarity (</w:t>
      </w:r>
      <w:r>
        <w:rPr>
          <w:rStyle w:val="VerbatimChar"/>
        </w:rPr>
        <w:t xml:space="preserve">all-MiniLM-L6-v2</w:t>
      </w:r>
      <w:r>
        <w:t xml:space="preserve">) instead of TF-IDF. Results agreed:</w:t>
      </w:r>
    </w:p>
    <w:p>
      <w:pPr>
        <w:numPr>
          <w:ilvl w:val="0"/>
          <w:numId w:val="1003"/>
        </w:numPr>
        <w:pStyle w:val="Compact"/>
      </w:pPr>
      <w:r>
        <w:t xml:space="preserve">Follow-up rate: male 46.8% vs. female 48.5% (paired t-test p ≈ 0.34; permutation p ≈ 0.34)</w:t>
      </w:r>
    </w:p>
    <w:p>
      <w:pPr>
        <w:numPr>
          <w:ilvl w:val="0"/>
          <w:numId w:val="1003"/>
        </w:numPr>
        <w:pStyle w:val="Compact"/>
      </w:pPr>
      <w:r>
        <w:t xml:space="preserve">Mean similarity: male 0.235 vs. female 0.244 (paired t-test p ≈ 0.23; permutation p ≈ 0.23)</w:t>
      </w:r>
    </w:p>
    <w:p>
      <w:pPr>
        <w:pStyle w:val="FirstParagraph"/>
      </w:pPr>
      <w:r>
        <w:t xml:space="preserve">Again, no significant gender difference — with point estimates leaning slightly toward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female follow-up, not lower.</w:t>
      </w:r>
    </w:p>
    <w:bookmarkEnd w:id="30"/>
    <w:bookmarkEnd w:id="31"/>
    <w:bookmarkStart w:id="32" w:name="interpretation"/>
    <w:p>
      <w:pPr>
        <w:pStyle w:val="Heading2"/>
      </w:pPr>
      <w:r>
        <w:t xml:space="preserve">6. Interpretation</w:t>
      </w:r>
    </w:p>
    <w:p>
      <w:pPr>
        <w:pStyle w:val="FirstParagraph"/>
      </w:pPr>
      <w:r>
        <w:t xml:space="preserve">Across five independent testing strategies — a mixed-effects model, clustered GEE logistic regression, a secondary GLMM, paired episode-level parametric and non-parametric tests, and a permutation test — and across two different similarity measures (lexical TF-IDF and semantic sentence embeddings), we find</w:t>
      </w:r>
      <w:r>
        <w:t xml:space="preserve"> </w:t>
      </w:r>
      <w:r>
        <w:rPr>
          <w:bCs/>
          <w:b/>
        </w:rPr>
        <w:t xml:space="preserve">no robust evidence that male speakers’ topic introductions are followed up more than female speakers’ in mixed-gender dyads</w:t>
      </w:r>
      <w:r>
        <w:t xml:space="preserve">. The strongly significant result from naive, unclustered tests is best explained by pseudoreplication rather than a genuine gender effect; what significant structure does exist in the data is attributable to conversational role, not speaker gender.</w:t>
      </w:r>
    </w:p>
    <w:bookmarkEnd w:id="32"/>
    <w:bookmarkStart w:id="33" w:name="limitations"/>
    <w:p>
      <w:pPr>
        <w:pStyle w:val="Heading2"/>
      </w:pPr>
      <w:r>
        <w:t xml:space="preserve">7. Limitations</w:t>
      </w:r>
    </w:p>
    <w:p>
      <w:pPr>
        <w:numPr>
          <w:ilvl w:val="0"/>
          <w:numId w:val="1004"/>
        </w:numPr>
        <w:pStyle w:val="Compact"/>
      </w:pPr>
      <w:r>
        <w:t xml:space="preserve">Sample size for inference is ~100 episodes per comparison, not the ~12,500 turn-pairs; a small or moderate true effect may not be detectable at this scale.</w:t>
      </w:r>
    </w:p>
    <w:p>
      <w:pPr>
        <w:numPr>
          <w:ilvl w:val="0"/>
          <w:numId w:val="1004"/>
        </w:numPr>
        <w:pStyle w:val="Compact"/>
      </w:pPr>
      <w:r>
        <w:t xml:space="preserve">The balanced mixed-dyad sample (50 per dyad type) is capped by the smallest available same-gender dyad category in the underlying corpus and was not expanded further in this analysis.</w:t>
      </w:r>
    </w:p>
    <w:p>
      <w:pPr>
        <w:numPr>
          <w:ilvl w:val="0"/>
          <w:numId w:val="1004"/>
        </w:numPr>
        <w:pStyle w:val="Compact"/>
      </w:pPr>
      <w:r>
        <w:t xml:space="preserve">Both similarity measures are context-window-limited — comparing only the initiation to the single next opposite-speaker turn — so a topic picked up two or three turns later would not register as</w:t>
      </w:r>
      <w:r>
        <w:t xml:space="preserve"> </w:t>
      </w:r>
      <w:r>
        <w:t xml:space="preserve">“</w:t>
      </w:r>
      <w:r>
        <w:t xml:space="preserve">followed up.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Listening Between the Lines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src/topic_control.py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src/topic_control_embeddings_check.py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src/make_topic_control_figures.py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Control in Mixed-Gender Podcast Dyads</dc:title>
  <dc:creator>Listening Between the Lines — Dyad-Level Bias Analysis</dc:creator>
  <cp:keywords/>
  <dcterms:created xsi:type="dcterms:W3CDTF">2026-09-12T22:27:34Z</dcterms:created>
  <dcterms:modified xsi:type="dcterms:W3CDTF">2026-09-12T22:27:34Z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