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A1F" w:rsidRDefault="00A95A1F" w:rsidP="00A95A1F">
      <w:pPr>
        <w:pStyle w:val="NormalWeb"/>
        <w:numPr>
          <w:ilvl w:val="0"/>
          <w:numId w:val="1"/>
        </w:numPr>
        <w:shd w:val="clear" w:color="auto" w:fill="FFFFFF"/>
        <w:spacing w:before="120" w:beforeAutospacing="0" w:after="120" w:afterAutospacing="0" w:line="276" w:lineRule="auto"/>
        <w:jc w:val="both"/>
        <w:rPr>
          <w:b/>
          <w:bCs/>
          <w:color w:val="000000" w:themeColor="text1"/>
          <w:sz w:val="28"/>
          <w:szCs w:val="28"/>
        </w:rPr>
      </w:pPr>
      <w:r>
        <w:rPr>
          <w:b/>
          <w:bCs/>
          <w:color w:val="000000" w:themeColor="text1"/>
          <w:sz w:val="28"/>
          <w:szCs w:val="28"/>
        </w:rPr>
        <w:t xml:space="preserve">Define Moore’s Law </w:t>
      </w:r>
    </w:p>
    <w:p w:rsidR="00A95A1F" w:rsidRPr="00A95A1F" w:rsidRDefault="00A95A1F" w:rsidP="00A95A1F">
      <w:pPr>
        <w:pStyle w:val="NormalWeb"/>
        <w:shd w:val="clear" w:color="auto" w:fill="FFFFFF"/>
        <w:spacing w:before="120" w:beforeAutospacing="0" w:after="120" w:afterAutospacing="0" w:line="276" w:lineRule="auto"/>
        <w:jc w:val="both"/>
        <w:rPr>
          <w:color w:val="000000" w:themeColor="text1"/>
          <w:sz w:val="28"/>
          <w:szCs w:val="28"/>
        </w:rPr>
      </w:pPr>
      <w:r w:rsidRPr="00A95A1F">
        <w:rPr>
          <w:b/>
          <w:bCs/>
          <w:color w:val="000000" w:themeColor="text1"/>
          <w:sz w:val="28"/>
          <w:szCs w:val="28"/>
        </w:rPr>
        <w:t>Moore's law</w:t>
      </w:r>
      <w:r w:rsidRPr="00A95A1F">
        <w:rPr>
          <w:color w:val="000000" w:themeColor="text1"/>
          <w:sz w:val="28"/>
          <w:szCs w:val="28"/>
        </w:rPr>
        <w:t> is the observation that </w:t>
      </w:r>
      <w:hyperlink r:id="rId5" w:tooltip="Transistor count" w:history="1">
        <w:r w:rsidRPr="00A95A1F">
          <w:rPr>
            <w:rStyle w:val="Hyperlink"/>
            <w:color w:val="000000" w:themeColor="text1"/>
            <w:sz w:val="28"/>
            <w:szCs w:val="28"/>
            <w:u w:val="none"/>
          </w:rPr>
          <w:t>the number</w:t>
        </w:r>
      </w:hyperlink>
      <w:r w:rsidRPr="00A95A1F">
        <w:rPr>
          <w:color w:val="000000" w:themeColor="text1"/>
          <w:sz w:val="28"/>
          <w:szCs w:val="28"/>
        </w:rPr>
        <w:t> of </w:t>
      </w:r>
      <w:hyperlink r:id="rId6" w:tooltip="Transistor" w:history="1">
        <w:r w:rsidRPr="00A95A1F">
          <w:rPr>
            <w:rStyle w:val="Hyperlink"/>
            <w:color w:val="000000" w:themeColor="text1"/>
            <w:sz w:val="28"/>
            <w:szCs w:val="28"/>
            <w:u w:val="none"/>
          </w:rPr>
          <w:t>transistors</w:t>
        </w:r>
      </w:hyperlink>
      <w:r w:rsidRPr="00A95A1F">
        <w:rPr>
          <w:color w:val="000000" w:themeColor="text1"/>
          <w:sz w:val="28"/>
          <w:szCs w:val="28"/>
        </w:rPr>
        <w:t> in a dense </w:t>
      </w:r>
      <w:hyperlink r:id="rId7" w:tooltip="Integrated circuit" w:history="1">
        <w:r w:rsidRPr="00A95A1F">
          <w:rPr>
            <w:rStyle w:val="Hyperlink"/>
            <w:color w:val="000000" w:themeColor="text1"/>
            <w:sz w:val="28"/>
            <w:szCs w:val="28"/>
            <w:u w:val="none"/>
          </w:rPr>
          <w:t>integrated circuit</w:t>
        </w:r>
      </w:hyperlink>
      <w:r w:rsidRPr="00A95A1F">
        <w:rPr>
          <w:color w:val="000000" w:themeColor="text1"/>
          <w:sz w:val="28"/>
          <w:szCs w:val="28"/>
        </w:rPr>
        <w:t> (IC) doubles about every two years. Moore's law is an </w:t>
      </w:r>
      <w:hyperlink r:id="rId8" w:tooltip="Observation" w:history="1">
        <w:r w:rsidRPr="00A95A1F">
          <w:rPr>
            <w:rStyle w:val="Hyperlink"/>
            <w:color w:val="000000" w:themeColor="text1"/>
            <w:sz w:val="28"/>
            <w:szCs w:val="28"/>
            <w:u w:val="none"/>
          </w:rPr>
          <w:t>observation</w:t>
        </w:r>
      </w:hyperlink>
      <w:r w:rsidRPr="00A95A1F">
        <w:rPr>
          <w:color w:val="000000" w:themeColor="text1"/>
          <w:sz w:val="28"/>
          <w:szCs w:val="28"/>
        </w:rPr>
        <w:t> and </w:t>
      </w:r>
      <w:hyperlink r:id="rId9" w:tooltip="Forecasting" w:history="1">
        <w:r w:rsidRPr="00A95A1F">
          <w:rPr>
            <w:rStyle w:val="Hyperlink"/>
            <w:color w:val="000000" w:themeColor="text1"/>
            <w:sz w:val="28"/>
            <w:szCs w:val="28"/>
            <w:u w:val="none"/>
          </w:rPr>
          <w:t>projection</w:t>
        </w:r>
      </w:hyperlink>
      <w:r w:rsidRPr="00A95A1F">
        <w:rPr>
          <w:color w:val="000000" w:themeColor="text1"/>
          <w:sz w:val="28"/>
          <w:szCs w:val="28"/>
        </w:rPr>
        <w:t> of a historical trend. Rather than a </w:t>
      </w:r>
      <w:hyperlink r:id="rId10" w:tooltip="Physical law" w:history="1">
        <w:r w:rsidRPr="00A95A1F">
          <w:rPr>
            <w:rStyle w:val="Hyperlink"/>
            <w:color w:val="000000" w:themeColor="text1"/>
            <w:sz w:val="28"/>
            <w:szCs w:val="28"/>
            <w:u w:val="none"/>
          </w:rPr>
          <w:t>law of physics</w:t>
        </w:r>
      </w:hyperlink>
      <w:r w:rsidRPr="00A95A1F">
        <w:rPr>
          <w:color w:val="000000" w:themeColor="text1"/>
          <w:sz w:val="28"/>
          <w:szCs w:val="28"/>
        </w:rPr>
        <w:t>, it is an </w:t>
      </w:r>
      <w:hyperlink r:id="rId11" w:tooltip="Empirical relationship" w:history="1">
        <w:r w:rsidRPr="00A95A1F">
          <w:rPr>
            <w:rStyle w:val="Hyperlink"/>
            <w:color w:val="000000" w:themeColor="text1"/>
            <w:sz w:val="28"/>
            <w:szCs w:val="28"/>
            <w:u w:val="none"/>
          </w:rPr>
          <w:t>empirical relationship</w:t>
        </w:r>
      </w:hyperlink>
      <w:r w:rsidRPr="00A95A1F">
        <w:rPr>
          <w:color w:val="000000" w:themeColor="text1"/>
          <w:sz w:val="28"/>
          <w:szCs w:val="28"/>
        </w:rPr>
        <w:t> linked to </w:t>
      </w:r>
      <w:hyperlink r:id="rId12" w:tooltip="Wright's Law" w:history="1">
        <w:r w:rsidRPr="00A95A1F">
          <w:rPr>
            <w:rStyle w:val="Hyperlink"/>
            <w:color w:val="000000" w:themeColor="text1"/>
            <w:sz w:val="28"/>
            <w:szCs w:val="28"/>
            <w:u w:val="none"/>
          </w:rPr>
          <w:t>gains from experience</w:t>
        </w:r>
      </w:hyperlink>
      <w:r w:rsidRPr="00A95A1F">
        <w:rPr>
          <w:color w:val="000000" w:themeColor="text1"/>
          <w:sz w:val="28"/>
          <w:szCs w:val="28"/>
        </w:rPr>
        <w:t> in production.</w:t>
      </w:r>
    </w:p>
    <w:p w:rsidR="00A95A1F" w:rsidRDefault="00A95A1F" w:rsidP="00A95A1F">
      <w:pPr>
        <w:pStyle w:val="NormalWeb"/>
        <w:shd w:val="clear" w:color="auto" w:fill="FFFFFF"/>
        <w:spacing w:before="120" w:beforeAutospacing="0" w:after="120" w:afterAutospacing="0" w:line="276" w:lineRule="auto"/>
        <w:jc w:val="both"/>
        <w:rPr>
          <w:color w:val="000000" w:themeColor="text1"/>
          <w:sz w:val="28"/>
          <w:szCs w:val="28"/>
        </w:rPr>
      </w:pPr>
      <w:r w:rsidRPr="00A95A1F">
        <w:rPr>
          <w:color w:val="000000" w:themeColor="text1"/>
          <w:sz w:val="28"/>
          <w:szCs w:val="28"/>
        </w:rPr>
        <w:t>The observation is named after </w:t>
      </w:r>
      <w:hyperlink r:id="rId13" w:tooltip="Gordon Moore" w:history="1">
        <w:r w:rsidRPr="00A95A1F">
          <w:rPr>
            <w:rStyle w:val="Hyperlink"/>
            <w:color w:val="000000" w:themeColor="text1"/>
            <w:sz w:val="28"/>
            <w:szCs w:val="28"/>
            <w:u w:val="none"/>
          </w:rPr>
          <w:t>Gordon Moore</w:t>
        </w:r>
      </w:hyperlink>
      <w:r w:rsidRPr="00A95A1F">
        <w:rPr>
          <w:color w:val="000000" w:themeColor="text1"/>
          <w:sz w:val="28"/>
          <w:szCs w:val="28"/>
        </w:rPr>
        <w:t>, the co-founder of </w:t>
      </w:r>
      <w:hyperlink r:id="rId14" w:tooltip="Fairchild Semiconductor" w:history="1">
        <w:r w:rsidRPr="00A95A1F">
          <w:rPr>
            <w:rStyle w:val="Hyperlink"/>
            <w:color w:val="000000" w:themeColor="text1"/>
            <w:sz w:val="28"/>
            <w:szCs w:val="28"/>
            <w:u w:val="none"/>
          </w:rPr>
          <w:t>Fairchild Semiconductor</w:t>
        </w:r>
      </w:hyperlink>
      <w:r w:rsidRPr="00A95A1F">
        <w:rPr>
          <w:color w:val="000000" w:themeColor="text1"/>
          <w:sz w:val="28"/>
          <w:szCs w:val="28"/>
        </w:rPr>
        <w:t> and CEO and co-founder of </w:t>
      </w:r>
      <w:hyperlink r:id="rId15" w:tooltip="Intel" w:history="1">
        <w:r w:rsidRPr="00A95A1F">
          <w:rPr>
            <w:rStyle w:val="Hyperlink"/>
            <w:color w:val="000000" w:themeColor="text1"/>
            <w:sz w:val="28"/>
            <w:szCs w:val="28"/>
            <w:u w:val="none"/>
          </w:rPr>
          <w:t>Intel</w:t>
        </w:r>
      </w:hyperlink>
      <w:r w:rsidRPr="00A95A1F">
        <w:rPr>
          <w:color w:val="000000" w:themeColor="text1"/>
          <w:sz w:val="28"/>
          <w:szCs w:val="28"/>
        </w:rPr>
        <w:t>, who in 1965 posited a </w:t>
      </w:r>
      <w:hyperlink r:id="rId16" w:tooltip="Exponential growth" w:history="1">
        <w:r w:rsidRPr="00A95A1F">
          <w:rPr>
            <w:rStyle w:val="Hyperlink"/>
            <w:color w:val="000000" w:themeColor="text1"/>
            <w:sz w:val="28"/>
            <w:szCs w:val="28"/>
            <w:u w:val="none"/>
          </w:rPr>
          <w:t>doubling every year</w:t>
        </w:r>
      </w:hyperlink>
      <w:r w:rsidRPr="00A95A1F">
        <w:rPr>
          <w:color w:val="000000" w:themeColor="text1"/>
          <w:sz w:val="28"/>
          <w:szCs w:val="28"/>
        </w:rPr>
        <w:t> in the number of components per integrated circuit,</w:t>
      </w:r>
      <w:hyperlink r:id="rId17" w:anchor="cite_note-2" w:history="1">
        <w:r w:rsidRPr="00A95A1F">
          <w:rPr>
            <w:rStyle w:val="Hyperlink"/>
            <w:color w:val="000000" w:themeColor="text1"/>
            <w:sz w:val="28"/>
            <w:szCs w:val="28"/>
            <w:u w:val="none"/>
            <w:vertAlign w:val="superscript"/>
          </w:rPr>
          <w:t>[a]</w:t>
        </w:r>
      </w:hyperlink>
      <w:r w:rsidRPr="00A95A1F">
        <w:rPr>
          <w:color w:val="000000" w:themeColor="text1"/>
          <w:sz w:val="28"/>
          <w:szCs w:val="28"/>
        </w:rPr>
        <w:t> and projected this rate of growth would continue for at least another decade. In 1975, looking forward to the next decade, he revised the forecast to doubling every two years, a </w:t>
      </w:r>
      <w:hyperlink r:id="rId18" w:tooltip="Compound annual growth rate" w:history="1">
        <w:r w:rsidRPr="00A95A1F">
          <w:rPr>
            <w:rStyle w:val="Hyperlink"/>
            <w:color w:val="000000" w:themeColor="text1"/>
            <w:sz w:val="28"/>
            <w:szCs w:val="28"/>
            <w:u w:val="none"/>
          </w:rPr>
          <w:t>compound annual growth rate</w:t>
        </w:r>
      </w:hyperlink>
      <w:r w:rsidRPr="00A95A1F">
        <w:rPr>
          <w:color w:val="000000" w:themeColor="text1"/>
          <w:sz w:val="28"/>
          <w:szCs w:val="28"/>
        </w:rPr>
        <w:t> (CAGR) of 40%. While Moore did not use empirical evidence in forecasting that the historical trend would continue, his prediction held since 1975 and has since become known as a "law."</w:t>
      </w:r>
    </w:p>
    <w:p w:rsidR="00A95A1F" w:rsidRDefault="00A95A1F" w:rsidP="00A95A1F">
      <w:pPr>
        <w:pStyle w:val="NormalWeb"/>
        <w:numPr>
          <w:ilvl w:val="0"/>
          <w:numId w:val="1"/>
        </w:numPr>
        <w:shd w:val="clear" w:color="auto" w:fill="FFFFFF"/>
        <w:spacing w:before="120" w:beforeAutospacing="0" w:after="120" w:afterAutospacing="0" w:line="276" w:lineRule="auto"/>
        <w:jc w:val="both"/>
        <w:rPr>
          <w:b/>
          <w:color w:val="000000" w:themeColor="text1"/>
          <w:sz w:val="28"/>
          <w:szCs w:val="28"/>
        </w:rPr>
      </w:pPr>
      <w:r w:rsidRPr="00A95A1F">
        <w:rPr>
          <w:b/>
          <w:color w:val="000000" w:themeColor="text1"/>
          <w:sz w:val="28"/>
          <w:szCs w:val="28"/>
        </w:rPr>
        <w:t>Physical Limitations</w:t>
      </w:r>
    </w:p>
    <w:p w:rsidR="00BE5300" w:rsidRPr="00BE5300" w:rsidRDefault="00BE5300" w:rsidP="00BE5300">
      <w:pPr>
        <w:pStyle w:val="ListParagraph"/>
        <w:shd w:val="clear" w:color="auto" w:fill="FFFFFF"/>
        <w:spacing w:after="0"/>
        <w:ind w:left="360"/>
        <w:jc w:val="both"/>
        <w:rPr>
          <w:rFonts w:ascii="Times New Roman" w:eastAsia="Times New Roman" w:hAnsi="Times New Roman" w:cs="Times New Roman"/>
          <w:b/>
          <w:color w:val="000000" w:themeColor="text1"/>
          <w:sz w:val="28"/>
          <w:szCs w:val="28"/>
        </w:rPr>
      </w:pPr>
      <w:proofErr w:type="spellStart"/>
      <w:r w:rsidRPr="00BE5300">
        <w:rPr>
          <w:rFonts w:ascii="Times New Roman" w:eastAsia="Times New Roman" w:hAnsi="Times New Roman" w:cs="Times New Roman"/>
          <w:b/>
          <w:color w:val="000000" w:themeColor="text1"/>
          <w:sz w:val="28"/>
          <w:szCs w:val="28"/>
        </w:rPr>
        <w:t>Dennard</w:t>
      </w:r>
      <w:proofErr w:type="spellEnd"/>
      <w:r w:rsidRPr="00BE5300">
        <w:rPr>
          <w:rFonts w:ascii="Times New Roman" w:eastAsia="Times New Roman" w:hAnsi="Times New Roman" w:cs="Times New Roman"/>
          <w:b/>
          <w:color w:val="000000" w:themeColor="text1"/>
          <w:sz w:val="28"/>
          <w:szCs w:val="28"/>
        </w:rPr>
        <w:t xml:space="preserve"> scaling ignores the leakage current and threshold voltage.</w:t>
      </w:r>
    </w:p>
    <w:p w:rsidR="00A95A1F" w:rsidRPr="00A95A1F" w:rsidRDefault="00A95A1F" w:rsidP="00A95A1F">
      <w:pPr>
        <w:pStyle w:val="ListParagraph"/>
        <w:shd w:val="clear" w:color="auto" w:fill="FFFFFF"/>
        <w:spacing w:after="0"/>
        <w:ind w:left="360"/>
        <w:jc w:val="both"/>
        <w:rPr>
          <w:rFonts w:ascii="Times New Roman" w:eastAsia="Times New Roman" w:hAnsi="Times New Roman" w:cs="Times New Roman"/>
          <w:color w:val="000000" w:themeColor="text1"/>
          <w:sz w:val="28"/>
          <w:szCs w:val="28"/>
        </w:rPr>
      </w:pPr>
      <w:r w:rsidRPr="00A95A1F">
        <w:rPr>
          <w:rFonts w:ascii="Times New Roman" w:eastAsia="Times New Roman" w:hAnsi="Times New Roman" w:cs="Times New Roman"/>
          <w:b/>
          <w:color w:val="000000" w:themeColor="text1"/>
          <w:sz w:val="28"/>
          <w:szCs w:val="28"/>
        </w:rPr>
        <w:t>Moore's Law</w:t>
      </w:r>
      <w:r w:rsidRPr="00A95A1F">
        <w:rPr>
          <w:rFonts w:ascii="Times New Roman" w:eastAsia="Times New Roman" w:hAnsi="Times New Roman" w:cs="Times New Roman"/>
          <w:color w:val="000000" w:themeColor="text1"/>
          <w:sz w:val="28"/>
          <w:szCs w:val="28"/>
        </w:rPr>
        <w:t xml:space="preserve"> was originally developed purely for describing the number of transistors that could be put on a chip at minimal cost. The problem for chip designers is that Moore's Law depends on transistors shrinking, and eventually, the laws of physics intervene. In particular, electron </w:t>
      </w:r>
      <w:proofErr w:type="spellStart"/>
      <w:r w:rsidRPr="00A95A1F">
        <w:rPr>
          <w:rFonts w:ascii="Times New Roman" w:eastAsia="Times New Roman" w:hAnsi="Times New Roman" w:cs="Times New Roman"/>
          <w:color w:val="000000" w:themeColor="text1"/>
          <w:sz w:val="28"/>
          <w:szCs w:val="28"/>
        </w:rPr>
        <w:t>tunnelling</w:t>
      </w:r>
      <w:proofErr w:type="spellEnd"/>
      <w:r w:rsidRPr="00A95A1F">
        <w:rPr>
          <w:rFonts w:ascii="Times New Roman" w:eastAsia="Times New Roman" w:hAnsi="Times New Roman" w:cs="Times New Roman"/>
          <w:color w:val="000000" w:themeColor="text1"/>
          <w:sz w:val="28"/>
          <w:szCs w:val="28"/>
        </w:rPr>
        <w:t xml:space="preserve"> prevents the length of a gate - the part of a transistor that turns the flow of electrons on or off - from being smaller than 5 nm. The other problem hindering smaller transistors is heat extraction. The more transistors there are on a chip, the more heat it produces, and the greater the chance of a malfunction. New methods must be developed to remove that heat from the chip.</w:t>
      </w:r>
    </w:p>
    <w:p w:rsidR="00A95A1F" w:rsidRDefault="00A95A1F" w:rsidP="00A95A1F">
      <w:pPr>
        <w:pStyle w:val="ListParagraph"/>
        <w:shd w:val="clear" w:color="auto" w:fill="FFFFFF"/>
        <w:spacing w:after="0"/>
        <w:ind w:left="360"/>
        <w:jc w:val="both"/>
        <w:rPr>
          <w:rFonts w:ascii="Times New Roman" w:eastAsia="Times New Roman" w:hAnsi="Times New Roman" w:cs="Times New Roman"/>
          <w:color w:val="000000" w:themeColor="text1"/>
          <w:sz w:val="28"/>
          <w:szCs w:val="28"/>
        </w:rPr>
      </w:pPr>
      <w:r w:rsidRPr="00A95A1F">
        <w:rPr>
          <w:rFonts w:ascii="Times New Roman" w:eastAsia="Times New Roman" w:hAnsi="Times New Roman" w:cs="Times New Roman"/>
          <w:color w:val="000000" w:themeColor="text1"/>
          <w:sz w:val="28"/>
          <w:szCs w:val="28"/>
        </w:rPr>
        <w:t>Intel researchers published a paper in 2003 called </w:t>
      </w:r>
      <w:hyperlink r:id="rId19" w:history="1">
        <w:r w:rsidRPr="00A95A1F">
          <w:rPr>
            <w:rFonts w:ascii="Times New Roman" w:eastAsia="Times New Roman" w:hAnsi="Times New Roman" w:cs="Times New Roman"/>
            <w:color w:val="000000" w:themeColor="text1"/>
            <w:sz w:val="28"/>
            <w:szCs w:val="28"/>
            <w:u w:val="single"/>
          </w:rPr>
          <w:t xml:space="preserve">Limits to Binary Logic Switch Scaling - a </w:t>
        </w:r>
        <w:proofErr w:type="spellStart"/>
        <w:r w:rsidRPr="00A95A1F">
          <w:rPr>
            <w:rFonts w:ascii="Times New Roman" w:eastAsia="Times New Roman" w:hAnsi="Times New Roman" w:cs="Times New Roman"/>
            <w:color w:val="000000" w:themeColor="text1"/>
            <w:sz w:val="28"/>
            <w:szCs w:val="28"/>
            <w:u w:val="single"/>
          </w:rPr>
          <w:t>Gedanken</w:t>
        </w:r>
        <w:proofErr w:type="spellEnd"/>
        <w:r w:rsidRPr="00A95A1F">
          <w:rPr>
            <w:rFonts w:ascii="Times New Roman" w:eastAsia="Times New Roman" w:hAnsi="Times New Roman" w:cs="Times New Roman"/>
            <w:color w:val="000000" w:themeColor="text1"/>
            <w:sz w:val="28"/>
            <w:szCs w:val="28"/>
            <w:u w:val="single"/>
          </w:rPr>
          <w:t xml:space="preserve"> Model</w:t>
        </w:r>
      </w:hyperlink>
      <w:r w:rsidRPr="00A95A1F">
        <w:rPr>
          <w:rFonts w:ascii="Times New Roman" w:eastAsia="Times New Roman" w:hAnsi="Times New Roman" w:cs="Times New Roman"/>
          <w:color w:val="000000" w:themeColor="text1"/>
          <w:sz w:val="28"/>
          <w:szCs w:val="28"/>
        </w:rPr>
        <w:t xml:space="preserve">. The paper anticipated that the industry would reach the limits of </w:t>
      </w:r>
      <w:proofErr w:type="spellStart"/>
      <w:proofErr w:type="gramStart"/>
      <w:r w:rsidRPr="00A95A1F">
        <w:rPr>
          <w:rFonts w:ascii="Times New Roman" w:eastAsia="Times New Roman" w:hAnsi="Times New Roman" w:cs="Times New Roman"/>
          <w:color w:val="000000" w:themeColor="text1"/>
          <w:sz w:val="28"/>
          <w:szCs w:val="28"/>
        </w:rPr>
        <w:t>Moores</w:t>
      </w:r>
      <w:proofErr w:type="spellEnd"/>
      <w:proofErr w:type="gramEnd"/>
      <w:r w:rsidRPr="00A95A1F">
        <w:rPr>
          <w:rFonts w:ascii="Times New Roman" w:eastAsia="Times New Roman" w:hAnsi="Times New Roman" w:cs="Times New Roman"/>
          <w:color w:val="000000" w:themeColor="text1"/>
          <w:sz w:val="28"/>
          <w:szCs w:val="28"/>
        </w:rPr>
        <w:t xml:space="preserve"> law, and said that a trade-off between density and speed would be necessary to keep extending it.</w:t>
      </w:r>
    </w:p>
    <w:p w:rsidR="00BE5300" w:rsidRPr="00BE5300" w:rsidRDefault="00BE5300" w:rsidP="00BE5300">
      <w:pPr>
        <w:pStyle w:val="ListParagraph"/>
        <w:shd w:val="clear" w:color="auto" w:fill="FFFFFF"/>
        <w:spacing w:after="0"/>
        <w:ind w:left="360"/>
        <w:jc w:val="both"/>
        <w:rPr>
          <w:rFonts w:ascii="Times New Roman" w:eastAsia="Times New Roman" w:hAnsi="Times New Roman" w:cs="Times New Roman"/>
          <w:b/>
          <w:color w:val="000000" w:themeColor="text1"/>
          <w:sz w:val="28"/>
          <w:szCs w:val="28"/>
        </w:rPr>
      </w:pPr>
      <w:r w:rsidRPr="00BE5300">
        <w:rPr>
          <w:rFonts w:ascii="Times New Roman" w:eastAsia="Times New Roman" w:hAnsi="Times New Roman" w:cs="Times New Roman"/>
          <w:b/>
          <w:color w:val="000000" w:themeColor="text1"/>
          <w:sz w:val="28"/>
          <w:szCs w:val="28"/>
        </w:rPr>
        <w:t>Voltage Scaling cannot prevent leakage power loss.</w:t>
      </w:r>
    </w:p>
    <w:p w:rsidR="00A95A1F" w:rsidRDefault="00A95A1F" w:rsidP="00A95A1F">
      <w:pPr>
        <w:pStyle w:val="ListParagraph"/>
        <w:shd w:val="clear" w:color="auto" w:fill="FFFFFF"/>
        <w:spacing w:after="0"/>
        <w:ind w:left="360"/>
        <w:jc w:val="both"/>
        <w:rPr>
          <w:rFonts w:ascii="Times New Roman" w:eastAsia="Times New Roman" w:hAnsi="Times New Roman" w:cs="Times New Roman"/>
          <w:color w:val="000000" w:themeColor="text1"/>
          <w:sz w:val="28"/>
          <w:szCs w:val="28"/>
        </w:rPr>
      </w:pPr>
      <w:r w:rsidRPr="00A95A1F">
        <w:rPr>
          <w:rFonts w:ascii="Times New Roman" w:eastAsia="Times New Roman" w:hAnsi="Times New Roman" w:cs="Times New Roman"/>
          <w:b/>
          <w:color w:val="000000" w:themeColor="text1"/>
          <w:sz w:val="28"/>
          <w:szCs w:val="28"/>
        </w:rPr>
        <w:t>Hard drive storage</w:t>
      </w:r>
      <w:r w:rsidRPr="00A95A1F">
        <w:rPr>
          <w:rFonts w:ascii="Times New Roman" w:eastAsia="Times New Roman" w:hAnsi="Times New Roman" w:cs="Times New Roman"/>
          <w:color w:val="000000" w:themeColor="text1"/>
          <w:sz w:val="28"/>
          <w:szCs w:val="28"/>
        </w:rPr>
        <w:t xml:space="preserve"> has suffered from similar problems to electronic transistors on chips. The devices store information magnetically using a series of ones and zeros. They use grains of magnetic material to store this information. Storage vendors have continued to increase the density of the magnetic grains on a hard </w:t>
      </w:r>
      <w:r w:rsidRPr="00A95A1F">
        <w:rPr>
          <w:rFonts w:ascii="Times New Roman" w:eastAsia="Times New Roman" w:hAnsi="Times New Roman" w:cs="Times New Roman"/>
          <w:color w:val="000000" w:themeColor="text1"/>
          <w:sz w:val="28"/>
          <w:szCs w:val="28"/>
        </w:rPr>
        <w:lastRenderedPageBreak/>
        <w:t xml:space="preserve">drive by making them smaller. However, as density approaches 100 </w:t>
      </w:r>
      <w:proofErr w:type="spellStart"/>
      <w:proofErr w:type="gramStart"/>
      <w:r w:rsidRPr="00A95A1F">
        <w:rPr>
          <w:rFonts w:ascii="Times New Roman" w:eastAsia="Times New Roman" w:hAnsi="Times New Roman" w:cs="Times New Roman"/>
          <w:color w:val="000000" w:themeColor="text1"/>
          <w:sz w:val="28"/>
          <w:szCs w:val="28"/>
        </w:rPr>
        <w:t>Gb</w:t>
      </w:r>
      <w:proofErr w:type="spellEnd"/>
      <w:proofErr w:type="gramEnd"/>
      <w:r w:rsidRPr="00A95A1F">
        <w:rPr>
          <w:rFonts w:ascii="Times New Roman" w:eastAsia="Times New Roman" w:hAnsi="Times New Roman" w:cs="Times New Roman"/>
          <w:color w:val="000000" w:themeColor="text1"/>
          <w:sz w:val="28"/>
          <w:szCs w:val="28"/>
        </w:rPr>
        <w:t xml:space="preserve"> per square inch, the physical law of </w:t>
      </w:r>
      <w:proofErr w:type="spellStart"/>
      <w:r w:rsidRPr="00A95A1F">
        <w:rPr>
          <w:rFonts w:ascii="Times New Roman" w:eastAsia="Times New Roman" w:hAnsi="Times New Roman" w:cs="Times New Roman"/>
          <w:color w:val="000000" w:themeColor="text1"/>
          <w:sz w:val="28"/>
          <w:szCs w:val="28"/>
        </w:rPr>
        <w:t>superparamagnetism</w:t>
      </w:r>
      <w:proofErr w:type="spellEnd"/>
      <w:r w:rsidRPr="00A95A1F">
        <w:rPr>
          <w:rFonts w:ascii="Times New Roman" w:eastAsia="Times New Roman" w:hAnsi="Times New Roman" w:cs="Times New Roman"/>
          <w:color w:val="000000" w:themeColor="text1"/>
          <w:sz w:val="28"/>
          <w:szCs w:val="28"/>
        </w:rPr>
        <w:t xml:space="preserve"> looms. When small enough, the magnetic grains will alter their magnetic state unpredictably, switching ones to zeros and vice versa.</w:t>
      </w:r>
    </w:p>
    <w:p w:rsidR="00BE5300" w:rsidRPr="00BE5300" w:rsidRDefault="00BE5300" w:rsidP="00BE5300">
      <w:pPr>
        <w:pStyle w:val="ListParagraph"/>
        <w:shd w:val="clear" w:color="auto" w:fill="FFFFFF"/>
        <w:spacing w:after="0"/>
        <w:ind w:left="360"/>
        <w:jc w:val="both"/>
        <w:rPr>
          <w:rFonts w:ascii="Times New Roman" w:eastAsia="Times New Roman" w:hAnsi="Times New Roman" w:cs="Times New Roman"/>
          <w:b/>
          <w:color w:val="000000" w:themeColor="text1"/>
          <w:sz w:val="28"/>
          <w:szCs w:val="28"/>
        </w:rPr>
      </w:pPr>
      <w:r w:rsidRPr="00BE5300">
        <w:rPr>
          <w:rFonts w:ascii="Times New Roman" w:eastAsia="Times New Roman" w:hAnsi="Times New Roman" w:cs="Times New Roman"/>
          <w:b/>
          <w:color w:val="000000" w:themeColor="text1"/>
          <w:sz w:val="28"/>
          <w:szCs w:val="28"/>
        </w:rPr>
        <w:t>Voltage Scaling cannot prevent leakage power loss.</w:t>
      </w:r>
    </w:p>
    <w:p w:rsidR="00A95A1F" w:rsidRPr="00A95A1F" w:rsidRDefault="00A95A1F" w:rsidP="00A95A1F">
      <w:pPr>
        <w:pStyle w:val="ListParagraph"/>
        <w:shd w:val="clear" w:color="auto" w:fill="FFFFFF"/>
        <w:spacing w:after="0"/>
        <w:ind w:left="360"/>
        <w:jc w:val="both"/>
        <w:rPr>
          <w:rFonts w:ascii="Times New Roman" w:eastAsia="Times New Roman" w:hAnsi="Times New Roman" w:cs="Times New Roman"/>
          <w:b/>
          <w:color w:val="000000" w:themeColor="text1"/>
          <w:sz w:val="28"/>
          <w:szCs w:val="28"/>
        </w:rPr>
      </w:pPr>
      <w:r w:rsidRPr="00A95A1F">
        <w:rPr>
          <w:rFonts w:ascii="Times New Roman" w:eastAsia="Times New Roman" w:hAnsi="Times New Roman" w:cs="Times New Roman"/>
          <w:b/>
          <w:bCs/>
          <w:color w:val="000000" w:themeColor="text1"/>
          <w:sz w:val="28"/>
          <w:szCs w:val="28"/>
        </w:rPr>
        <w:t>From horizontal to vertical</w:t>
      </w:r>
    </w:p>
    <w:p w:rsidR="00A95A1F" w:rsidRPr="00A95A1F" w:rsidRDefault="00A95A1F" w:rsidP="00A95A1F">
      <w:pPr>
        <w:pStyle w:val="ListParagraph"/>
        <w:shd w:val="clear" w:color="auto" w:fill="FFFFFF"/>
        <w:spacing w:after="0"/>
        <w:ind w:left="360"/>
        <w:jc w:val="both"/>
        <w:rPr>
          <w:rFonts w:ascii="Times New Roman" w:eastAsia="Times New Roman" w:hAnsi="Times New Roman" w:cs="Times New Roman"/>
          <w:color w:val="000000" w:themeColor="text1"/>
          <w:sz w:val="28"/>
          <w:szCs w:val="28"/>
        </w:rPr>
      </w:pPr>
      <w:r w:rsidRPr="00A95A1F">
        <w:rPr>
          <w:rFonts w:ascii="Times New Roman" w:eastAsia="Times New Roman" w:hAnsi="Times New Roman" w:cs="Times New Roman"/>
          <w:color w:val="000000" w:themeColor="text1"/>
          <w:sz w:val="28"/>
          <w:szCs w:val="28"/>
        </w:rPr>
        <w:t xml:space="preserve">The use of carbon </w:t>
      </w:r>
      <w:proofErr w:type="spellStart"/>
      <w:r w:rsidRPr="00A95A1F">
        <w:rPr>
          <w:rFonts w:ascii="Times New Roman" w:eastAsia="Times New Roman" w:hAnsi="Times New Roman" w:cs="Times New Roman"/>
          <w:color w:val="000000" w:themeColor="text1"/>
          <w:sz w:val="28"/>
          <w:szCs w:val="28"/>
        </w:rPr>
        <w:t>nano</w:t>
      </w:r>
      <w:proofErr w:type="spellEnd"/>
      <w:r w:rsidRPr="00A95A1F">
        <w:rPr>
          <w:rFonts w:ascii="Times New Roman" w:eastAsia="Times New Roman" w:hAnsi="Times New Roman" w:cs="Times New Roman"/>
          <w:color w:val="000000" w:themeColor="text1"/>
          <w:sz w:val="28"/>
          <w:szCs w:val="28"/>
        </w:rPr>
        <w:t xml:space="preserve"> tubes and silicon-germanium </w:t>
      </w:r>
      <w:proofErr w:type="spellStart"/>
      <w:r w:rsidRPr="00A95A1F">
        <w:rPr>
          <w:rFonts w:ascii="Times New Roman" w:eastAsia="Times New Roman" w:hAnsi="Times New Roman" w:cs="Times New Roman"/>
          <w:color w:val="000000" w:themeColor="text1"/>
          <w:sz w:val="28"/>
          <w:szCs w:val="28"/>
        </w:rPr>
        <w:t>nanowires</w:t>
      </w:r>
      <w:proofErr w:type="spellEnd"/>
      <w:r w:rsidRPr="00A95A1F">
        <w:rPr>
          <w:rFonts w:ascii="Times New Roman" w:eastAsia="Times New Roman" w:hAnsi="Times New Roman" w:cs="Times New Roman"/>
          <w:color w:val="000000" w:themeColor="text1"/>
          <w:sz w:val="28"/>
          <w:szCs w:val="28"/>
        </w:rPr>
        <w:t xml:space="preserve"> could extend the performance of transistors to some extent, although their size would remain roughly the same. Another potential solution is the use of 3D chips, in which layers of transistors are stacked on top of each other. This would maintain the horizontal size of the chip, while drastically increasing its transistor count. In 2008, researchers at the University of Rochester managed to create </w:t>
      </w:r>
      <w:hyperlink r:id="rId20" w:history="1">
        <w:r w:rsidRPr="00A95A1F">
          <w:rPr>
            <w:rFonts w:ascii="Times New Roman" w:eastAsia="Times New Roman" w:hAnsi="Times New Roman" w:cs="Times New Roman"/>
            <w:color w:val="000000" w:themeColor="text1"/>
            <w:sz w:val="28"/>
            <w:szCs w:val="28"/>
            <w:u w:val="single"/>
          </w:rPr>
          <w:t>three-dimensional circuitry</w:t>
        </w:r>
      </w:hyperlink>
      <w:r w:rsidRPr="00A95A1F">
        <w:rPr>
          <w:rFonts w:ascii="Times New Roman" w:eastAsia="Times New Roman" w:hAnsi="Times New Roman" w:cs="Times New Roman"/>
          <w:color w:val="000000" w:themeColor="text1"/>
          <w:sz w:val="28"/>
          <w:szCs w:val="28"/>
        </w:rPr>
        <w:t> running at 1.4 GHz. That chip optimized the way that components interact with each other vertically, rather than simply layering banks of regular transistors on top of each other with</w:t>
      </w:r>
      <w:r>
        <w:rPr>
          <w:rFonts w:ascii="Times New Roman" w:eastAsia="Times New Roman" w:hAnsi="Times New Roman" w:cs="Times New Roman"/>
          <w:color w:val="000000" w:themeColor="text1"/>
          <w:sz w:val="28"/>
          <w:szCs w:val="28"/>
        </w:rPr>
        <w:t xml:space="preserve">out having the different layers </w:t>
      </w:r>
      <w:r w:rsidRPr="00A95A1F">
        <w:rPr>
          <w:rFonts w:ascii="Times New Roman" w:eastAsia="Times New Roman" w:hAnsi="Times New Roman" w:cs="Times New Roman"/>
          <w:color w:val="000000" w:themeColor="text1"/>
          <w:sz w:val="28"/>
          <w:szCs w:val="28"/>
        </w:rPr>
        <w:t>communicate.</w:t>
      </w:r>
      <w:r w:rsidRPr="00A95A1F">
        <w:rPr>
          <w:rFonts w:ascii="Times New Roman" w:eastAsia="Times New Roman" w:hAnsi="Times New Roman" w:cs="Times New Roman"/>
          <w:color w:val="000000" w:themeColor="text1"/>
          <w:sz w:val="28"/>
          <w:szCs w:val="28"/>
        </w:rPr>
        <w:br/>
      </w:r>
      <w:proofErr w:type="spellStart"/>
      <w:r w:rsidR="00BE5300" w:rsidRPr="00BE5300">
        <w:rPr>
          <w:rFonts w:ascii="Times New Roman" w:eastAsia="Times New Roman" w:hAnsi="Times New Roman" w:cs="Times New Roman"/>
          <w:b/>
          <w:color w:val="000000" w:themeColor="text1"/>
          <w:sz w:val="28"/>
          <w:szCs w:val="28"/>
        </w:rPr>
        <w:t>Temparature</w:t>
      </w:r>
      <w:proofErr w:type="spellEnd"/>
      <w:r w:rsidR="00BE5300" w:rsidRPr="00BE5300">
        <w:rPr>
          <w:rFonts w:ascii="Times New Roman" w:eastAsia="Times New Roman" w:hAnsi="Times New Roman" w:cs="Times New Roman"/>
          <w:b/>
          <w:color w:val="000000" w:themeColor="text1"/>
          <w:sz w:val="28"/>
          <w:szCs w:val="28"/>
        </w:rPr>
        <w:t xml:space="preserve"> increases as power increased</w:t>
      </w:r>
    </w:p>
    <w:p w:rsidR="00A95A1F" w:rsidRPr="00A95A1F" w:rsidRDefault="00A95A1F" w:rsidP="00A95A1F">
      <w:pPr>
        <w:pStyle w:val="ListParagraph"/>
        <w:numPr>
          <w:ilvl w:val="0"/>
          <w:numId w:val="2"/>
        </w:numPr>
        <w:pBdr>
          <w:bottom w:val="single" w:sz="6" w:space="1" w:color="auto"/>
        </w:pBdr>
        <w:spacing w:after="0"/>
        <w:jc w:val="both"/>
        <w:rPr>
          <w:rFonts w:ascii="Times New Roman" w:eastAsia="Times New Roman" w:hAnsi="Times New Roman" w:cs="Times New Roman"/>
          <w:vanish/>
          <w:color w:val="000000" w:themeColor="text1"/>
          <w:sz w:val="28"/>
          <w:szCs w:val="28"/>
        </w:rPr>
      </w:pPr>
      <w:r w:rsidRPr="00A95A1F">
        <w:rPr>
          <w:rFonts w:ascii="Times New Roman" w:eastAsia="Times New Roman" w:hAnsi="Times New Roman" w:cs="Times New Roman"/>
          <w:vanish/>
          <w:color w:val="000000" w:themeColor="text1"/>
          <w:sz w:val="28"/>
          <w:szCs w:val="28"/>
        </w:rPr>
        <w:t>Top of Form</w:t>
      </w:r>
    </w:p>
    <w:p w:rsidR="00A95A1F" w:rsidRPr="00A95A1F" w:rsidRDefault="00A95A1F" w:rsidP="00A95A1F">
      <w:pPr>
        <w:pStyle w:val="ListParagraph"/>
        <w:numPr>
          <w:ilvl w:val="0"/>
          <w:numId w:val="2"/>
        </w:numPr>
        <w:pBdr>
          <w:top w:val="single" w:sz="6" w:space="1" w:color="auto"/>
        </w:pBdr>
        <w:spacing w:after="0"/>
        <w:jc w:val="both"/>
        <w:rPr>
          <w:rFonts w:ascii="Times New Roman" w:eastAsia="Times New Roman" w:hAnsi="Times New Roman" w:cs="Times New Roman"/>
          <w:vanish/>
          <w:color w:val="000000" w:themeColor="text1"/>
          <w:sz w:val="28"/>
          <w:szCs w:val="28"/>
        </w:rPr>
      </w:pPr>
      <w:r w:rsidRPr="00A95A1F">
        <w:rPr>
          <w:rFonts w:ascii="Times New Roman" w:eastAsia="Times New Roman" w:hAnsi="Times New Roman" w:cs="Times New Roman"/>
          <w:vanish/>
          <w:color w:val="000000" w:themeColor="text1"/>
          <w:sz w:val="28"/>
          <w:szCs w:val="28"/>
        </w:rPr>
        <w:t>Bottom of Form</w:t>
      </w:r>
    </w:p>
    <w:p w:rsidR="00A95A1F" w:rsidRDefault="00A95A1F" w:rsidP="00A95A1F">
      <w:pPr>
        <w:pStyle w:val="ListParagraph"/>
        <w:shd w:val="clear" w:color="auto" w:fill="FFFFFF"/>
        <w:spacing w:before="100" w:beforeAutospacing="1" w:after="100" w:afterAutospacing="1"/>
        <w:ind w:left="360"/>
        <w:jc w:val="both"/>
        <w:rPr>
          <w:rFonts w:ascii="Times New Roman" w:eastAsia="Times New Roman" w:hAnsi="Times New Roman" w:cs="Times New Roman"/>
          <w:color w:val="000000" w:themeColor="text1"/>
          <w:sz w:val="28"/>
          <w:szCs w:val="28"/>
        </w:rPr>
      </w:pPr>
      <w:r w:rsidRPr="00A95A1F">
        <w:rPr>
          <w:rFonts w:ascii="Times New Roman" w:eastAsia="Times New Roman" w:hAnsi="Times New Roman" w:cs="Times New Roman"/>
          <w:color w:val="000000" w:themeColor="text1"/>
          <w:sz w:val="28"/>
          <w:szCs w:val="28"/>
        </w:rPr>
        <w:t>On the storage side, companies such as </w:t>
      </w:r>
      <w:hyperlink r:id="rId21" w:history="1">
        <w:r w:rsidRPr="00A95A1F">
          <w:rPr>
            <w:rFonts w:ascii="Times New Roman" w:eastAsia="Times New Roman" w:hAnsi="Times New Roman" w:cs="Times New Roman"/>
            <w:color w:val="000000" w:themeColor="text1"/>
            <w:sz w:val="28"/>
            <w:szCs w:val="28"/>
            <w:u w:val="single"/>
          </w:rPr>
          <w:t>IBM</w:t>
        </w:r>
      </w:hyperlink>
      <w:r w:rsidRPr="00A95A1F">
        <w:rPr>
          <w:rFonts w:ascii="Times New Roman" w:eastAsia="Times New Roman" w:hAnsi="Times New Roman" w:cs="Times New Roman"/>
          <w:color w:val="000000" w:themeColor="text1"/>
          <w:sz w:val="28"/>
          <w:szCs w:val="28"/>
        </w:rPr>
        <w:t> and </w:t>
      </w:r>
      <w:hyperlink r:id="rId22" w:history="1">
        <w:r w:rsidRPr="00A95A1F">
          <w:rPr>
            <w:rFonts w:ascii="Times New Roman" w:eastAsia="Times New Roman" w:hAnsi="Times New Roman" w:cs="Times New Roman"/>
            <w:color w:val="000000" w:themeColor="text1"/>
            <w:sz w:val="28"/>
            <w:szCs w:val="28"/>
            <w:u w:val="single"/>
          </w:rPr>
          <w:t>HP</w:t>
        </w:r>
      </w:hyperlink>
      <w:r w:rsidRPr="00A95A1F">
        <w:rPr>
          <w:rFonts w:ascii="Times New Roman" w:eastAsia="Times New Roman" w:hAnsi="Times New Roman" w:cs="Times New Roman"/>
          <w:color w:val="000000" w:themeColor="text1"/>
          <w:sz w:val="28"/>
          <w:szCs w:val="28"/>
        </w:rPr>
        <w:t> have been working on both storage and computing systems that work at a molecular level. Layers of molecular strands, laid out in a grid, could also form the basis for a microprocessor.</w:t>
      </w:r>
    </w:p>
    <w:p w:rsidR="00BE5300" w:rsidRPr="00BE5300" w:rsidRDefault="00BE5300" w:rsidP="00BE5300">
      <w:pPr>
        <w:pStyle w:val="ListParagraph"/>
        <w:shd w:val="clear" w:color="auto" w:fill="FFFFFF"/>
        <w:spacing w:after="0"/>
        <w:ind w:left="360"/>
        <w:jc w:val="both"/>
        <w:rPr>
          <w:rFonts w:ascii="Times New Roman" w:eastAsia="Times New Roman" w:hAnsi="Times New Roman" w:cs="Times New Roman"/>
          <w:b/>
          <w:color w:val="000000" w:themeColor="text1"/>
          <w:sz w:val="28"/>
          <w:szCs w:val="28"/>
        </w:rPr>
      </w:pPr>
      <w:r w:rsidRPr="00BE5300">
        <w:rPr>
          <w:rFonts w:ascii="Times New Roman" w:eastAsia="Times New Roman" w:hAnsi="Times New Roman" w:cs="Times New Roman"/>
          <w:b/>
          <w:color w:val="000000" w:themeColor="text1"/>
          <w:sz w:val="28"/>
          <w:szCs w:val="28"/>
        </w:rPr>
        <w:t>Voltage scaling reduces the power consumption.</w:t>
      </w:r>
    </w:p>
    <w:p w:rsidR="00A95A1F" w:rsidRPr="00A95A1F" w:rsidRDefault="00A95A1F" w:rsidP="00A95A1F">
      <w:pPr>
        <w:pStyle w:val="ListParagraph"/>
        <w:shd w:val="clear" w:color="auto" w:fill="FFFFFF"/>
        <w:spacing w:after="0"/>
        <w:ind w:left="360"/>
        <w:jc w:val="both"/>
        <w:rPr>
          <w:rFonts w:ascii="Times New Roman" w:eastAsia="Times New Roman" w:hAnsi="Times New Roman" w:cs="Times New Roman"/>
          <w:b/>
          <w:color w:val="000000" w:themeColor="text1"/>
          <w:sz w:val="28"/>
          <w:szCs w:val="28"/>
        </w:rPr>
      </w:pPr>
      <w:r w:rsidRPr="00A95A1F">
        <w:rPr>
          <w:rFonts w:ascii="Times New Roman" w:eastAsia="Times New Roman" w:hAnsi="Times New Roman" w:cs="Times New Roman"/>
          <w:b/>
          <w:bCs/>
          <w:color w:val="000000" w:themeColor="text1"/>
          <w:sz w:val="28"/>
          <w:szCs w:val="28"/>
        </w:rPr>
        <w:t>While we wait: virtualization</w:t>
      </w:r>
    </w:p>
    <w:p w:rsidR="00A95A1F" w:rsidRPr="00A95A1F" w:rsidRDefault="00A95A1F" w:rsidP="00A95A1F">
      <w:pPr>
        <w:pStyle w:val="ListParagraph"/>
        <w:shd w:val="clear" w:color="auto" w:fill="FFFFFF"/>
        <w:spacing w:after="0"/>
        <w:ind w:left="360"/>
        <w:jc w:val="both"/>
        <w:rPr>
          <w:rFonts w:ascii="Times New Roman" w:eastAsia="Times New Roman" w:hAnsi="Times New Roman" w:cs="Times New Roman"/>
          <w:color w:val="000000" w:themeColor="text1"/>
          <w:sz w:val="28"/>
          <w:szCs w:val="28"/>
        </w:rPr>
      </w:pPr>
      <w:r w:rsidRPr="00A95A1F">
        <w:rPr>
          <w:rFonts w:ascii="Times New Roman" w:eastAsia="Times New Roman" w:hAnsi="Times New Roman" w:cs="Times New Roman"/>
          <w:color w:val="000000" w:themeColor="text1"/>
          <w:sz w:val="28"/>
          <w:szCs w:val="28"/>
        </w:rPr>
        <w:t xml:space="preserve">Until significant technological advances in storage appear, the innovations must come in software. Virtualization technology enables us to use more of each </w:t>
      </w:r>
      <w:proofErr w:type="gramStart"/>
      <w:r w:rsidRPr="00A95A1F">
        <w:rPr>
          <w:rFonts w:ascii="Times New Roman" w:eastAsia="Times New Roman" w:hAnsi="Times New Roman" w:cs="Times New Roman"/>
          <w:color w:val="000000" w:themeColor="text1"/>
          <w:sz w:val="28"/>
          <w:szCs w:val="28"/>
        </w:rPr>
        <w:t>processors'</w:t>
      </w:r>
      <w:proofErr w:type="gramEnd"/>
      <w:r w:rsidRPr="00A95A1F">
        <w:rPr>
          <w:rFonts w:ascii="Times New Roman" w:eastAsia="Times New Roman" w:hAnsi="Times New Roman" w:cs="Times New Roman"/>
          <w:color w:val="000000" w:themeColor="text1"/>
          <w:sz w:val="28"/>
          <w:szCs w:val="28"/>
        </w:rPr>
        <w:t xml:space="preserve"> capacity, by separating the software processes running on them into separate virtual machines, ensuring that they do not interfere with each other. This can increase processor utilization from 10-15% up to 80-90%.</w:t>
      </w:r>
    </w:p>
    <w:p w:rsidR="00BE5300" w:rsidRDefault="00A95A1F" w:rsidP="00A95A1F">
      <w:pPr>
        <w:pStyle w:val="ListParagraph"/>
        <w:shd w:val="clear" w:color="auto" w:fill="FFFFFF"/>
        <w:spacing w:after="0"/>
        <w:ind w:left="360"/>
        <w:jc w:val="both"/>
        <w:rPr>
          <w:rFonts w:ascii="Times New Roman" w:eastAsia="Times New Roman" w:hAnsi="Times New Roman" w:cs="Times New Roman"/>
          <w:color w:val="000000" w:themeColor="text1"/>
          <w:sz w:val="28"/>
          <w:szCs w:val="28"/>
        </w:rPr>
      </w:pPr>
      <w:r w:rsidRPr="00A95A1F">
        <w:rPr>
          <w:rFonts w:ascii="Times New Roman" w:eastAsia="Times New Roman" w:hAnsi="Times New Roman" w:cs="Times New Roman"/>
          <w:color w:val="000000" w:themeColor="text1"/>
          <w:sz w:val="28"/>
          <w:szCs w:val="28"/>
        </w:rPr>
        <w:t xml:space="preserve">Virtualization can also help us to </w:t>
      </w:r>
      <w:proofErr w:type="spellStart"/>
      <w:r w:rsidRPr="00A95A1F">
        <w:rPr>
          <w:rFonts w:ascii="Times New Roman" w:eastAsia="Times New Roman" w:hAnsi="Times New Roman" w:cs="Times New Roman"/>
          <w:color w:val="000000" w:themeColor="text1"/>
          <w:sz w:val="28"/>
          <w:szCs w:val="28"/>
        </w:rPr>
        <w:t>maximise</w:t>
      </w:r>
      <w:proofErr w:type="spellEnd"/>
      <w:r w:rsidRPr="00A95A1F">
        <w:rPr>
          <w:rFonts w:ascii="Times New Roman" w:eastAsia="Times New Roman" w:hAnsi="Times New Roman" w:cs="Times New Roman"/>
          <w:color w:val="000000" w:themeColor="text1"/>
          <w:sz w:val="28"/>
          <w:szCs w:val="28"/>
        </w:rPr>
        <w:t xml:space="preserve"> our storage capacity. </w:t>
      </w:r>
    </w:p>
    <w:p w:rsidR="00BE5300" w:rsidRPr="00035C71" w:rsidRDefault="00BE5300" w:rsidP="00A95A1F">
      <w:pPr>
        <w:pStyle w:val="ListParagraph"/>
        <w:shd w:val="clear" w:color="auto" w:fill="FFFFFF"/>
        <w:spacing w:after="0"/>
        <w:ind w:left="360"/>
        <w:jc w:val="both"/>
        <w:rPr>
          <w:rFonts w:ascii="Times New Roman" w:eastAsia="Times New Roman" w:hAnsi="Times New Roman" w:cs="Times New Roman"/>
          <w:b/>
          <w:color w:val="000000" w:themeColor="text1"/>
          <w:sz w:val="28"/>
          <w:szCs w:val="28"/>
        </w:rPr>
      </w:pPr>
      <w:r w:rsidRPr="00035C71">
        <w:rPr>
          <w:rFonts w:ascii="Times New Roman" w:eastAsia="Times New Roman" w:hAnsi="Times New Roman" w:cs="Times New Roman"/>
          <w:b/>
          <w:color w:val="000000" w:themeColor="text1"/>
          <w:sz w:val="28"/>
          <w:szCs w:val="28"/>
        </w:rPr>
        <w:t>Voltage Scaling is limited due to noise or threshold voltage</w:t>
      </w:r>
    </w:p>
    <w:p w:rsidR="0027682B" w:rsidRDefault="00A95A1F" w:rsidP="00A95A1F">
      <w:pPr>
        <w:pStyle w:val="ListParagraph"/>
        <w:shd w:val="clear" w:color="auto" w:fill="FFFFFF"/>
        <w:spacing w:after="0"/>
        <w:ind w:left="360"/>
        <w:jc w:val="both"/>
        <w:rPr>
          <w:rFonts w:ascii="Times New Roman" w:eastAsia="Times New Roman" w:hAnsi="Times New Roman" w:cs="Times New Roman"/>
          <w:color w:val="000000" w:themeColor="text1"/>
          <w:sz w:val="28"/>
          <w:szCs w:val="28"/>
        </w:rPr>
      </w:pPr>
      <w:r w:rsidRPr="00A95A1F">
        <w:rPr>
          <w:rFonts w:ascii="Times New Roman" w:eastAsia="Times New Roman" w:hAnsi="Times New Roman" w:cs="Times New Roman"/>
          <w:color w:val="000000" w:themeColor="text1"/>
          <w:sz w:val="28"/>
          <w:szCs w:val="28"/>
        </w:rPr>
        <w:t xml:space="preserve">In traditional dedicated storage environments, where one physical disk drive is allocated to a particular application, much storage capacity goes unused. Instead, we can </w:t>
      </w:r>
      <w:proofErr w:type="spellStart"/>
      <w:r w:rsidRPr="00A95A1F">
        <w:rPr>
          <w:rFonts w:ascii="Times New Roman" w:eastAsia="Times New Roman" w:hAnsi="Times New Roman" w:cs="Times New Roman"/>
          <w:color w:val="000000" w:themeColor="text1"/>
          <w:sz w:val="28"/>
          <w:szCs w:val="28"/>
        </w:rPr>
        <w:t>virtualise</w:t>
      </w:r>
      <w:proofErr w:type="spellEnd"/>
      <w:r w:rsidRPr="00A95A1F">
        <w:rPr>
          <w:rFonts w:ascii="Times New Roman" w:eastAsia="Times New Roman" w:hAnsi="Times New Roman" w:cs="Times New Roman"/>
          <w:color w:val="000000" w:themeColor="text1"/>
          <w:sz w:val="28"/>
          <w:szCs w:val="28"/>
        </w:rPr>
        <w:t xml:space="preserve"> our storage into storage area networks, in which any disk in a high-speed network can store some information for a software </w:t>
      </w:r>
      <w:r w:rsidRPr="00A95A1F">
        <w:rPr>
          <w:rFonts w:ascii="Times New Roman" w:eastAsia="Times New Roman" w:hAnsi="Times New Roman" w:cs="Times New Roman"/>
          <w:color w:val="000000" w:themeColor="text1"/>
          <w:sz w:val="28"/>
          <w:szCs w:val="28"/>
        </w:rPr>
        <w:lastRenderedPageBreak/>
        <w:t xml:space="preserve">application. This allows us to spread our data more evenly over a lot of disk drives, </w:t>
      </w:r>
      <w:proofErr w:type="spellStart"/>
      <w:r w:rsidRPr="00A95A1F">
        <w:rPr>
          <w:rFonts w:ascii="Times New Roman" w:eastAsia="Times New Roman" w:hAnsi="Times New Roman" w:cs="Times New Roman"/>
          <w:color w:val="000000" w:themeColor="text1"/>
          <w:sz w:val="28"/>
          <w:szCs w:val="28"/>
        </w:rPr>
        <w:t>minimising</w:t>
      </w:r>
      <w:proofErr w:type="spellEnd"/>
      <w:r w:rsidRPr="00A95A1F">
        <w:rPr>
          <w:rFonts w:ascii="Times New Roman" w:eastAsia="Times New Roman" w:hAnsi="Times New Roman" w:cs="Times New Roman"/>
          <w:color w:val="000000" w:themeColor="text1"/>
          <w:sz w:val="28"/>
          <w:szCs w:val="28"/>
        </w:rPr>
        <w:t xml:space="preserve"> the unused space.</w:t>
      </w:r>
    </w:p>
    <w:p w:rsidR="00001028" w:rsidRDefault="00001028" w:rsidP="00A95A1F">
      <w:pPr>
        <w:pStyle w:val="ListParagraph"/>
        <w:shd w:val="clear" w:color="auto" w:fill="FFFFFF"/>
        <w:spacing w:after="0"/>
        <w:ind w:left="360"/>
        <w:jc w:val="both"/>
        <w:rPr>
          <w:rFonts w:ascii="Times New Roman" w:eastAsia="Times New Roman" w:hAnsi="Times New Roman" w:cs="Times New Roman"/>
          <w:color w:val="000000" w:themeColor="text1"/>
          <w:sz w:val="28"/>
          <w:szCs w:val="28"/>
        </w:rPr>
      </w:pPr>
    </w:p>
    <w:sectPr w:rsidR="00001028" w:rsidSect="00F85B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B4E9A"/>
    <w:multiLevelType w:val="hybridMultilevel"/>
    <w:tmpl w:val="F54625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57A5719"/>
    <w:multiLevelType w:val="hybridMultilevel"/>
    <w:tmpl w:val="2454EC9E"/>
    <w:lvl w:ilvl="0" w:tplc="3202CCF0">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5A1F"/>
    <w:rsid w:val="00001028"/>
    <w:rsid w:val="00035C71"/>
    <w:rsid w:val="00092F56"/>
    <w:rsid w:val="001356D0"/>
    <w:rsid w:val="0072550F"/>
    <w:rsid w:val="00795047"/>
    <w:rsid w:val="009371C9"/>
    <w:rsid w:val="00A95A1F"/>
    <w:rsid w:val="00BE5300"/>
    <w:rsid w:val="00E41464"/>
    <w:rsid w:val="00EB3EE1"/>
    <w:rsid w:val="00EB5E40"/>
    <w:rsid w:val="00F85BFA"/>
    <w:rsid w:val="00FD2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B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5A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5A1F"/>
    <w:rPr>
      <w:color w:val="0000FF"/>
      <w:u w:val="single"/>
    </w:rPr>
  </w:style>
  <w:style w:type="paragraph" w:styleId="z-TopofForm">
    <w:name w:val="HTML Top of Form"/>
    <w:basedOn w:val="Normal"/>
    <w:next w:val="Normal"/>
    <w:link w:val="z-TopofFormChar"/>
    <w:hidden/>
    <w:uiPriority w:val="99"/>
    <w:semiHidden/>
    <w:unhideWhenUsed/>
    <w:rsid w:val="00A95A1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95A1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95A1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95A1F"/>
    <w:rPr>
      <w:rFonts w:ascii="Arial" w:eastAsia="Times New Roman" w:hAnsi="Arial" w:cs="Arial"/>
      <w:vanish/>
      <w:sz w:val="16"/>
      <w:szCs w:val="16"/>
    </w:rPr>
  </w:style>
  <w:style w:type="paragraph" w:styleId="ListParagraph">
    <w:name w:val="List Paragraph"/>
    <w:basedOn w:val="Normal"/>
    <w:uiPriority w:val="34"/>
    <w:qFormat/>
    <w:rsid w:val="00A95A1F"/>
    <w:pPr>
      <w:ind w:left="720"/>
      <w:contextualSpacing/>
    </w:pPr>
  </w:style>
</w:styles>
</file>

<file path=word/webSettings.xml><?xml version="1.0" encoding="utf-8"?>
<w:webSettings xmlns:r="http://schemas.openxmlformats.org/officeDocument/2006/relationships" xmlns:w="http://schemas.openxmlformats.org/wordprocessingml/2006/main">
  <w:divs>
    <w:div w:id="999427254">
      <w:bodyDiv w:val="1"/>
      <w:marLeft w:val="0"/>
      <w:marRight w:val="0"/>
      <w:marTop w:val="0"/>
      <w:marBottom w:val="0"/>
      <w:divBdr>
        <w:top w:val="none" w:sz="0" w:space="0" w:color="auto"/>
        <w:left w:val="none" w:sz="0" w:space="0" w:color="auto"/>
        <w:bottom w:val="none" w:sz="0" w:space="0" w:color="auto"/>
        <w:right w:val="none" w:sz="0" w:space="0" w:color="auto"/>
      </w:divBdr>
      <w:divsChild>
        <w:div w:id="1851407430">
          <w:marLeft w:val="0"/>
          <w:marRight w:val="0"/>
          <w:marTop w:val="0"/>
          <w:marBottom w:val="0"/>
          <w:divBdr>
            <w:top w:val="none" w:sz="0" w:space="0" w:color="auto"/>
            <w:left w:val="none" w:sz="0" w:space="0" w:color="auto"/>
            <w:bottom w:val="none" w:sz="0" w:space="0" w:color="auto"/>
            <w:right w:val="none" w:sz="0" w:space="0" w:color="auto"/>
          </w:divBdr>
        </w:div>
        <w:div w:id="1552500976">
          <w:marLeft w:val="0"/>
          <w:marRight w:val="0"/>
          <w:marTop w:val="0"/>
          <w:marBottom w:val="0"/>
          <w:divBdr>
            <w:top w:val="none" w:sz="0" w:space="0" w:color="auto"/>
            <w:left w:val="none" w:sz="0" w:space="0" w:color="auto"/>
            <w:bottom w:val="none" w:sz="0" w:space="0" w:color="auto"/>
            <w:right w:val="none" w:sz="0" w:space="0" w:color="auto"/>
          </w:divBdr>
        </w:div>
        <w:div w:id="766384209">
          <w:marLeft w:val="0"/>
          <w:marRight w:val="0"/>
          <w:marTop w:val="0"/>
          <w:marBottom w:val="0"/>
          <w:divBdr>
            <w:top w:val="none" w:sz="0" w:space="0" w:color="auto"/>
            <w:left w:val="none" w:sz="0" w:space="0" w:color="auto"/>
            <w:bottom w:val="none" w:sz="0" w:space="0" w:color="auto"/>
            <w:right w:val="none" w:sz="0" w:space="0" w:color="auto"/>
          </w:divBdr>
        </w:div>
        <w:div w:id="1775661778">
          <w:marLeft w:val="0"/>
          <w:marRight w:val="0"/>
          <w:marTop w:val="0"/>
          <w:marBottom w:val="0"/>
          <w:divBdr>
            <w:top w:val="none" w:sz="0" w:space="0" w:color="auto"/>
            <w:left w:val="none" w:sz="0" w:space="0" w:color="auto"/>
            <w:bottom w:val="none" w:sz="0" w:space="0" w:color="auto"/>
            <w:right w:val="none" w:sz="0" w:space="0" w:color="auto"/>
          </w:divBdr>
        </w:div>
        <w:div w:id="2069185002">
          <w:marLeft w:val="0"/>
          <w:marRight w:val="0"/>
          <w:marTop w:val="0"/>
          <w:marBottom w:val="0"/>
          <w:divBdr>
            <w:top w:val="none" w:sz="0" w:space="0" w:color="auto"/>
            <w:left w:val="none" w:sz="0" w:space="0" w:color="auto"/>
            <w:bottom w:val="none" w:sz="0" w:space="0" w:color="auto"/>
            <w:right w:val="none" w:sz="0" w:space="0" w:color="auto"/>
          </w:divBdr>
        </w:div>
        <w:div w:id="1464423517">
          <w:marLeft w:val="0"/>
          <w:marRight w:val="0"/>
          <w:marTop w:val="0"/>
          <w:marBottom w:val="0"/>
          <w:divBdr>
            <w:top w:val="none" w:sz="0" w:space="0" w:color="auto"/>
            <w:left w:val="none" w:sz="0" w:space="0" w:color="auto"/>
            <w:bottom w:val="none" w:sz="0" w:space="0" w:color="auto"/>
            <w:right w:val="none" w:sz="0" w:space="0" w:color="auto"/>
          </w:divBdr>
        </w:div>
        <w:div w:id="73666504">
          <w:marLeft w:val="0"/>
          <w:marRight w:val="0"/>
          <w:marTop w:val="0"/>
          <w:marBottom w:val="0"/>
          <w:divBdr>
            <w:top w:val="none" w:sz="0" w:space="0" w:color="auto"/>
            <w:left w:val="none" w:sz="0" w:space="0" w:color="auto"/>
            <w:bottom w:val="none" w:sz="0" w:space="0" w:color="auto"/>
            <w:right w:val="none" w:sz="0" w:space="0" w:color="auto"/>
          </w:divBdr>
        </w:div>
        <w:div w:id="2083793921">
          <w:marLeft w:val="0"/>
          <w:marRight w:val="0"/>
          <w:marTop w:val="0"/>
          <w:marBottom w:val="0"/>
          <w:divBdr>
            <w:top w:val="none" w:sz="0" w:space="0" w:color="auto"/>
            <w:left w:val="none" w:sz="0" w:space="0" w:color="auto"/>
            <w:bottom w:val="none" w:sz="0" w:space="0" w:color="auto"/>
            <w:right w:val="none" w:sz="0" w:space="0" w:color="auto"/>
          </w:divBdr>
        </w:div>
      </w:divsChild>
    </w:div>
    <w:div w:id="151395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servation" TargetMode="External"/><Relationship Id="rId13" Type="http://schemas.openxmlformats.org/officeDocument/2006/relationships/hyperlink" Target="https://en.wikipedia.org/wiki/Gordon_Moore" TargetMode="External"/><Relationship Id="rId18" Type="http://schemas.openxmlformats.org/officeDocument/2006/relationships/hyperlink" Target="https://en.wikipedia.org/wiki/Compound_annual_growth_rate" TargetMode="External"/><Relationship Id="rId3" Type="http://schemas.openxmlformats.org/officeDocument/2006/relationships/settings" Target="settings.xml"/><Relationship Id="rId21" Type="http://schemas.openxmlformats.org/officeDocument/2006/relationships/hyperlink" Target="http://www.physorg.com/news107703707.html" TargetMode="External"/><Relationship Id="rId7" Type="http://schemas.openxmlformats.org/officeDocument/2006/relationships/hyperlink" Target="https://en.wikipedia.org/wiki/Integrated_circuit" TargetMode="External"/><Relationship Id="rId12" Type="http://schemas.openxmlformats.org/officeDocument/2006/relationships/hyperlink" Target="https://en.wikipedia.org/wiki/Wright%27s_Law" TargetMode="External"/><Relationship Id="rId17" Type="http://schemas.openxmlformats.org/officeDocument/2006/relationships/hyperlink" Target="https://en.wikipedia.org/wiki/Moore%27s_law" TargetMode="External"/><Relationship Id="rId2" Type="http://schemas.openxmlformats.org/officeDocument/2006/relationships/styles" Target="styles.xml"/><Relationship Id="rId16" Type="http://schemas.openxmlformats.org/officeDocument/2006/relationships/hyperlink" Target="https://en.wikipedia.org/wiki/Exponential_growth" TargetMode="External"/><Relationship Id="rId20" Type="http://schemas.openxmlformats.org/officeDocument/2006/relationships/hyperlink" Target="http://www.tomshardware.com/news/rochester-3d-processor,6369.html" TargetMode="External"/><Relationship Id="rId1" Type="http://schemas.openxmlformats.org/officeDocument/2006/relationships/numbering" Target="numbering.xml"/><Relationship Id="rId6" Type="http://schemas.openxmlformats.org/officeDocument/2006/relationships/hyperlink" Target="https://en.wikipedia.org/wiki/Transistor" TargetMode="External"/><Relationship Id="rId11" Type="http://schemas.openxmlformats.org/officeDocument/2006/relationships/hyperlink" Target="https://en.wikipedia.org/wiki/Empirical_relationship" TargetMode="External"/><Relationship Id="rId24" Type="http://schemas.openxmlformats.org/officeDocument/2006/relationships/theme" Target="theme/theme1.xml"/><Relationship Id="rId5" Type="http://schemas.openxmlformats.org/officeDocument/2006/relationships/hyperlink" Target="https://en.wikipedia.org/wiki/Transistor_count" TargetMode="External"/><Relationship Id="rId15" Type="http://schemas.openxmlformats.org/officeDocument/2006/relationships/hyperlink" Target="https://en.wikipedia.org/wiki/Intel" TargetMode="External"/><Relationship Id="rId23" Type="http://schemas.openxmlformats.org/officeDocument/2006/relationships/fontTable" Target="fontTable.xml"/><Relationship Id="rId10" Type="http://schemas.openxmlformats.org/officeDocument/2006/relationships/hyperlink" Target="https://en.wikipedia.org/wiki/Physical_law" TargetMode="External"/><Relationship Id="rId19" Type="http://schemas.openxmlformats.org/officeDocument/2006/relationships/hyperlink" Target="http://download.intel.com/technology/silicon/Bourianoff-Proc-IEEE-Limits.pdf" TargetMode="External"/><Relationship Id="rId4" Type="http://schemas.openxmlformats.org/officeDocument/2006/relationships/webSettings" Target="webSettings.xml"/><Relationship Id="rId9" Type="http://schemas.openxmlformats.org/officeDocument/2006/relationships/hyperlink" Target="https://en.wikipedia.org/wiki/Forecasting" TargetMode="External"/><Relationship Id="rId14" Type="http://schemas.openxmlformats.org/officeDocument/2006/relationships/hyperlink" Target="https://en.wikipedia.org/wiki/Fairchild_Semiconductor" TargetMode="External"/><Relationship Id="rId22" Type="http://schemas.openxmlformats.org/officeDocument/2006/relationships/hyperlink" Target="http://www.hpl.hp.com/news/2005/jan-mar/crossbar.html?jumpid=reg_R1002_U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Deesha</dc:creator>
  <cp:keywords/>
  <dc:description/>
  <cp:lastModifiedBy>Deesha</cp:lastModifiedBy>
  <cp:revision>4</cp:revision>
  <dcterms:created xsi:type="dcterms:W3CDTF">2020-07-09T11:26:00Z</dcterms:created>
  <dcterms:modified xsi:type="dcterms:W3CDTF">2020-07-09T13:46:00Z</dcterms:modified>
</cp:coreProperties>
</file>