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2E74B5"/>
          <w:spacing w:val="26"/>
          <w:sz w:val="16"/>
          <w:szCs w:val="16"/>
        </w:rPr>
        <w:t xml:space="preserve">BEHAVIOURAL OPTOMETRY  ·  ONE-PAGE SUMMARY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Selling prevention to a parent who cannot see the problem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How a behavioural science approach built a paediatric myopia management service to £200k in recurring revenue, with one clinician and no advertising budget.</w:t>
      </w:r>
    </w:p>
    <w:p>
      <w:pPr>
        <w:pBdr>
          <w:bottom w:val="single" w:color="C7D3E3" w:sz="6" w:space="1"/>
        </w:pBdr>
        <w:spacing w:after="130" w:before="40"/>
      </w:pPr>
      <w:r>
        <w:rPr>
          <w:sz w:val="2"/>
          <w:szCs w:val="2"/>
        </w:rPr>
        <w:t xml:space="preserve"/>
      </w:r>
    </w:p>
    <w:p>
      <w:pPr>
        <w:spacing w:after="110" w:before="4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The problem</w:t>
      </w:r>
    </w:p>
    <w:p>
      <w:pPr>
        <w:spacing w:after="130" w:line="268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Myopia management is clinically settled but commercially hard, because the person deciding is not the person treated, there is no symptom to relieve, and success is invisible: if the treatment works, nothing happens. Price, evidence and urgency, the sector’s default levers, all address the wrong variable.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What I did differently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Mapped the parent and child journey through empathy mapping, separating what parents said from what they actually felt.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Ran COM-B three times, for the parent, the child and myself as the clinician, and found my own behaviour was often the binding constraint.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Adapted Horne and Weinman’s Necessity–Concerns model from medication adherence to a pre-adoption, proxy decision — the insight the rest of the work was built on.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Led with a certain, immediate benefit a child could feel within days, and treated slower progression as the bonus, not the headline.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Child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Parent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Clinician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Organisation</w:t>
            </w:r>
          </w:p>
        </w:tc>
      </w:tr>
    </w:tbl>
    <w:p>
      <w:pPr>
        <w:spacing w:after="40" w:line="268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The four domains COM-B was run against — treated as one interacting system, not four separate audiences.</w:t>
      </w:r>
    </w:p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C7D3E3" w:sz="2"/>
          <w:left w:val="single" w:color="2E74B5" w:sz="18"/>
          <w:bottom w:val="single" w:color="C7D3E3" w:sz="2"/>
          <w:right w:val="single" w:color="C7D3E3" w:sz="2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DF2F8" w:color="auto" w:val="clear"/>
            <w:tcMar>
              <w:top w:type="dxa" w:w="140"/>
              <w:left w:type="dxa" w:w="200"/>
              <w:bottom w:type="dxa" w:w="130"/>
              <w:right w:type="dxa" w:w="20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Necessity and concern are independent variables, not two ends of one scale. </w:t>
            </w:r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Raising necessity does not lower concern, and the sector’s default move, more evidence, only pushes on one axis.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1F3864" w:sz="4"/>
          <w:left w:val="none" w:color="FFFFFF" w:sz="0"/>
          <w:bottom w:val="single" w:color="1F3864" w:sz="4"/>
          <w:right w:val="none" w:color="FFFFFF" w:sz="0"/>
          <w:insideH w:val="none" w:color="FFFFFF" w:sz="0"/>
          <w:insideV w:val="single" w:color="D4DCE7" w:sz="2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£200,000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Annual recurring revenue, from a standing start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30"/>
                <w:szCs w:val="30"/>
              </w:rPr>
              <w:t xml:space="preserve">&lt;6%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Attrition across four years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5C"/>
                <w:sz w:val="30"/>
                <w:szCs w:val="30"/>
              </w:rPr>
              <w:t xml:space="preserve">~80%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Of parent consultations converted to enrolment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Frameworks applied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COM-B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Empathy Mapping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Williams Model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MINDSPACE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Fogg B=MAP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EAST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Cialdini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See-Think-Do-Care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Value Prop. Canvas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5"/>
                <w:szCs w:val="15"/>
              </w:rPr>
              <w:t xml:space="preserve">Double Diamond</w:t>
            </w:r>
          </w:p>
        </w:tc>
      </w:tr>
    </w:tbl>
    <w:p>
      <w:pPr>
        <w:spacing w:after="90"/>
      </w:pPr>
      <w:r>
        <w:rPr>
          <w:sz w:val="2"/>
          <w:szCs w:val="2"/>
        </w:rPr>
        <w:t xml:space="preserve"/>
      </w:r>
    </w:p>
    <w:p>
      <w:pPr>
        <w:spacing w:after="220" w:line="268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Necessity–Concerns Model of Treatment Adherence and Decision-Making — Horne &amp; Weinman, 2004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Where this transfers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When the decision-maker is not the beneficiary, model both, and model the practitioner delivering the intervention too.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If success is invisible, manufacture a visible signal, or adherence quietly erodes.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color w:val="2A2A2A"/>
          <w:sz w:val="19"/>
          <w:szCs w:val="19"/>
        </w:rPr>
        <w:t xml:space="preserve">Find the certain, immediate benefit hiding inside any preventative product, and lead with it before the probabilistic one.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pBdr>
          <w:bottom w:val="single" w:color="C7D3E3" w:sz="6" w:space="1"/>
        </w:pBdr>
        <w:spacing w:after="130" w:before="40"/>
      </w:pPr>
      <w:r>
        <w:rPr>
          <w:sz w:val="2"/>
          <w:szCs w:val="2"/>
        </w:rPr>
        <w:t xml:space="preserve"/>
      </w:r>
    </w:p>
    <w:p>
      <w:pPr>
        <w:spacing w:after="0" w:line="26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Full case study available on request.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I’m always keen to hear how others in applied behavioural science are tackling adherence and pre-adoption decisions in health, or in any other high-stakes category.</w:t>
      </w:r>
    </w:p>
    <w:sectPr>
      <w:pgSz w:w="11906" w:h="16838" w:orient="portrait"/>
      <w:pgMar w:top="34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Behavioural Optometry — One-Page Summary</dc:title>
  <dc:creator>Bhavin Shah</dc:creator>
  <cp:lastModifiedBy>Un-named</cp:lastModifiedBy>
  <cp:revision>1</cp:revision>
  <dcterms:created xsi:type="dcterms:W3CDTF">2026-08-16T22:49:35.682Z</dcterms:created>
  <dcterms:modified xsi:type="dcterms:W3CDTF">2026-08-16T22:49:35.684Z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