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4B5"/>
          <w:spacing w:val="30"/>
          <w:sz w:val="17"/>
          <w:szCs w:val="17"/>
        </w:rPr>
        <w:t xml:space="preserve">BEHAVIOURAL SCIENCE CASE STUDY</w:t>
      </w:r>
    </w:p>
    <w:p>
      <w:pPr>
        <w:spacing w:after="100"/>
      </w:pPr>
      <w:r>
        <w:rPr>
          <w:rFonts w:ascii="Calibri" w:cs="Calibri" w:eastAsia="Calibri" w:hAnsi="Calibri"/>
          <w:b/>
          <w:bCs/>
          <w:color w:val="1F3864"/>
          <w:sz w:val="40"/>
          <w:szCs w:val="40"/>
        </w:rPr>
        <w:t xml:space="preserve">Selling prevention to a parent who cannot see the problem</w:t>
      </w:r>
    </w:p>
    <w:p>
      <w:pPr>
        <w:spacing w:after="60"/>
      </w:pPr>
      <w:r>
        <w:rPr>
          <w:rFonts w:ascii="Calibri" w:cs="Calibri" w:eastAsia="Calibri" w:hAnsi="Calibri"/>
          <w:i/>
          <w:iCs/>
          <w:color w:val="595959"/>
          <w:sz w:val="23"/>
          <w:szCs w:val="23"/>
        </w:rPr>
        <w:t xml:space="preserve">Building a £200k recurring-revenue paediatric myopia management service with under 6% four-year attrition — one clinician, no advertising budget, competing against national chains.</w:t>
      </w:r>
    </w:p>
    <w:p>
      <w:pPr>
        <w:pBdr>
          <w:bottom w:val="single" w:color="C7D3E3" w:sz="6" w:space="1"/>
        </w:pBdr>
        <w:spacing w:after="200" w:before="60"/>
      </w:pPr>
      <w:r>
        <w:rPr>
          <w:sz w:val="2"/>
          <w:szCs w:val="2"/>
        </w:rPr>
        <w:t xml:space="preserve"/>
      </w:r>
    </w:p>
    <w:tbl>
      <w:tblPr>
        <w:tblW w:type="dxa" w:w="9360"/>
        <w:tblBorders>
          <w:top w:val="single" w:color="D4DCE7" w:sz="2"/>
          <w:left w:val="none" w:color="FFFFFF" w:sz="0"/>
          <w:bottom w:val="single" w:color="D4DCE7" w:sz="2"/>
          <w:right w:val="none" w:color="FFFFFF" w:sz="0"/>
          <w:insideH w:val="single" w:color="E4EAF1" w:sz="2"/>
          <w:insideV w:val="none" w:color="FFFFFF" w:sz="0"/>
        </w:tblBorders>
      </w:tblPr>
      <w:tblGrid>
        <w:gridCol w:w="1900"/>
        <w:gridCol w:w="7460"/>
      </w:tblGrid>
      <w:tr>
        <w:tc>
          <w:tcPr>
            <w:tcW w:type="dxa" w:w="190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At a glance</w:t>
            </w:r>
          </w:p>
        </w:tc>
        <w:tc>
          <w:tcPr>
            <w:tcW w:type="dxa" w:w="746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
            </w:r>
          </w:p>
        </w:tc>
      </w:tr>
      <w:tr>
        <w:tc>
          <w:tcPr>
            <w:tcW w:type="dxa" w:w="19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Sector</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Independent optometry practice, UK (anonymised)</w:t>
            </w:r>
          </w:p>
        </w:tc>
      </w:tr>
      <w:tr>
        <w:tc>
          <w:tcPr>
            <w:tcW w:type="dxa" w:w="19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My role</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Founder-clinician and behavioural design lead — diagnosis, intervention design, delivery</w:t>
            </w:r>
          </w:p>
        </w:tc>
      </w:tr>
      <w:tr>
        <w:tc>
          <w:tcPr>
            <w:tcW w:type="dxa" w:w="19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Constraints</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Single clinician · no paid advertising at any point · competing against multi-site national chains with national marketing budgets</w:t>
            </w:r>
          </w:p>
        </w:tc>
      </w:tr>
      <w:tr>
        <w:tc>
          <w:tcPr>
            <w:tcW w:type="dxa" w:w="19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Period</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Approximately five years, from a standing start</w:t>
            </w:r>
          </w:p>
        </w:tc>
      </w:tr>
      <w:tr>
        <w:tc>
          <w:tcPr>
            <w:tcW w:type="dxa" w:w="19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Outcome</w:t>
            </w:r>
          </w:p>
        </w:tc>
        <w:tc>
          <w:tcPr>
            <w:tcW w:type="dxa" w:w="74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£200,000 annual recurring revenue and under 6% attrition across four years — built entirely on conversion and adherence rather than reach</w:t>
            </w:r>
          </w:p>
        </w:tc>
      </w:tr>
    </w:tbl>
    <w:p>
      <w:pPr>
        <w:spacing w:after="240"/>
      </w:pPr>
      <w:r>
        <w:rPr>
          <w:sz w:val="2"/>
          <w:szCs w:val="2"/>
        </w:rPr>
        <w:t xml:space="preserve"/>
      </w:r>
    </w:p>
    <w:p>
      <w:pPr>
        <w:pStyle w:val="Heading2"/>
        <w:spacing w:after="100" w:before="220"/>
      </w:pPr>
      <w:r>
        <w:rPr>
          <w:rFonts w:ascii="Calibri" w:cs="Calibri" w:eastAsia="Calibri" w:hAnsi="Calibri"/>
          <w:b/>
          <w:bCs/>
          <w:color w:val="2E74B5"/>
          <w:sz w:val="22"/>
          <w:szCs w:val="22"/>
        </w:rPr>
        <w:t xml:space="preserve">Scope: six objectives, one behavioural system</w:t>
      </w:r>
    </w:p>
    <w:p>
      <w:pPr>
        <w:spacing w:after="140" w:line="276"/>
      </w:pPr>
      <w:r>
        <w:rPr>
          <w:rFonts w:ascii="Calibri" w:cs="Calibri" w:eastAsia="Calibri" w:hAnsi="Calibri"/>
          <w:color w:val="2A2A2A"/>
          <w:sz w:val="21"/>
          <w:szCs w:val="21"/>
        </w:rPr>
        <w:t xml:space="preserve">This was not a single intervention aimed at a single metric. Six distinct objectives were in play across the life of the service, and the argument of this case study is that they were only achievable together, as one designed system rather than six separate initiatives.</w:t>
      </w:r>
    </w:p>
    <w:tbl>
      <w:tblPr>
        <w:tblW w:type="dxa" w:w="9360"/>
        <w:tblBorders>
          <w:top w:val="single" w:color="D4DCE7" w:sz="2"/>
          <w:left w:val="none" w:color="FFFFFF" w:sz="0"/>
          <w:bottom w:val="single" w:color="D4DCE7" w:sz="2"/>
          <w:right w:val="none" w:color="FFFFFF" w:sz="0"/>
          <w:insideH w:val="single" w:color="E4EAF1" w:sz="2"/>
          <w:insideV w:val="none" w:color="FFFFFF" w:sz="0"/>
        </w:tblBorders>
      </w:tblPr>
      <w:tblGrid>
        <w:gridCol w:w="3100"/>
        <w:gridCol w:w="6260"/>
      </w:tblGrid>
      <w:tr>
        <w:tc>
          <w:tcPr>
            <w:tcW w:type="dxa" w:w="310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Objective</w:t>
            </w:r>
          </w:p>
        </w:tc>
        <w:tc>
          <w:tcPr>
            <w:tcW w:type="dxa" w:w="626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What was achieved</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Awareness, funnel and conversion</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Content and consultation sequencing converted roughly 80% of parent conversations into enrolments, from a standing start with no paid reach</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Behavioural nudges embedded in the website</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The sole reach channel doubled as the first layer of the intervention — authority, salience and defaults designed into content before a parent ever booked</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Reframing value beyond price</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Value repositioned around a certain, immediate benefit rather than a probabilistic future one, moving the decision out of the medical-expense budget entirely</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Parent and child decision-making on treatment method</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Resistance segmented and addressed by type; the child engaged as a decision agent rather than a compliance problem</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Adherence to treatment</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Under 6% attrition across four years, against a treatment profile carrying almost every known risk factor for drop-off</w:t>
            </w:r>
          </w:p>
        </w:tc>
      </w:tr>
      <w:tr>
        <w:tc>
          <w:tcPr>
            <w:tcW w:type="dxa" w:w="31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Patient retention and recurring revenue</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£200,000 annual recurring revenue, built on conversion and adherence rather than on reach</w:t>
            </w:r>
          </w:p>
        </w:tc>
      </w:tr>
    </w:tbl>
    <w:p>
      <w:pPr>
        <w:spacing w:after="260"/>
      </w:pPr>
      <w:r>
        <w:rPr>
          <w:sz w:val="2"/>
          <w:szCs w:val="2"/>
        </w:rPr>
        <w:t xml:space="preserve"/>
      </w:r>
    </w:p>
    <w:p>
      <w:pPr>
        <w:pStyle w:val="Heading1"/>
        <w:spacing w:after="160" w:before="340"/>
      </w:pPr>
      <w:r>
        <w:rPr>
          <w:rFonts w:ascii="Calibri" w:cs="Calibri" w:eastAsia="Calibri" w:hAnsi="Calibri"/>
          <w:b/>
          <w:bCs/>
          <w:color w:val="1F3864"/>
          <w:sz w:val="28"/>
          <w:szCs w:val="28"/>
        </w:rPr>
        <w:t xml:space="preserve">1. The problem the whole sector was solving wrongly</w:t>
      </w:r>
    </w:p>
    <w:p>
      <w:pPr>
        <w:spacing w:after="140" w:line="276"/>
      </w:pPr>
      <w:r>
        <w:rPr>
          <w:rFonts w:ascii="Calibri" w:cs="Calibri" w:eastAsia="Calibri" w:hAnsi="Calibri"/>
          <w:color w:val="2A2A2A"/>
          <w:sz w:val="21"/>
          <w:szCs w:val="21"/>
        </w:rPr>
        <w:t xml:space="preserve">Myopia management is a set of evidence-based optical treatments that slow the progression of short-sightedness in children. The clinical case is settled. The commercial reality, when I started, was that almost nobody was taking it up.</w:t>
      </w:r>
    </w:p>
    <w:p>
      <w:pPr>
        <w:spacing w:after="140" w:line="276"/>
      </w:pPr>
      <w:r>
        <w:rPr>
          <w:rFonts w:ascii="Calibri" w:cs="Calibri" w:eastAsia="Calibri" w:hAnsi="Calibri"/>
          <w:color w:val="2A2A2A"/>
          <w:sz w:val="21"/>
          <w:szCs w:val="21"/>
        </w:rPr>
        <w:t xml:space="preserve">The sector read this as a marketing problem: more awareness, more education, better leaflets, clearer evidence. It is not a marketing problem. It is a behavioural problem, and an unusually awkward one, because of three features:</w:t>
      </w:r>
    </w:p>
    <w:p>
      <w:pPr>
        <w:pStyle w:val="ListParagraph"/>
        <w:numPr>
          <w:ilvl w:val="0"/>
          <w:numId w:val="2"/>
        </w:numPr>
        <w:spacing w:after="90" w:line="276"/>
      </w:pPr>
      <w:r>
        <w:rPr>
          <w:rFonts w:ascii="Calibri" w:cs="Calibri" w:eastAsia="Calibri" w:hAnsi="Calibri"/>
          <w:b/>
          <w:bCs/>
          <w:color w:val="2A2A2A"/>
          <w:sz w:val="21"/>
          <w:szCs w:val="21"/>
        </w:rPr>
        <w:t xml:space="preserve">The decision-maker is not the patient. </w:t>
      </w:r>
      <w:r>
        <w:rPr>
          <w:rFonts w:ascii="Calibri" w:cs="Calibri" w:eastAsia="Calibri" w:hAnsi="Calibri"/>
          <w:color w:val="2A2A2A"/>
          <w:sz w:val="21"/>
          <w:szCs w:val="21"/>
        </w:rPr>
        <w:t xml:space="preserve">A parent authorises the treatment; a child has to live with it daily for years. Two different people, two different behavioural models, and the one with the wallet is not the one with the experience.</w:t>
      </w:r>
    </w:p>
    <w:p>
      <w:pPr>
        <w:pStyle w:val="ListParagraph"/>
        <w:numPr>
          <w:ilvl w:val="0"/>
          <w:numId w:val="2"/>
        </w:numPr>
        <w:spacing w:after="90" w:line="276"/>
      </w:pPr>
      <w:r>
        <w:rPr>
          <w:rFonts w:ascii="Calibri" w:cs="Calibri" w:eastAsia="Calibri" w:hAnsi="Calibri"/>
          <w:b/>
          <w:bCs/>
          <w:color w:val="2A2A2A"/>
          <w:sz w:val="21"/>
          <w:szCs w:val="21"/>
        </w:rPr>
        <w:t xml:space="preserve">There is no symptom to relieve. </w:t>
      </w:r>
      <w:r>
        <w:rPr>
          <w:rFonts w:ascii="Calibri" w:cs="Calibri" w:eastAsia="Calibri" w:hAnsi="Calibri"/>
          <w:color w:val="2A2A2A"/>
          <w:sz w:val="21"/>
          <w:szCs w:val="21"/>
        </w:rPr>
        <w:t xml:space="preserve">Spectacles already correct the child’s vision. Myopia management treats a future risk. You are asking a parent to pay repeatedly, out of pocket, to prevent a deterioration they will never directly observe in a child who feels perfectly fine.</w:t>
      </w:r>
    </w:p>
    <w:p>
      <w:pPr>
        <w:pStyle w:val="ListParagraph"/>
        <w:numPr>
          <w:ilvl w:val="0"/>
          <w:numId w:val="2"/>
        </w:numPr>
        <w:spacing w:after="90" w:line="276"/>
      </w:pPr>
      <w:r>
        <w:rPr>
          <w:rFonts w:ascii="Calibri" w:cs="Calibri" w:eastAsia="Calibri" w:hAnsi="Calibri"/>
          <w:b/>
          <w:bCs/>
          <w:color w:val="2A2A2A"/>
          <w:sz w:val="21"/>
          <w:szCs w:val="21"/>
        </w:rPr>
        <w:t xml:space="preserve">Success is invisible. </w:t>
      </w:r>
      <w:r>
        <w:rPr>
          <w:rFonts w:ascii="Calibri" w:cs="Calibri" w:eastAsia="Calibri" w:hAnsi="Calibri"/>
          <w:color w:val="2A2A2A"/>
          <w:sz w:val="21"/>
          <w:szCs w:val="21"/>
        </w:rPr>
        <w:t xml:space="preserve">If the treatment works, nothing happens. The parent never receives confirmation that the money was well spent — only the slow, silent absence of a bad outcome.</w:t>
      </w:r>
    </w:p>
    <w:p>
      <w:pPr>
        <w:spacing w:after="140" w:line="276"/>
      </w:pPr>
      <w:r>
        <w:rPr>
          <w:rFonts w:ascii="Calibri" w:cs="Calibri" w:eastAsia="Calibri" w:hAnsi="Calibri"/>
          <w:color w:val="2A2A2A"/>
          <w:sz w:val="21"/>
          <w:szCs w:val="21"/>
        </w:rPr>
        <w:t xml:space="preserve">Stated precisely, the target behaviour was: a parent authorising, and then sustaining for several years, an out-of-pocket preventative intervention on a symptom-free child, where success is defined by a non-event.</w:t>
      </w:r>
    </w:p>
    <w:p>
      <w:pPr>
        <w:spacing w:after="140" w:line="276"/>
      </w:pPr>
      <w:r>
        <w:rPr>
          <w:rFonts w:ascii="Calibri" w:cs="Calibri" w:eastAsia="Calibri" w:hAnsi="Calibri"/>
          <w:color w:val="2A2A2A"/>
          <w:sz w:val="21"/>
          <w:szCs w:val="21"/>
        </w:rPr>
        <w:t xml:space="preserve">Framed that way, this sits in the same behavioural family as statin adherence, pension contribution and childhood immunisation. It does not sit in the same family as selling spectacle frames. Almost every intervention the sector was reaching for had been borrowed from the second family. That is the whole story of why they underperformed.</w:t>
      </w:r>
    </w:p>
    <w:p>
      <w:pPr>
        <w:pStyle w:val="Heading1"/>
        <w:spacing w:after="160" w:before="340"/>
      </w:pPr>
      <w:r>
        <w:rPr>
          <w:rFonts w:ascii="Calibri" w:cs="Calibri" w:eastAsia="Calibri" w:hAnsi="Calibri"/>
          <w:b/>
          <w:bCs/>
          <w:color w:val="1F3864"/>
          <w:sz w:val="28"/>
          <w:szCs w:val="28"/>
        </w:rPr>
        <w:t xml:space="preserve">2. Diagnosis: four lenses, three people</w:t>
      </w:r>
    </w:p>
    <w:p>
      <w:pPr>
        <w:spacing w:after="140" w:line="276"/>
      </w:pPr>
      <w:r>
        <w:rPr>
          <w:rFonts w:ascii="Calibri" w:cs="Calibri" w:eastAsia="Calibri" w:hAnsi="Calibri"/>
          <w:color w:val="2A2A2A"/>
          <w:sz w:val="21"/>
          <w:szCs w:val="21"/>
        </w:rPr>
        <w:t xml:space="preserve">I used the Double Diamond to hold myself back from solutioning. The first diamond was spent almost entirely on understanding, and specifically on working out why the obvious answers — cut the price, present more clinical evidence, explain for longer — had already failed across the sector. Each of them is a perfectly good answer to a barrier that was not the binding one.</w:t>
      </w:r>
    </w:p>
    <w:p>
      <w:pPr>
        <w:pStyle w:val="Heading2"/>
        <w:spacing w:after="100" w:before="220"/>
      </w:pPr>
      <w:r>
        <w:rPr>
          <w:rFonts w:ascii="Calibri" w:cs="Calibri" w:eastAsia="Calibri" w:hAnsi="Calibri"/>
          <w:b/>
          <w:bCs/>
          <w:color w:val="2E74B5"/>
          <w:sz w:val="22"/>
          <w:szCs w:val="22"/>
        </w:rPr>
        <w:t xml:space="preserve">Empathy mapping: separating the stated objection from the real one</w:t>
      </w:r>
    </w:p>
    <w:p>
      <w:pPr>
        <w:spacing w:after="140" w:line="276"/>
      </w:pPr>
      <w:r>
        <w:rPr>
          <w:rFonts w:ascii="Calibri" w:cs="Calibri" w:eastAsia="Calibri" w:hAnsi="Calibri"/>
          <w:color w:val="2A2A2A"/>
          <w:sz w:val="21"/>
          <w:szCs w:val="21"/>
        </w:rPr>
        <w:t xml:space="preserve">Mapping what parents said against what they felt produced the first useful divergence. The stated objections were evidential and procedural — is it safe, how does it work, is there evidence, how young can a child start. The felt experience was something else entirely: fear at being told at every visit that their child’s eyes were getting worse, guilt at not having acted sooner, and a quiet suspicion that an expensive recommendation might be commercially motivated.</w:t>
      </w:r>
    </w:p>
    <w:p>
      <w:pPr>
        <w:spacing w:after="140" w:line="276"/>
      </w:pPr>
      <w:r>
        <w:rPr>
          <w:rFonts w:ascii="Calibri" w:cs="Calibri" w:eastAsia="Calibri" w:hAnsi="Calibri"/>
          <w:color w:val="2A2A2A"/>
          <w:sz w:val="21"/>
          <w:szCs w:val="21"/>
        </w:rPr>
        <w:t xml:space="preserve">Answering the stated objection harder made conversion worse, because it read as sales pressure and inflamed the felt objection. This is the single most useful thing the empathy work produced.</w:t>
      </w:r>
    </w:p>
    <w:p>
      <w:pPr>
        <w:pStyle w:val="Heading2"/>
        <w:spacing w:after="100" w:before="220"/>
      </w:pPr>
      <w:r>
        <w:rPr>
          <w:rFonts w:ascii="Calibri" w:cs="Calibri" w:eastAsia="Calibri" w:hAnsi="Calibri"/>
          <w:b/>
          <w:bCs/>
          <w:color w:val="2E74B5"/>
          <w:sz w:val="22"/>
          <w:szCs w:val="22"/>
        </w:rPr>
        <w:t xml:space="preserve">COM-B, run three times — including on myself</w:t>
      </w:r>
    </w:p>
    <w:p>
      <w:pPr>
        <w:spacing w:after="140" w:line="276"/>
      </w:pPr>
      <w:r>
        <w:rPr>
          <w:rFonts w:ascii="Calibri" w:cs="Calibri" w:eastAsia="Calibri" w:hAnsi="Calibri"/>
          <w:color w:val="2A2A2A"/>
          <w:sz w:val="21"/>
          <w:szCs w:val="21"/>
        </w:rPr>
        <w:t xml:space="preserve">Most practices run a behavioural analysis on the parent. I ran Capability, Opportunity and Motivation separately for the parent, the child and the clinician.</w:t>
      </w:r>
    </w:p>
    <w:p>
      <w:pPr>
        <w:pStyle w:val="ListParagraph"/>
        <w:numPr>
          <w:ilvl w:val="0"/>
          <w:numId w:val="3"/>
        </w:numPr>
        <w:spacing w:after="90" w:line="276"/>
      </w:pPr>
      <w:r>
        <w:rPr>
          <w:rFonts w:ascii="Calibri" w:cs="Calibri" w:eastAsia="Calibri" w:hAnsi="Calibri"/>
          <w:b/>
          <w:bCs/>
          <w:color w:val="2A2A2A"/>
          <w:sz w:val="21"/>
          <w:szCs w:val="21"/>
        </w:rPr>
        <w:t xml:space="preserve">Parent: </w:t>
      </w:r>
      <w:r>
        <w:rPr>
          <w:rFonts w:ascii="Calibri" w:cs="Calibri" w:eastAsia="Calibri" w:hAnsi="Calibri"/>
          <w:color w:val="2A2A2A"/>
          <w:sz w:val="21"/>
          <w:szCs w:val="21"/>
        </w:rPr>
        <w:t xml:space="preserve">capability to evaluate a technical, contested choice; opportunity in the form of time and money; motivation blunted by the absence of any felt problem.</w:t>
      </w:r>
    </w:p>
    <w:p>
      <w:pPr>
        <w:pStyle w:val="ListParagraph"/>
        <w:numPr>
          <w:ilvl w:val="0"/>
          <w:numId w:val="3"/>
        </w:numPr>
        <w:spacing w:after="90" w:line="276"/>
      </w:pPr>
      <w:r>
        <w:rPr>
          <w:rFonts w:ascii="Calibri" w:cs="Calibri" w:eastAsia="Calibri" w:hAnsi="Calibri"/>
          <w:b/>
          <w:bCs/>
          <w:color w:val="2A2A2A"/>
          <w:sz w:val="21"/>
          <w:szCs w:val="21"/>
        </w:rPr>
        <w:t xml:space="preserve">Child: </w:t>
      </w:r>
      <w:r>
        <w:rPr>
          <w:rFonts w:ascii="Calibri" w:cs="Calibri" w:eastAsia="Calibri" w:hAnsi="Calibri"/>
          <w:color w:val="2A2A2A"/>
          <w:sz w:val="21"/>
          <w:szCs w:val="21"/>
        </w:rPr>
        <w:t xml:space="preserve">physical and psychological capability to manage the treatment daily, and a motivation profile that has nothing to do with long-term eye health.</w:t>
      </w:r>
    </w:p>
    <w:p>
      <w:pPr>
        <w:pStyle w:val="ListParagraph"/>
        <w:numPr>
          <w:ilvl w:val="0"/>
          <w:numId w:val="3"/>
        </w:numPr>
        <w:spacing w:after="90" w:line="276"/>
      </w:pPr>
      <w:r>
        <w:rPr>
          <w:rFonts w:ascii="Calibri" w:cs="Calibri" w:eastAsia="Calibri" w:hAnsi="Calibri"/>
          <w:b/>
          <w:bCs/>
          <w:color w:val="2A2A2A"/>
          <w:sz w:val="21"/>
          <w:szCs w:val="21"/>
        </w:rPr>
        <w:t xml:space="preserve">Clinician (me): </w:t>
      </w:r>
      <w:r>
        <w:rPr>
          <w:rFonts w:ascii="Calibri" w:cs="Calibri" w:eastAsia="Calibri" w:hAnsi="Calibri"/>
          <w:color w:val="2A2A2A"/>
          <w:sz w:val="21"/>
          <w:szCs w:val="21"/>
        </w:rPr>
        <w:t xml:space="preserve">capability to hold a difficult conversation well; opportunity in the form of chair time and appointment structure; and motivation undermined by a real reluctance to appear to be upselling.</w:t>
      </w:r>
    </w:p>
    <w:p>
      <w:pPr>
        <w:spacing w:after="140" w:line="276"/>
      </w:pPr>
      <w:r>
        <w:rPr>
          <w:rFonts w:ascii="Calibri" w:cs="Calibri" w:eastAsia="Calibri" w:hAnsi="Calibri"/>
          <w:color w:val="2A2A2A"/>
          <w:sz w:val="21"/>
          <w:szCs w:val="21"/>
        </w:rPr>
        <w:t xml:space="preserve">The clinician analysis was the uncomfortable one and by some distance the most valuable. My own behaviour was as much a rate-limiting constraint as the parent’s beliefs. Interventions aimed only at the parent stall because the person delivering them has not been designed for.</w:t>
      </w:r>
    </w:p>
    <w:p>
      <w:pPr>
        <w:pStyle w:val="Heading2"/>
        <w:spacing w:after="100" w:before="220"/>
      </w:pPr>
      <w:r>
        <w:rPr>
          <w:rFonts w:ascii="Calibri" w:cs="Calibri" w:eastAsia="Calibri" w:hAnsi="Calibri"/>
          <w:b/>
          <w:bCs/>
          <w:color w:val="2E74B5"/>
          <w:sz w:val="22"/>
          <w:szCs w:val="22"/>
        </w:rPr>
        <w:t xml:space="preserve">A system model, not a funnel</w:t>
      </w:r>
    </w:p>
    <w:p>
      <w:pPr>
        <w:spacing w:after="140" w:line="276"/>
      </w:pPr>
      <w:r>
        <w:rPr>
          <w:rFonts w:ascii="Calibri" w:cs="Calibri" w:eastAsia="Calibri" w:hAnsi="Calibri"/>
          <w:color w:val="2A2A2A"/>
          <w:sz w:val="21"/>
          <w:szCs w:val="21"/>
        </w:rPr>
        <w:t xml:space="preserve">I mapped the decision as four interacting layers rather than a linear journey: child behaviour, parent beliefs, clinician beliefs and behaviour, and the organisation’s own culture and values. Any intervention that ignores one of those layers is absorbed by it. A protocol the team does not believe in is delivered without conviction; a parent-facing message that contradicts the practice’s culture is not sustained.</w:t>
      </w:r>
    </w:p>
    <w:p>
      <w:pPr>
        <w:pStyle w:val="Heading2"/>
        <w:spacing w:after="100" w:before="220"/>
      </w:pPr>
      <w:r>
        <w:rPr>
          <w:rFonts w:ascii="Calibri" w:cs="Calibri" w:eastAsia="Calibri" w:hAnsi="Calibri"/>
          <w:b/>
          <w:bCs/>
          <w:color w:val="2E74B5"/>
          <w:sz w:val="22"/>
          <w:szCs w:val="22"/>
        </w:rPr>
        <w:t xml:space="preserve">Segmenting resistance: the Williams model</w:t>
      </w:r>
    </w:p>
    <w:p>
      <w:pPr>
        <w:spacing w:after="140" w:line="276"/>
      </w:pPr>
      <w:r>
        <w:rPr>
          <w:rFonts w:ascii="Calibri" w:cs="Calibri" w:eastAsia="Calibri" w:hAnsi="Calibri"/>
          <w:color w:val="2A2A2A"/>
          <w:sz w:val="21"/>
          <w:szCs w:val="21"/>
        </w:rPr>
        <w:t xml:space="preserve">Hesitancy was not one thing. Sorted into three types, each needing a structurally different response:</w:t>
      </w:r>
    </w:p>
    <w:p>
      <w:pPr>
        <w:pStyle w:val="ListParagraph"/>
        <w:numPr>
          <w:ilvl w:val="0"/>
          <w:numId w:val="3"/>
        </w:numPr>
        <w:spacing w:after="90" w:line="276"/>
      </w:pPr>
      <w:r>
        <w:rPr>
          <w:rFonts w:ascii="Calibri" w:cs="Calibri" w:eastAsia="Calibri" w:hAnsi="Calibri"/>
          <w:b/>
          <w:bCs/>
          <w:color w:val="2A2A2A"/>
          <w:sz w:val="21"/>
          <w:szCs w:val="21"/>
        </w:rPr>
        <w:t xml:space="preserve">Scared — will not commit. </w:t>
      </w:r>
      <w:r>
        <w:rPr>
          <w:rFonts w:ascii="Calibri" w:cs="Calibri" w:eastAsia="Calibri" w:hAnsi="Calibri"/>
          <w:color w:val="2A2A2A"/>
          <w:sz w:val="21"/>
          <w:szCs w:val="21"/>
        </w:rPr>
        <w:t xml:space="preserve">Contact lenses in a young child’s eyes, perceived irreversibility, risk of harm. Needs concern reduced, not necessity increased.</w:t>
      </w:r>
    </w:p>
    <w:p>
      <w:pPr>
        <w:pStyle w:val="ListParagraph"/>
        <w:numPr>
          <w:ilvl w:val="0"/>
          <w:numId w:val="3"/>
        </w:numPr>
        <w:spacing w:after="90" w:line="276"/>
      </w:pPr>
      <w:r>
        <w:rPr>
          <w:rFonts w:ascii="Calibri" w:cs="Calibri" w:eastAsia="Calibri" w:hAnsi="Calibri"/>
          <w:b/>
          <w:bCs/>
          <w:color w:val="2A2A2A"/>
          <w:sz w:val="21"/>
          <w:szCs w:val="21"/>
        </w:rPr>
        <w:t xml:space="preserve">Overwhelmed — cannot choose. </w:t>
      </w:r>
      <w:r>
        <w:rPr>
          <w:rFonts w:ascii="Calibri" w:cs="Calibri" w:eastAsia="Calibri" w:hAnsi="Calibri"/>
          <w:color w:val="2A2A2A"/>
          <w:sz w:val="21"/>
          <w:szCs w:val="21"/>
        </w:rPr>
        <w:t xml:space="preserve">Competing treatment options, contradictory information online, no basis on which to compare. Needs the choice made easier, not richer.</w:t>
      </w:r>
    </w:p>
    <w:p>
      <w:pPr>
        <w:pStyle w:val="ListParagraph"/>
        <w:numPr>
          <w:ilvl w:val="0"/>
          <w:numId w:val="3"/>
        </w:numPr>
        <w:spacing w:after="90" w:line="276"/>
      </w:pPr>
      <w:r>
        <w:rPr>
          <w:rFonts w:ascii="Calibri" w:cs="Calibri" w:eastAsia="Calibri" w:hAnsi="Calibri"/>
          <w:b/>
          <w:bCs/>
          <w:color w:val="2A2A2A"/>
          <w:sz w:val="21"/>
          <w:szCs w:val="21"/>
        </w:rPr>
        <w:t xml:space="preserve">Deferring — will not think about it now. </w:t>
      </w:r>
      <w:r>
        <w:rPr>
          <w:rFonts w:ascii="Calibri" w:cs="Calibri" w:eastAsia="Calibri" w:hAnsi="Calibri"/>
          <w:color w:val="2A2A2A"/>
          <w:sz w:val="21"/>
          <w:szCs w:val="21"/>
        </w:rPr>
        <w:t xml:space="preserve">No symptom, no deadline, "let’s see how it goes at the next check". Needs a prompt and a reason the reward is worth acting on today.</w:t>
      </w:r>
    </w:p>
    <w:p>
      <w:pPr>
        <w:spacing w:after="140" w:line="276"/>
      </w:pPr>
      <w:r>
        <w:rPr>
          <w:rFonts w:ascii="Calibri" w:cs="Calibri" w:eastAsia="Calibri" w:hAnsi="Calibri"/>
          <w:color w:val="2A2A2A"/>
          <w:sz w:val="21"/>
          <w:szCs w:val="21"/>
        </w:rPr>
        <w:t xml:space="preserve">Delivering the same conversation to all three is, I think, the most common and most expensive error in this field. The Value Proposition Canvas then translated those pains and gains into the actual service design, and made explicit what parents were really purchasing: not a lens, but reduced anxiety, agency, and the ability to know they had done everything they could.</w:t>
      </w:r>
    </w:p>
    <w:p>
      <w:pPr>
        <w:pStyle w:val="Heading2"/>
        <w:spacing w:after="100" w:before="220"/>
      </w:pPr>
      <w:r>
        <w:rPr>
          <w:rFonts w:ascii="Calibri" w:cs="Calibri" w:eastAsia="Calibri" w:hAnsi="Calibri"/>
          <w:b/>
          <w:bCs/>
          <w:color w:val="2E74B5"/>
          <w:sz w:val="22"/>
          <w:szCs w:val="22"/>
        </w:rPr>
        <w:t xml:space="preserve">A standing listening loop — the diagnosis never closed</w:t>
      </w:r>
    </w:p>
    <w:p>
      <w:pPr>
        <w:spacing w:after="140" w:line="276"/>
      </w:pPr>
      <w:r>
        <w:rPr>
          <w:rFonts w:ascii="Calibri" w:cs="Calibri" w:eastAsia="Calibri" w:hAnsi="Calibri"/>
          <w:color w:val="2A2A2A"/>
          <w:sz w:val="21"/>
          <w:szCs w:val="21"/>
        </w:rPr>
        <w:t xml:space="preserve">I surveyed parents and children periodically throughout, rather than treating discovery as a phase that ended when the design began. Two things came out of that, and the second mattered more than the first.</w:t>
      </w:r>
    </w:p>
    <w:p>
      <w:pPr>
        <w:pStyle w:val="ListParagraph"/>
        <w:numPr>
          <w:ilvl w:val="0"/>
          <w:numId w:val="3"/>
        </w:numPr>
        <w:spacing w:after="90" w:line="276"/>
      </w:pPr>
      <w:r>
        <w:rPr>
          <w:rFonts w:ascii="Calibri" w:cs="Calibri" w:eastAsia="Calibri" w:hAnsi="Calibri"/>
          <w:color w:val="2A2A2A"/>
          <w:sz w:val="21"/>
          <w:szCs w:val="21"/>
        </w:rPr>
        <w:t xml:space="preserve">It kept the model current. Beliefs, concerns and the sources parents were consulting shifted over five years. A diagnosis fixed at the start would have been steadily decaying while the interventions built on it stayed unchanged.</w:t>
      </w:r>
    </w:p>
    <w:p>
      <w:pPr>
        <w:pStyle w:val="ListParagraph"/>
        <w:numPr>
          <w:ilvl w:val="0"/>
          <w:numId w:val="3"/>
        </w:numPr>
        <w:spacing w:after="90" w:line="276"/>
      </w:pPr>
      <w:r>
        <w:rPr>
          <w:rFonts w:ascii="Calibri" w:cs="Calibri" w:eastAsia="Calibri" w:hAnsi="Calibri"/>
          <w:b/>
          <w:bCs/>
          <w:color w:val="2A2A2A"/>
          <w:sz w:val="21"/>
          <w:szCs w:val="21"/>
        </w:rPr>
        <w:t xml:space="preserve">It gave me the language. </w:t>
      </w:r>
      <w:r>
        <w:rPr>
          <w:rFonts w:ascii="Calibri" w:cs="Calibri" w:eastAsia="Calibri" w:hAnsi="Calibri"/>
          <w:color w:val="2A2A2A"/>
          <w:sz w:val="21"/>
          <w:szCs w:val="21"/>
        </w:rPr>
        <w:t xml:space="preserve">I captured the actual words parents and children used and built the marketing materials and conversations out of those words rather than out of clinical vocabulary. This is not a stylistic preference. Familiar phrasing is processed more fluently, and processing fluency is read by the brain as truth and as safety; clinical language does the opposite, and simultaneously signals that the message came from a seller rather than a peer. It also inoculates against the curse of knowledge, which is the standard failure mode when a clinician writes patient-facing material.</w:t>
      </w:r>
    </w:p>
    <w:p>
      <w:pPr>
        <w:spacing w:after="140" w:line="276"/>
      </w:pPr>
      <w:r>
        <w:rPr>
          <w:rFonts w:ascii="Calibri" w:cs="Calibri" w:eastAsia="Calibri" w:hAnsi="Calibri"/>
          <w:color w:val="2A2A2A"/>
          <w:sz w:val="21"/>
          <w:szCs w:val="21"/>
        </w:rPr>
        <w:t xml:space="preserve">This loop is also the reason the segmentation stayed honest. It is easy to build a model of your customer once and then spend five years talking to your own model.</w:t>
      </w:r>
    </w:p>
    <w:p>
      <w:pPr>
        <w:pStyle w:val="Heading2"/>
        <w:spacing w:after="100" w:before="220"/>
      </w:pPr>
      <w:r>
        <w:rPr>
          <w:rFonts w:ascii="Calibri" w:cs="Calibri" w:eastAsia="Calibri" w:hAnsi="Calibri"/>
          <w:b/>
          <w:bCs/>
          <w:color w:val="2E74B5"/>
          <w:sz w:val="22"/>
          <w:szCs w:val="22"/>
        </w:rPr>
        <w:t xml:space="preserve">Writing for two audiences — a second diagnostic lens</w:t>
      </w:r>
    </w:p>
    <w:p>
      <w:pPr>
        <w:spacing w:after="140" w:line="276"/>
      </w:pPr>
      <w:r>
        <w:rPr>
          <w:rFonts w:ascii="Calibri" w:cs="Calibri" w:eastAsia="Calibri" w:hAnsi="Calibri"/>
          <w:color w:val="2A2A2A"/>
          <w:sz w:val="21"/>
          <w:szCs w:val="21"/>
        </w:rPr>
        <w:t xml:space="preserve">Alongside the listening loop, I wrote a peer-facing article for the industry, drawing together the published literature and the live professional debate, and a separate article on the same subject for parents. Doing both at the same time turned out to be diagnostic in its own right, not just an exercise in communication.</w:t>
      </w:r>
    </w:p>
    <w:p>
      <w:pPr>
        <w:pStyle w:val="ListParagraph"/>
        <w:numPr>
          <w:ilvl w:val="0"/>
          <w:numId w:val="3"/>
        </w:numPr>
        <w:spacing w:after="90" w:line="276"/>
      </w:pPr>
      <w:r>
        <w:rPr>
          <w:rFonts w:ascii="Calibri" w:cs="Calibri" w:eastAsia="Calibri" w:hAnsi="Calibri"/>
          <w:color w:val="2A2A2A"/>
          <w:sz w:val="21"/>
          <w:szCs w:val="21"/>
        </w:rPr>
        <w:t xml:space="preserve">Writing the industry piece meant stating the sector’s own argument in full, in its strongest form, before I could say anything about it. Articulating it that plainly is what first exposed it as a marketing-shaped argument rather than a behavioural one, the reframe this whole case study is built on.</w:t>
      </w:r>
    </w:p>
    <w:p>
      <w:pPr>
        <w:pStyle w:val="ListParagraph"/>
        <w:numPr>
          <w:ilvl w:val="0"/>
          <w:numId w:val="3"/>
        </w:numPr>
        <w:spacing w:after="90" w:line="276"/>
      </w:pPr>
      <w:r>
        <w:rPr>
          <w:rFonts w:ascii="Calibri" w:cs="Calibri" w:eastAsia="Calibri" w:hAnsi="Calibri"/>
          <w:color w:val="2A2A2A"/>
          <w:sz w:val="21"/>
          <w:szCs w:val="21"/>
        </w:rPr>
        <w:t xml:space="preserve">Writing the public piece meant translating the same evidence into language a parent with no clinical background could actually use. That translation is where the gap showed up: which distinctions the profession cares about make no difference at all to a parent’s decision, and which plain-language points do the most work.</w:t>
      </w:r>
    </w:p>
    <w:p>
      <w:pPr>
        <w:spacing w:after="140" w:line="276"/>
      </w:pPr>
      <w:r>
        <w:rPr>
          <w:rFonts w:ascii="Calibri" w:cs="Calibri" w:eastAsia="Calibri" w:hAnsi="Calibri"/>
          <w:color w:val="2A2A2A"/>
          <w:sz w:val="21"/>
          <w:szCs w:val="21"/>
        </w:rPr>
        <w:t xml:space="preserve">Between them, the two pieces gave me a reasonably complete map of the ground this case study stands on: what the profession already believes, and what a parent walking in cold actually knows and worries about.</w:t>
      </w:r>
    </w:p>
    <w:p>
      <w:pPr>
        <w:pStyle w:val="Heading1"/>
        <w:spacing w:after="160" w:before="340"/>
      </w:pPr>
      <w:r>
        <w:rPr>
          <w:rFonts w:ascii="Calibri" w:cs="Calibri" w:eastAsia="Calibri" w:hAnsi="Calibri"/>
          <w:b/>
          <w:bCs/>
          <w:color w:val="1F3864"/>
          <w:sz w:val="28"/>
          <w:szCs w:val="28"/>
        </w:rPr>
        <w:t xml:space="preserve">3. The insight that changed the design</w:t>
      </w:r>
    </w:p>
    <w:tbl>
      <w:tblPr>
        <w:tblW w:type="dxa" w:w="9360"/>
        <w:tblBorders>
          <w:top w:val="single" w:color="C7D3E3" w:sz="2"/>
          <w:left w:val="single" w:color="2E74B5" w:sz="18"/>
          <w:bottom w:val="single" w:color="C7D3E3" w:sz="2"/>
          <w:right w:val="single" w:color="C7D3E3" w:sz="2"/>
          <w:insideH w:val="none" w:color="FFFFFF" w:sz="0"/>
          <w:insideV w:val="none" w:color="FFFFFF" w:sz="0"/>
        </w:tblBorders>
      </w:tblPr>
      <w:tblGrid>
        <w:gridCol w:w="9360"/>
      </w:tblGrid>
      <w:tr>
        <w:tc>
          <w:tcPr>
            <w:tcW w:type="dxa" w:w="9360"/>
            <w:shd w:fill="EDF2F8" w:color="auto" w:val="clear"/>
            <w:tcMar>
              <w:top w:type="dxa" w:w="200"/>
              <w:left w:type="dxa" w:w="240"/>
              <w:bottom w:type="dxa" w:w="160"/>
              <w:right w:type="dxa" w:w="240"/>
            </w:tcMar>
          </w:tcPr>
          <w:p>
            <w:pPr>
              <w:spacing w:after="0" w:line="276"/>
            </w:pPr>
            <w:r>
              <w:rPr>
                <w:rFonts w:ascii="Calibri" w:cs="Calibri" w:eastAsia="Calibri" w:hAnsi="Calibri"/>
                <w:b/>
                <w:bCs/>
                <w:color w:val="1F3864"/>
                <w:sz w:val="23"/>
                <w:szCs w:val="23"/>
              </w:rPr>
              <w:t xml:space="preserve">Necessity and concern are independent variables, not two ends of one scale. Raising necessity does not lower concern — and the usual way of raising it makes concern worse.</w:t>
            </w:r>
          </w:p>
        </w:tc>
      </w:tr>
    </w:tbl>
    <w:p>
      <w:pPr>
        <w:spacing w:after="200"/>
      </w:pPr>
      <w:r>
        <w:rPr>
          <w:sz w:val="2"/>
          <w:szCs w:val="2"/>
        </w:rPr>
        <w:t xml:space="preserve"/>
      </w:r>
    </w:p>
    <w:p>
      <w:pPr>
        <w:spacing w:after="140" w:line="276"/>
      </w:pPr>
      <w:r>
        <w:rPr>
          <w:rFonts w:ascii="Calibri" w:cs="Calibri" w:eastAsia="Calibri" w:hAnsi="Calibri"/>
          <w:color w:val="2A2A2A"/>
          <w:sz w:val="21"/>
          <w:szCs w:val="21"/>
        </w:rPr>
        <w:t xml:space="preserve">Horne and Weinman’s Necessity–Concerns Framework (2004) explains medication adherence: patients continue a treatment when their belief in its necessity outweighs their concerns about it. It was built to explain the behaviour of people already prescribed something.</w:t>
      </w:r>
    </w:p>
    <w:p>
      <w:pPr>
        <w:spacing w:after="140" w:line="276"/>
      </w:pPr>
      <w:r>
        <w:rPr>
          <w:rFonts w:ascii="Calibri" w:cs="Calibri" w:eastAsia="Calibri" w:hAnsi="Calibri"/>
          <w:color w:val="2A2A2A"/>
          <w:sz w:val="21"/>
          <w:szCs w:val="21"/>
        </w:rPr>
        <w:t xml:space="preserve">I applied it upstream — to the </w:t>
      </w:r>
      <w:r>
        <w:rPr>
          <w:rFonts w:ascii="Calibri" w:cs="Calibri" w:eastAsia="Calibri" w:hAnsi="Calibri"/>
          <w:i/>
          <w:iCs/>
          <w:color w:val="2A2A2A"/>
          <w:sz w:val="21"/>
          <w:szCs w:val="21"/>
        </w:rPr>
        <w:t xml:space="preserve">pre-adoption</w:t>
      </w:r>
      <w:r>
        <w:rPr>
          <w:rFonts w:ascii="Calibri" w:cs="Calibri" w:eastAsia="Calibri" w:hAnsi="Calibri"/>
          <w:color w:val="2A2A2A"/>
          <w:sz w:val="21"/>
          <w:szCs w:val="21"/>
        </w:rPr>
        <w:t xml:space="preserve"> decision — and by proxy, since the beliefs that matter belong to a parent deciding on behalf of someone else. Two consequences fell out of that, and they reshaped everything downstream.</w:t>
      </w:r>
    </w:p>
    <w:p>
      <w:pPr>
        <w:pStyle w:val="ListParagraph"/>
        <w:numPr>
          <w:ilvl w:val="0"/>
          <w:numId w:val="3"/>
        </w:numPr>
        <w:spacing w:after="90" w:line="276"/>
      </w:pPr>
      <w:r>
        <w:rPr>
          <w:rFonts w:ascii="Calibri" w:cs="Calibri" w:eastAsia="Calibri" w:hAnsi="Calibri"/>
          <w:b/>
          <w:bCs/>
          <w:color w:val="2A2A2A"/>
          <w:sz w:val="21"/>
          <w:szCs w:val="21"/>
        </w:rPr>
        <w:t xml:space="preserve">The sector’s default play only moves one variable. </w:t>
      </w:r>
      <w:r>
        <w:rPr>
          <w:rFonts w:ascii="Calibri" w:cs="Calibri" w:eastAsia="Calibri" w:hAnsi="Calibri"/>
          <w:color w:val="2A2A2A"/>
          <w:sz w:val="21"/>
          <w:szCs w:val="21"/>
        </w:rPr>
        <w:t xml:space="preserve">More clinical evidence, starker progression statistics and longer explanations all push on necessity. None of them touches concern — and delivered with any urgency, they raise it.</w:t>
      </w:r>
    </w:p>
    <w:p>
      <w:pPr>
        <w:pStyle w:val="ListParagraph"/>
        <w:numPr>
          <w:ilvl w:val="0"/>
          <w:numId w:val="3"/>
        </w:numPr>
        <w:spacing w:after="90" w:line="276"/>
      </w:pPr>
      <w:r>
        <w:rPr>
          <w:rFonts w:ascii="Calibri" w:cs="Calibri" w:eastAsia="Calibri" w:hAnsi="Calibri"/>
          <w:b/>
          <w:bCs/>
          <w:color w:val="2A2A2A"/>
          <w:sz w:val="21"/>
          <w:szCs w:val="21"/>
        </w:rPr>
        <w:t xml:space="preserve">One concern was going almost entirely unaddressed: the clinician’s own motives. </w:t>
      </w:r>
      <w:r>
        <w:rPr>
          <w:rFonts w:ascii="Calibri" w:cs="Calibri" w:eastAsia="Calibri" w:hAnsi="Calibri"/>
          <w:color w:val="2A2A2A"/>
          <w:sz w:val="21"/>
          <w:szCs w:val="21"/>
        </w:rPr>
        <w:t xml:space="preserve">Prescribing bias. Is this being recommended because it is right, or because it is expensive? Every increase in persuasive pressure worsens exactly this concern. The harder a practice sells, the more it confirms the parent’s suspicion.</w:t>
      </w:r>
    </w:p>
    <w:p>
      <w:pPr>
        <w:spacing w:after="140" w:line="276"/>
      </w:pPr>
      <w:r>
        <w:rPr>
          <w:rFonts w:ascii="Calibri" w:cs="Calibri" w:eastAsia="Calibri" w:hAnsi="Calibri"/>
          <w:color w:val="2A2A2A"/>
          <w:sz w:val="21"/>
          <w:szCs w:val="21"/>
        </w:rPr>
        <w:t xml:space="preserve">The design principle that came out of it: </w:t>
      </w:r>
      <w:r>
        <w:rPr>
          <w:rFonts w:ascii="Calibri" w:cs="Calibri" w:eastAsia="Calibri" w:hAnsi="Calibri"/>
          <w:b/>
          <w:bCs/>
          <w:color w:val="2A2A2A"/>
          <w:sz w:val="21"/>
          <w:szCs w:val="21"/>
        </w:rPr>
        <w:t xml:space="preserve">lower concern before raising necessity, and make necessity self-generated rather than clinician-asserted.</w:t>
      </w:r>
      <w:r>
        <w:rPr>
          <w:rFonts w:ascii="Calibri" w:cs="Calibri" w:eastAsia="Calibri" w:hAnsi="Calibri"/>
          <w:color w:val="2A2A2A"/>
          <w:sz w:val="21"/>
          <w:szCs w:val="21"/>
        </w:rPr>
        <w:t xml:space="preserve"> Every layer below is built on that sentence.</w:t>
      </w:r>
    </w:p>
    <w:p>
      <w:pPr>
        <w:pStyle w:val="Heading1"/>
        <w:spacing w:after="160" w:before="340"/>
      </w:pPr>
      <w:r>
        <w:rPr>
          <w:rFonts w:ascii="Calibri" w:cs="Calibri" w:eastAsia="Calibri" w:hAnsi="Calibri"/>
          <w:b/>
          <w:bCs/>
          <w:color w:val="1F3864"/>
          <w:sz w:val="28"/>
          <w:szCs w:val="28"/>
        </w:rPr>
        <w:t xml:space="preserve">4. Inverting the time horizon: selling the certain present, not the probabilistic future</w:t>
      </w:r>
    </w:p>
    <w:tbl>
      <w:tblPr>
        <w:tblW w:type="dxa" w:w="9360"/>
        <w:tblBorders>
          <w:top w:val="single" w:color="C7D3E3" w:sz="2"/>
          <w:left w:val="single" w:color="2E74B5" w:sz="18"/>
          <w:bottom w:val="single" w:color="C7D3E3" w:sz="2"/>
          <w:right w:val="single" w:color="C7D3E3" w:sz="2"/>
          <w:insideH w:val="none" w:color="FFFFFF" w:sz="0"/>
          <w:insideV w:val="none" w:color="FFFFFF" w:sz="0"/>
        </w:tblBorders>
      </w:tblPr>
      <w:tblGrid>
        <w:gridCol w:w="9360"/>
      </w:tblGrid>
      <w:tr>
        <w:tc>
          <w:tcPr>
            <w:tcW w:type="dxa" w:w="9360"/>
            <w:shd w:fill="EDF2F8" w:color="auto" w:val="clear"/>
            <w:tcMar>
              <w:top w:type="dxa" w:w="200"/>
              <w:left w:type="dxa" w:w="240"/>
              <w:bottom w:type="dxa" w:w="160"/>
              <w:right w:type="dxa" w:w="240"/>
            </w:tcMar>
          </w:tcPr>
          <w:p>
            <w:pPr>
              <w:spacing w:after="0" w:line="276"/>
            </w:pPr>
            <w:r>
              <w:rPr>
                <w:rFonts w:ascii="Calibri" w:cs="Calibri" w:eastAsia="Calibri" w:hAnsi="Calibri"/>
                <w:b/>
                <w:bCs/>
                <w:color w:val="1F3864"/>
                <w:sz w:val="23"/>
                <w:szCs w:val="23"/>
              </w:rPr>
              <w:t xml:space="preserve">Prevention loses because the cost is now and the benefit is distant, uncertain and invisible. So I stopped leading with the prevention.</w:t>
            </w:r>
          </w:p>
        </w:tc>
      </w:tr>
    </w:tbl>
    <w:p>
      <w:pPr>
        <w:spacing w:after="200"/>
      </w:pPr>
      <w:r>
        <w:rPr>
          <w:sz w:val="2"/>
          <w:szCs w:val="2"/>
        </w:rPr>
        <w:t xml:space="preserve"/>
      </w:r>
    </w:p>
    <w:p>
      <w:pPr>
        <w:spacing w:after="140" w:line="276"/>
      </w:pPr>
      <w:r>
        <w:rPr>
          <w:rFonts w:ascii="Calibri" w:cs="Calibri" w:eastAsia="Calibri" w:hAnsi="Calibri"/>
          <w:color w:val="2A2A2A"/>
          <w:sz w:val="21"/>
          <w:szCs w:val="21"/>
        </w:rPr>
        <w:t xml:space="preserve">The sector led with progression control, because that is the clinically interesting part. I led with what contact lens wear does for a child today — performance in sport, freedom from spectacles, and the evidence on how children feel about themselves — and positioned the slowing of myopia progression as a substantial additional benefit rather than the headline.</w:t>
      </w:r>
    </w:p>
    <w:p>
      <w:pPr>
        <w:spacing w:after="140" w:line="276"/>
      </w:pPr>
      <w:r>
        <w:rPr>
          <w:rFonts w:ascii="Calibri" w:cs="Calibri" w:eastAsia="Calibri" w:hAnsi="Calibri"/>
          <w:color w:val="2A2A2A"/>
          <w:sz w:val="21"/>
          <w:szCs w:val="21"/>
        </w:rPr>
        <w:t xml:space="preserve">It sounds like a presentational choice. It is a structural one, and five distinct mechanisms are doing the work.</w:t>
      </w:r>
    </w:p>
    <w:p>
      <w:pPr>
        <w:pStyle w:val="Heading2"/>
        <w:spacing w:after="100" w:before="220"/>
      </w:pPr>
      <w:r>
        <w:rPr>
          <w:rFonts w:ascii="Calibri" w:cs="Calibri" w:eastAsia="Calibri" w:hAnsi="Calibri"/>
          <w:b/>
          <w:bCs/>
          <w:color w:val="2E74B5"/>
          <w:sz w:val="22"/>
          <w:szCs w:val="22"/>
        </w:rPr>
        <w:t xml:space="preserve">Regulatory fit</w:t>
      </w:r>
    </w:p>
    <w:p>
      <w:pPr>
        <w:spacing w:after="140" w:line="276"/>
      </w:pPr>
      <w:r>
        <w:rPr>
          <w:rFonts w:ascii="Calibri" w:cs="Calibri" w:eastAsia="Calibri" w:hAnsi="Calibri"/>
          <w:color w:val="2A2A2A"/>
          <w:sz w:val="21"/>
          <w:szCs w:val="21"/>
        </w:rPr>
        <w:t xml:space="preserve">A parent of a healthy, happy child is in a promotion mindset — thinking about growth, confidence and opportunity. The sector was selling in a prevention mindset — risk, deterioration, protection. A message that does not fit the motivational state of the person receiving it persuades poorly regardless of how good its evidence is. I matched the frame to the state the parent was already in.</w:t>
      </w:r>
    </w:p>
    <w:p>
      <w:pPr>
        <w:pStyle w:val="Heading2"/>
        <w:spacing w:after="100" w:before="220"/>
      </w:pPr>
      <w:r>
        <w:rPr>
          <w:rFonts w:ascii="Calibri" w:cs="Calibri" w:eastAsia="Calibri" w:hAnsi="Calibri"/>
          <w:b/>
          <w:bCs/>
          <w:color w:val="2E74B5"/>
          <w:sz w:val="22"/>
          <w:szCs w:val="22"/>
        </w:rPr>
        <w:t xml:space="preserve">The certainty effect</w:t>
      </w:r>
    </w:p>
    <w:p>
      <w:pPr>
        <w:spacing w:after="140" w:line="276"/>
      </w:pPr>
      <w:r>
        <w:rPr>
          <w:rFonts w:ascii="Calibri" w:cs="Calibri" w:eastAsia="Calibri" w:hAnsi="Calibri"/>
          <w:color w:val="2A2A2A"/>
          <w:sz w:val="21"/>
          <w:szCs w:val="21"/>
        </w:rPr>
        <w:t xml:space="preserve">"Slows progression by around half, on average, over several years" is probabilistic, abstract and unverifiable by the person paying. "He will be able to see the ball on Saturday" is certain and confirmed within a week. People systematically overweight certainty, so this trades a heavily discounted probabilistic benefit for an undiscounted certain one — an enormous shift in perceived value at no additional cost.</w:t>
      </w:r>
    </w:p>
    <w:p>
      <w:pPr>
        <w:pStyle w:val="Heading2"/>
        <w:spacing w:after="100" w:before="220"/>
      </w:pPr>
      <w:r>
        <w:rPr>
          <w:rFonts w:ascii="Calibri" w:cs="Calibri" w:eastAsia="Calibri" w:hAnsi="Calibri"/>
          <w:b/>
          <w:bCs/>
          <w:color w:val="2E74B5"/>
          <w:sz w:val="22"/>
          <w:szCs w:val="22"/>
        </w:rPr>
        <w:t xml:space="preserve">Recruiting present bias instead of fighting it</w:t>
      </w:r>
    </w:p>
    <w:p>
      <w:pPr>
        <w:spacing w:after="140" w:line="276"/>
      </w:pPr>
      <w:r>
        <w:rPr>
          <w:rFonts w:ascii="Calibri" w:cs="Calibri" w:eastAsia="Calibri" w:hAnsi="Calibri"/>
          <w:color w:val="2A2A2A"/>
          <w:sz w:val="21"/>
          <w:szCs w:val="21"/>
        </w:rPr>
        <w:t xml:space="preserve">Everyone else was trying to argue parents out of discounting the future. That is a very expensive fight to pick, and it is not winnable at the scale of a single consultation. Attaching the behaviour to a reward that arrives immediately and repeats is the more reliable route — immediate rewards predict persistence with a behaviour considerably better than delayed ones do.</w:t>
      </w:r>
    </w:p>
    <w:p>
      <w:pPr>
        <w:pStyle w:val="Heading2"/>
        <w:spacing w:after="100" w:before="220"/>
      </w:pPr>
      <w:r>
        <w:rPr>
          <w:rFonts w:ascii="Calibri" w:cs="Calibri" w:eastAsia="Calibri" w:hAnsi="Calibri"/>
          <w:b/>
          <w:bCs/>
          <w:color w:val="2E74B5"/>
          <w:sz w:val="22"/>
          <w:szCs w:val="22"/>
        </w:rPr>
        <w:t xml:space="preserve">Mental accounting</w:t>
      </w:r>
    </w:p>
    <w:p>
      <w:pPr>
        <w:spacing w:after="140" w:line="276"/>
      </w:pPr>
      <w:r>
        <w:rPr>
          <w:rFonts w:ascii="Calibri" w:cs="Calibri" w:eastAsia="Calibri" w:hAnsi="Calibri"/>
          <w:color w:val="2A2A2A"/>
          <w:sz w:val="21"/>
          <w:szCs w:val="21"/>
        </w:rPr>
        <w:t xml:space="preserve">This is the most underrated of the five. Framed as prevention, the treatment is drawn from a household’s medical-expense account: loss-framed, reluctant, benchmarked against what people expect healthcare to cost, and highly price-sensitive. Framed around sport and confidence, it is drawn from the account that funds football boots, music lessons and school trips: aspirational, discretionary and far less price-sensitive. Identical money, entirely different psychological budget — and a different set of comparisons.</w:t>
      </w:r>
    </w:p>
    <w:p>
      <w:pPr>
        <w:pStyle w:val="Heading2"/>
        <w:spacing w:after="100" w:before="220"/>
      </w:pPr>
      <w:r>
        <w:rPr>
          <w:rFonts w:ascii="Calibri" w:cs="Calibri" w:eastAsia="Calibri" w:hAnsi="Calibri"/>
          <w:b/>
          <w:bCs/>
          <w:color w:val="2E74B5"/>
          <w:sz w:val="22"/>
          <w:szCs w:val="22"/>
        </w:rPr>
        <w:t xml:space="preserve">It solved the invisible-success problem — for free</w:t>
      </w:r>
    </w:p>
    <w:p>
      <w:pPr>
        <w:spacing w:after="140" w:line="276"/>
      </w:pPr>
      <w:r>
        <w:rPr>
          <w:rFonts w:ascii="Calibri" w:cs="Calibri" w:eastAsia="Calibri" w:hAnsi="Calibri"/>
          <w:color w:val="2A2A2A"/>
          <w:sz w:val="21"/>
          <w:szCs w:val="21"/>
        </w:rPr>
        <w:t xml:space="preserve">A parent who watches their child grow more confident receives confirmation that the money was well spent every single week. The preventative benefit can never supply that, because its success is a non-event. I suspect this is a genuine driver of the multi-year retention underneath the recurring revenue, and it arrived as a by-product of the framing rather than as a designed feature.</w:t>
      </w:r>
    </w:p>
    <w:p>
      <w:pPr>
        <w:pStyle w:val="Heading2"/>
        <w:spacing w:after="100" w:before="220"/>
      </w:pPr>
      <w:r>
        <w:rPr>
          <w:rFonts w:ascii="Calibri" w:cs="Calibri" w:eastAsia="Calibri" w:hAnsi="Calibri"/>
          <w:b/>
          <w:bCs/>
          <w:color w:val="2E74B5"/>
          <w:sz w:val="22"/>
          <w:szCs w:val="22"/>
        </w:rPr>
        <w:t xml:space="preserve">Two further effects</w:t>
      </w:r>
    </w:p>
    <w:p>
      <w:pPr>
        <w:pStyle w:val="ListParagraph"/>
        <w:numPr>
          <w:ilvl w:val="0"/>
          <w:numId w:val="3"/>
        </w:numPr>
        <w:spacing w:after="90" w:line="276"/>
      </w:pPr>
      <w:r>
        <w:rPr>
          <w:rFonts w:ascii="Calibri" w:cs="Calibri" w:eastAsia="Calibri" w:hAnsi="Calibri"/>
          <w:b/>
          <w:bCs/>
          <w:color w:val="2A2A2A"/>
          <w:sz w:val="21"/>
          <w:szCs w:val="21"/>
        </w:rPr>
        <w:t xml:space="preserve">It recruited the child as an ally rather than a compliance problem. </w:t>
      </w:r>
      <w:r>
        <w:rPr>
          <w:rFonts w:ascii="Calibri" w:cs="Calibri" w:eastAsia="Calibri" w:hAnsi="Calibri"/>
          <w:color w:val="2A2A2A"/>
          <w:sz w:val="21"/>
          <w:szCs w:val="21"/>
        </w:rPr>
        <w:t xml:space="preserve">The child now wanted the treatment for reasons of their own. Given that the child is the one who has to execute the behaviour daily for years, this is not a minor benefit.</w:t>
      </w:r>
    </w:p>
    <w:p>
      <w:pPr>
        <w:pStyle w:val="ListParagraph"/>
        <w:numPr>
          <w:ilvl w:val="0"/>
          <w:numId w:val="3"/>
        </w:numPr>
        <w:spacing w:after="90" w:line="276"/>
      </w:pPr>
      <w:r>
        <w:rPr>
          <w:rFonts w:ascii="Calibri" w:cs="Calibri" w:eastAsia="Calibri" w:hAnsi="Calibri"/>
          <w:b/>
          <w:bCs/>
          <w:color w:val="2A2A2A"/>
          <w:sz w:val="21"/>
          <w:szCs w:val="21"/>
        </w:rPr>
        <w:t xml:space="preserve">It lowered reactance. </w:t>
      </w:r>
      <w:r>
        <w:rPr>
          <w:rFonts w:ascii="Calibri" w:cs="Calibri" w:eastAsia="Calibri" w:hAnsi="Calibri"/>
          <w:color w:val="2A2A2A"/>
          <w:sz w:val="21"/>
          <w:szCs w:val="21"/>
        </w:rPr>
        <w:t xml:space="preserve">A conversation about a child’s confidence and sport is not a clinical upsell, and it does not trip the commercial-motive concern identified in the previous section. The framing and the insight reinforce one another.</w:t>
      </w:r>
    </w:p>
    <w:p>
      <w:pPr>
        <w:spacing w:after="140" w:line="276"/>
      </w:pPr>
      <w:r>
        <w:rPr>
          <w:rFonts w:ascii="Calibri" w:cs="Calibri" w:eastAsia="Calibri" w:hAnsi="Calibri"/>
          <w:color w:val="2A2A2A"/>
          <w:sz w:val="21"/>
          <w:szCs w:val="21"/>
        </w:rPr>
        <w:t xml:space="preserve">The standing listening loop described earlier gave this a check against reality rather than theory alone: in periodic surveys, around 90% of children who tried contact lenses said they preferred them to glasses. That is a strong echo of the ACHIEVE finding above, from the population who actually mattered, in their own words rather than a researcher’s instrument — and it is largely why I trusted the framing enough to build the rest of the architecture on it.</w:t>
      </w:r>
    </w:p>
    <w:p>
      <w:pPr>
        <w:pStyle w:val="Heading2"/>
        <w:spacing w:after="100" w:before="220"/>
      </w:pPr>
      <w:r>
        <w:rPr>
          <w:rFonts w:ascii="Calibri" w:cs="Calibri" w:eastAsia="Calibri" w:hAnsi="Calibri"/>
          <w:b/>
          <w:bCs/>
          <w:color w:val="2E74B5"/>
          <w:sz w:val="22"/>
          <w:szCs w:val="22"/>
        </w:rPr>
        <w:t xml:space="preserve">Precision and the ethical line</w:t>
      </w:r>
    </w:p>
    <w:p>
      <w:pPr>
        <w:spacing w:after="140" w:line="276"/>
      </w:pPr>
      <w:r>
        <w:rPr>
          <w:rFonts w:ascii="Calibri" w:cs="Calibri" w:eastAsia="Calibri" w:hAnsi="Calibri"/>
          <w:color w:val="2A2A2A"/>
          <w:sz w:val="21"/>
          <w:szCs w:val="21"/>
        </w:rPr>
        <w:t xml:space="preserve">The evidence I relied on is the ACHIEVE randomised trial (Walline et al., 2009): 484 children, mean age 10.4, randomised to spectacles or contact lenses over three years. Contact lens wearers showed significantly greater improvement in self-perception of physical appearance, athletic competence, social acceptance and scholastic competence. Global self-worth improved in both groups, with no significant difference between them — so the defensible claim is improved self-perception in specific domains, not "higher self-esteem". I state it that way because the weaker claim is the true one, and because the distinction is exactly the sort a well-read parent, or a competitor, will test.</w:t>
      </w:r>
    </w:p>
    <w:p>
      <w:pPr>
        <w:spacing w:after="140" w:line="276"/>
      </w:pPr>
      <w:r>
        <w:rPr>
          <w:rFonts w:ascii="Calibri" w:cs="Calibri" w:eastAsia="Calibri" w:hAnsi="Calibri"/>
          <w:color w:val="2A2A2A"/>
          <w:sz w:val="21"/>
          <w:szCs w:val="21"/>
        </w:rPr>
        <w:t xml:space="preserve">There is also a line to hold here. There is a meaningful difference between telling a parent their child may feel more confident and implying that children who wear spectacles are less socially acceptable. I drew that line deliberately and stayed on the near side of it — partly because it is right, and partly for the same practical reason I refused to trade on fear: a claim that would embarrass you if the parent saw the reasoning behind it will not survive a five-year relationship.</w:t>
      </w:r>
    </w:p>
    <w:p>
      <w:pPr>
        <w:pStyle w:val="Heading1"/>
        <w:spacing w:after="160" w:before="340"/>
      </w:pPr>
      <w:r>
        <w:rPr>
          <w:rFonts w:ascii="Calibri" w:cs="Calibri" w:eastAsia="Calibri" w:hAnsi="Calibri"/>
          <w:b/>
          <w:bCs/>
          <w:color w:val="1F3864"/>
          <w:sz w:val="28"/>
          <w:szCs w:val="28"/>
        </w:rPr>
        <w:t xml:space="preserve">5. The intervention architecture</w:t>
      </w:r>
    </w:p>
    <w:p>
      <w:pPr>
        <w:spacing w:after="140" w:line="276"/>
      </w:pPr>
      <w:r>
        <w:rPr>
          <w:rFonts w:ascii="Calibri" w:cs="Calibri" w:eastAsia="Calibri" w:hAnsi="Calibri"/>
          <w:color w:val="2A2A2A"/>
          <w:sz w:val="21"/>
          <w:szCs w:val="21"/>
        </w:rPr>
        <w:t xml:space="preserve">Four layers, each addressing a different barrier at a different point. They are described here by behavioural function rather than by content; the protocols, content architecture and belief maps themselves are proprietary.</w:t>
      </w:r>
    </w:p>
    <w:p>
      <w:pPr>
        <w:pStyle w:val="Heading2"/>
        <w:spacing w:after="100" w:before="220"/>
      </w:pPr>
      <w:r>
        <w:rPr>
          <w:rFonts w:ascii="Calibri" w:cs="Calibri" w:eastAsia="Calibri" w:hAnsi="Calibri"/>
          <w:b/>
          <w:bCs/>
          <w:color w:val="2E74B5"/>
          <w:sz w:val="22"/>
          <w:szCs w:val="22"/>
        </w:rPr>
        <w:t xml:space="preserve">Layer 1 — Shaping the decision before the consultation (See-Think-Do-Care)</w:t>
      </w:r>
    </w:p>
    <w:p>
      <w:pPr>
        <w:spacing w:after="140" w:line="276"/>
      </w:pPr>
      <w:r>
        <w:rPr>
          <w:rFonts w:ascii="Calibri" w:cs="Calibri" w:eastAsia="Calibri" w:hAnsi="Calibri"/>
          <w:color w:val="2A2A2A"/>
          <w:sz w:val="21"/>
          <w:szCs w:val="21"/>
        </w:rPr>
        <w:t xml:space="preserve">Content mapped to decision stage rather than to a sales funnel, so that a parent arrived already informed and already inclined to trust. Two things mattered more than reach. First, this directly reduces the Overwhelmed barrier: a parent who has already built a basis for comparison is not making a cold choice in a consulting room. Second, authority and social proof were carried by third parties — press, parent communities, professional referral — rather than asserted by me. Information that arrives from a non-selling context does not trigger the commercial-motive concern. With no advertising budget, attention had to be earned rather than bought, which turned out to be an advantage rather than a constraint.</w:t>
      </w:r>
    </w:p>
    <w:p>
      <w:pPr>
        <w:spacing w:after="140" w:line="276"/>
      </w:pPr>
      <w:r>
        <w:rPr>
          <w:rFonts w:ascii="Calibri" w:cs="Calibri" w:eastAsia="Calibri" w:hAnsi="Calibri"/>
          <w:color w:val="2A2A2A"/>
          <w:sz w:val="21"/>
          <w:szCs w:val="21"/>
        </w:rPr>
        <w:t xml:space="preserve">In practice, the reach channel was written content on the website, structured against the See-Think-Do-Care stages rather than as generic blog output. It was never intended to compete on volume with a national chain’s marketing spend, and it did not need to — its job was to pre-answer the Overwhelmed barrier and let authority arrive before the appointment, not to generate traffic at scale. This is consistent with the outcome, not a contradiction of it: reach stayed structurally small and organic throughout, and the return came from what conversion and adherence did with it.</w:t>
      </w:r>
    </w:p>
    <w:p>
      <w:pPr>
        <w:pStyle w:val="Heading2"/>
        <w:spacing w:after="100" w:before="220"/>
      </w:pPr>
      <w:r>
        <w:rPr>
          <w:rFonts w:ascii="Calibri" w:cs="Calibri" w:eastAsia="Calibri" w:hAnsi="Calibri"/>
          <w:b/>
          <w:bCs/>
          <w:color w:val="2E74B5"/>
          <w:sz w:val="22"/>
          <w:szCs w:val="22"/>
        </w:rPr>
        <w:t xml:space="preserve">Layer 2 — A structured consultation protocol</w:t>
      </w:r>
    </w:p>
    <w:p>
      <w:pPr>
        <w:spacing w:after="140" w:line="276"/>
      </w:pPr>
      <w:r>
        <w:rPr>
          <w:rFonts w:ascii="Calibri" w:cs="Calibri" w:eastAsia="Calibri" w:hAnsi="Calibri"/>
          <w:color w:val="2A2A2A"/>
          <w:sz w:val="21"/>
          <w:szCs w:val="21"/>
        </w:rPr>
        <w:t xml:space="preserve">I built a fixed-sequence conversation protocol, encoded in a bespoke mnemonic so that it could be delivered consistently under time pressure and, critically, taught to others rather than living in my head. The sequence is deliberately ordered to resolve concern before building necessity, and to let the parent arrive at the conclusion themselves rather than receive it.</w:t>
      </w:r>
    </w:p>
    <w:p>
      <w:pPr>
        <w:spacing w:after="140" w:line="276"/>
      </w:pPr>
      <w:r>
        <w:rPr>
          <w:rFonts w:ascii="Calibri" w:cs="Calibri" w:eastAsia="Calibri" w:hAnsi="Calibri"/>
          <w:color w:val="2A2A2A"/>
          <w:sz w:val="21"/>
          <w:szCs w:val="21"/>
        </w:rPr>
        <w:t xml:space="preserve">This layer is also the intervention on the clinician. It solved my own Capability and Motivation constraints at the same time as the parent’s: a protocol removes the need to decide, in the moment, how hard to push — which is precisely the decision that makes clinicians uncomfortable and makes parents suspicious.</w:t>
      </w:r>
    </w:p>
    <w:p>
      <w:pPr>
        <w:spacing w:after="140" w:line="276"/>
      </w:pPr>
      <w:r>
        <w:rPr>
          <w:rFonts w:ascii="Calibri" w:cs="Calibri" w:eastAsia="Calibri" w:hAnsi="Calibri"/>
          <w:color w:val="2A2A2A"/>
          <w:sz w:val="21"/>
          <w:szCs w:val="21"/>
        </w:rPr>
        <w:t xml:space="preserve">Roughly 80% of parent consultations converted to enrolment. Given that the topic was, on the surface, an unbudgeted expense for a symptom-free child, I read that figure as evidence that the sequencing was doing more work than the content — the protocol was resolving concern before it ever reached the point of asking for a decision.</w:t>
      </w:r>
    </w:p>
    <w:p>
      <w:pPr>
        <w:pStyle w:val="Heading2"/>
        <w:spacing w:after="100" w:before="220"/>
      </w:pPr>
      <w:r>
        <w:rPr>
          <w:rFonts w:ascii="Calibri" w:cs="Calibri" w:eastAsia="Calibri" w:hAnsi="Calibri"/>
          <w:b/>
          <w:bCs/>
          <w:color w:val="2E74B5"/>
          <w:sz w:val="22"/>
          <w:szCs w:val="22"/>
        </w:rPr>
        <w:t xml:space="preserve">Layer 3 — Designing the decision point (Fogg, MINDSPACE, EAST)</w:t>
      </w:r>
    </w:p>
    <w:p>
      <w:pPr>
        <w:spacing w:after="140" w:line="276"/>
      </w:pPr>
      <w:r>
        <w:rPr>
          <w:rFonts w:ascii="Calibri" w:cs="Calibri" w:eastAsia="Calibri" w:hAnsi="Calibri"/>
          <w:color w:val="2A2A2A"/>
          <w:sz w:val="21"/>
          <w:szCs w:val="21"/>
        </w:rPr>
        <w:t xml:space="preserve">Fogg’s B=MAP made the failure legible. Parents at the decision point generally had motivation and ability. What was missing, or mistimed, was the prompt. I moved it to land at peak motivation — immediately after the child’s own experience of the outcome — rather than at the end of an appointment, when cognitive load is highest and cost is most salient.</w:t>
      </w:r>
    </w:p>
    <w:p>
      <w:pPr>
        <w:spacing w:after="140" w:line="276"/>
      </w:pPr>
      <w:r>
        <w:rPr>
          <w:rFonts w:ascii="Calibri" w:cs="Calibri" w:eastAsia="Calibri" w:hAnsi="Calibri"/>
          <w:color w:val="2A2A2A"/>
          <w:sz w:val="21"/>
          <w:szCs w:val="21"/>
        </w:rPr>
        <w:t xml:space="preserve">From MINDSPACE, four levers did most of the work:</w:t>
      </w:r>
    </w:p>
    <w:p>
      <w:pPr>
        <w:pStyle w:val="ListParagraph"/>
        <w:numPr>
          <w:ilvl w:val="0"/>
          <w:numId w:val="3"/>
        </w:numPr>
        <w:spacing w:after="90" w:line="276"/>
      </w:pPr>
      <w:r>
        <w:rPr>
          <w:rFonts w:ascii="Calibri" w:cs="Calibri" w:eastAsia="Calibri" w:hAnsi="Calibri"/>
          <w:b/>
          <w:bCs/>
          <w:color w:val="2A2A2A"/>
          <w:sz w:val="21"/>
          <w:szCs w:val="21"/>
        </w:rPr>
        <w:t xml:space="preserve">Messenger. </w:t>
      </w:r>
      <w:r>
        <w:rPr>
          <w:rFonts w:ascii="Calibri" w:cs="Calibri" w:eastAsia="Calibri" w:hAnsi="Calibri"/>
          <w:color w:val="2A2A2A"/>
          <w:sz w:val="21"/>
          <w:szCs w:val="21"/>
        </w:rPr>
        <w:t xml:space="preserve">Who says it, and the deliberate separation of clinical credibility from commercial interest.</w:t>
      </w:r>
    </w:p>
    <w:p>
      <w:pPr>
        <w:pStyle w:val="ListParagraph"/>
        <w:numPr>
          <w:ilvl w:val="0"/>
          <w:numId w:val="3"/>
        </w:numPr>
        <w:spacing w:after="90" w:line="276"/>
      </w:pPr>
      <w:r>
        <w:rPr>
          <w:rFonts w:ascii="Calibri" w:cs="Calibri" w:eastAsia="Calibri" w:hAnsi="Calibri"/>
          <w:b/>
          <w:bCs/>
          <w:color w:val="2A2A2A"/>
          <w:sz w:val="21"/>
          <w:szCs w:val="21"/>
        </w:rPr>
        <w:t xml:space="preserve">Salience. </w:t>
      </w:r>
      <w:r>
        <w:rPr>
          <w:rFonts w:ascii="Calibri" w:cs="Calibri" w:eastAsia="Calibri" w:hAnsi="Calibri"/>
          <w:color w:val="2A2A2A"/>
          <w:sz w:val="21"/>
          <w:szCs w:val="21"/>
        </w:rPr>
        <w:t xml:space="preserve">Making a slow, invisible risk visible and specific to this child’s own data, rather than to a population statistic. Personal data is felt; population data is filed.</w:t>
      </w:r>
    </w:p>
    <w:p>
      <w:pPr>
        <w:pStyle w:val="ListParagraph"/>
        <w:numPr>
          <w:ilvl w:val="0"/>
          <w:numId w:val="3"/>
        </w:numPr>
        <w:spacing w:after="90" w:line="276"/>
      </w:pPr>
      <w:r>
        <w:rPr>
          <w:rFonts w:ascii="Calibri" w:cs="Calibri" w:eastAsia="Calibri" w:hAnsi="Calibri"/>
          <w:b/>
          <w:bCs/>
          <w:color w:val="2A2A2A"/>
          <w:sz w:val="21"/>
          <w:szCs w:val="21"/>
        </w:rPr>
        <w:t xml:space="preserve">Defaults. </w:t>
      </w:r>
      <w:r>
        <w:rPr>
          <w:rFonts w:ascii="Calibri" w:cs="Calibri" w:eastAsia="Calibri" w:hAnsi="Calibri"/>
          <w:color w:val="2A2A2A"/>
          <w:sz w:val="21"/>
          <w:szCs w:val="21"/>
        </w:rPr>
        <w:t xml:space="preserve">Defining what the recommended pathway is if the parent does nothing.</w:t>
      </w:r>
    </w:p>
    <w:p>
      <w:pPr>
        <w:pStyle w:val="ListParagraph"/>
        <w:numPr>
          <w:ilvl w:val="0"/>
          <w:numId w:val="3"/>
        </w:numPr>
        <w:spacing w:after="90" w:line="276"/>
      </w:pPr>
      <w:r>
        <w:rPr>
          <w:rFonts w:ascii="Calibri" w:cs="Calibri" w:eastAsia="Calibri" w:hAnsi="Calibri"/>
          <w:b/>
          <w:bCs/>
          <w:color w:val="2A2A2A"/>
          <w:sz w:val="21"/>
          <w:szCs w:val="21"/>
        </w:rPr>
        <w:t xml:space="preserve">Commitment. </w:t>
      </w:r>
      <w:r>
        <w:rPr>
          <w:rFonts w:ascii="Calibri" w:cs="Calibri" w:eastAsia="Calibri" w:hAnsi="Calibri"/>
          <w:color w:val="2A2A2A"/>
          <w:sz w:val="21"/>
          <w:szCs w:val="21"/>
        </w:rPr>
        <w:t xml:space="preserve">Small, early, low-cost commitments preceding the large one.</w:t>
      </w:r>
    </w:p>
    <w:p>
      <w:pPr>
        <w:spacing w:after="140" w:line="276"/>
      </w:pPr>
      <w:r>
        <w:rPr>
          <w:rFonts w:ascii="Calibri" w:cs="Calibri" w:eastAsia="Calibri" w:hAnsi="Calibri"/>
          <w:color w:val="2A2A2A"/>
          <w:sz w:val="21"/>
          <w:szCs w:val="21"/>
        </w:rPr>
        <w:t xml:space="preserve">Affect is the fifth, and the one I handled most carefully. Parental fear is trivially easy to amplify in this field and it converts in the short term. I took the deliberate decision to work with that fear without weaponising it — partly because it is the right line, and partly because fear-driven conversion does not survive a five-year adherence requirement. </w:t>
      </w:r>
    </w:p>
    <w:p>
      <w:pPr>
        <w:spacing w:after="140" w:line="276"/>
      </w:pPr>
      <w:r>
        <w:rPr>
          <w:rFonts w:ascii="Calibri" w:cs="Calibri" w:eastAsia="Calibri" w:hAnsi="Calibri"/>
          <w:color w:val="2A2A2A"/>
          <w:sz w:val="21"/>
          <w:szCs w:val="21"/>
        </w:rPr>
        <w:t xml:space="preserve">EAST then covered the unglamorous part: booking, forms, the sequence and length of fitting appointments, and follow-up. A meaningful share of the loss was never persuasion failure at all. It was friction.</w:t>
      </w:r>
    </w:p>
    <w:p>
      <w:pPr>
        <w:pStyle w:val="Heading2"/>
        <w:spacing w:after="100" w:before="220"/>
      </w:pPr>
      <w:r>
        <w:rPr>
          <w:rFonts w:ascii="Calibri" w:cs="Calibri" w:eastAsia="Calibri" w:hAnsi="Calibri"/>
          <w:b/>
          <w:bCs/>
          <w:color w:val="2E74B5"/>
          <w:sz w:val="22"/>
          <w:szCs w:val="22"/>
        </w:rPr>
        <w:t xml:space="preserve">Layer 4 — The adherence loop</w:t>
      </w:r>
    </w:p>
    <w:p>
      <w:pPr>
        <w:spacing w:after="140" w:line="276"/>
      </w:pPr>
      <w:r>
        <w:rPr>
          <w:rFonts w:ascii="Calibri" w:cs="Calibri" w:eastAsia="Calibri" w:hAnsi="Calibri"/>
          <w:color w:val="2A2A2A"/>
          <w:sz w:val="21"/>
          <w:szCs w:val="21"/>
        </w:rPr>
        <w:t xml:space="preserve">The commercial model is recurring revenue. The behavioural model underneath it is adherence — and this layer is the reason the revenue recurs rather than churns.</w:t>
      </w:r>
    </w:p>
    <w:p>
      <w:pPr>
        <w:pStyle w:val="ListParagraph"/>
        <w:numPr>
          <w:ilvl w:val="0"/>
          <w:numId w:val="3"/>
        </w:numPr>
        <w:spacing w:after="90" w:line="276"/>
      </w:pPr>
      <w:r>
        <w:rPr>
          <w:rFonts w:ascii="Calibri" w:cs="Calibri" w:eastAsia="Calibri" w:hAnsi="Calibri"/>
          <w:color w:val="2A2A2A"/>
          <w:sz w:val="21"/>
          <w:szCs w:val="21"/>
        </w:rPr>
        <w:t xml:space="preserve">Reinforcement designed around the child, not only the parent. Building the child’s own capability and confidence turned out to predict continuation more strongly than the parent’s conviction did.</w:t>
      </w:r>
    </w:p>
    <w:p>
      <w:pPr>
        <w:pStyle w:val="ListParagraph"/>
        <w:numPr>
          <w:ilvl w:val="0"/>
          <w:numId w:val="3"/>
        </w:numPr>
        <w:spacing w:after="90" w:line="276"/>
      </w:pPr>
      <w:r>
        <w:rPr>
          <w:rFonts w:ascii="Calibri" w:cs="Calibri" w:eastAsia="Calibri" w:hAnsi="Calibri"/>
          <w:color w:val="2A2A2A"/>
          <w:sz w:val="21"/>
          <w:szCs w:val="21"/>
        </w:rPr>
        <w:t xml:space="preserve">Scheduled contact that is structurally independent of any sale, which keeps the relationship from re-triggering the commercial-motive concern at every touchpoint.</w:t>
      </w:r>
    </w:p>
    <w:p>
      <w:pPr>
        <w:pStyle w:val="ListParagraph"/>
        <w:numPr>
          <w:ilvl w:val="0"/>
          <w:numId w:val="3"/>
        </w:numPr>
        <w:spacing w:after="90" w:line="276"/>
      </w:pPr>
      <w:r>
        <w:rPr>
          <w:rFonts w:ascii="Calibri" w:cs="Calibri" w:eastAsia="Calibri" w:hAnsi="Calibri"/>
          <w:color w:val="2A2A2A"/>
          <w:sz w:val="21"/>
          <w:szCs w:val="21"/>
        </w:rPr>
        <w:t xml:space="preserve">Visible progress feedback, which directly attacks the "success is invisible" problem — the largest single driver of drop-off in any preventative treatment.</w:t>
      </w:r>
    </w:p>
    <w:p>
      <w:pPr>
        <w:spacing w:after="140" w:line="276"/>
      </w:pPr>
      <w:r>
        <w:rPr>
          <w:rFonts w:ascii="Calibri" w:cs="Calibri" w:eastAsia="Calibri" w:hAnsi="Calibri"/>
          <w:color w:val="2A2A2A"/>
          <w:sz w:val="21"/>
          <w:szCs w:val="21"/>
        </w:rPr>
        <w:t xml:space="preserve">Of the four layers, this is the one the outcome data speaks to most directly.</w:t>
      </w:r>
    </w:p>
    <w:p>
      <w:pPr>
        <w:pStyle w:val="Heading2"/>
        <w:spacing w:after="100" w:before="220"/>
      </w:pPr>
      <w:r>
        <w:rPr>
          <w:rFonts w:ascii="Calibri" w:cs="Calibri" w:eastAsia="Calibri" w:hAnsi="Calibri"/>
          <w:b/>
          <w:bCs/>
          <w:color w:val="2E74B5"/>
          <w:sz w:val="22"/>
          <w:szCs w:val="22"/>
        </w:rPr>
        <w:t xml:space="preserve">One mapped journey, not four separate tactics</w:t>
      </w:r>
    </w:p>
    <w:p>
      <w:pPr>
        <w:spacing w:after="140" w:line="276"/>
      </w:pPr>
      <w:r>
        <w:rPr>
          <w:rFonts w:ascii="Calibri" w:cs="Calibri" w:eastAsia="Calibri" w:hAnsi="Calibri"/>
          <w:color w:val="2A2A2A"/>
          <w:sz w:val="21"/>
          <w:szCs w:val="21"/>
        </w:rPr>
        <w:t xml:space="preserve">These four layers were not designed independently and then bolted together. I mapped the parent and child journey end-to-end — from the point a possible problem first registers, through the empathy-mapped search and evaluation stage, into the consultation, and on through the adherence loop above — and each layer was built as a stage of that single journey. That is what let one line of reasoning run through content, consultation, decision point and follow-up without contradicting itself at any handoff: lower concern before raising necessity, make the benefit verifiable, keep the clinician’s motive separate from the recommendation.</w:t>
      </w:r>
    </w:p>
    <w:p>
      <w:pPr>
        <w:pStyle w:val="Heading1"/>
        <w:spacing w:after="160" w:before="340"/>
      </w:pPr>
      <w:r>
        <w:rPr>
          <w:rFonts w:ascii="Calibri" w:cs="Calibri" w:eastAsia="Calibri" w:hAnsi="Calibri"/>
          <w:b/>
          <w:bCs/>
          <w:color w:val="1F3864"/>
          <w:sz w:val="28"/>
          <w:szCs w:val="28"/>
        </w:rPr>
        <w:t xml:space="preserve">6. Outcome</w:t>
      </w:r>
    </w:p>
    <w:tbl>
      <w:tblPr>
        <w:tblW w:type="dxa" w:w="9360"/>
        <w:tblBorders>
          <w:top w:val="single" w:color="C7D3E3" w:sz="2"/>
          <w:left w:val="single" w:color="2E74B5" w:sz="18"/>
          <w:bottom w:val="single" w:color="C7D3E3" w:sz="2"/>
          <w:right w:val="single" w:color="C7D3E3" w:sz="2"/>
          <w:insideH w:val="none" w:color="FFFFFF" w:sz="0"/>
          <w:insideV w:val="none" w:color="FFFFFF" w:sz="0"/>
        </w:tblBorders>
      </w:tblPr>
      <w:tblGrid>
        <w:gridCol w:w="9360"/>
      </w:tblGrid>
      <w:tr>
        <w:tc>
          <w:tcPr>
            <w:tcW w:type="dxa" w:w="9360"/>
            <w:shd w:fill="F4F8FC" w:color="auto" w:val="clear"/>
            <w:tcMar>
              <w:top w:type="dxa" w:w="200"/>
              <w:left w:type="dxa" w:w="240"/>
              <w:bottom w:type="dxa" w:w="160"/>
              <w:right w:type="dxa" w:w="240"/>
            </w:tcMar>
          </w:tcPr>
          <w:p>
            <w:pPr>
              <w:spacing w:after="40" w:line="276"/>
            </w:pPr>
            <w:r>
              <w:rPr>
                <w:rFonts w:ascii="Calibri" w:cs="Calibri" w:eastAsia="Calibri" w:hAnsi="Calibri"/>
                <w:b/>
                <w:bCs/>
                <w:color w:val="1F3864"/>
                <w:sz w:val="30"/>
                <w:szCs w:val="30"/>
              </w:rPr>
              <w:t xml:space="preserve">£200,000 annual recurring revenue</w:t>
            </w:r>
          </w:p>
          <w:p>
            <w:pPr>
              <w:spacing w:after="140" w:line="276"/>
            </w:pPr>
            <w:r>
              <w:rPr>
                <w:rFonts w:ascii="Calibri" w:cs="Calibri" w:eastAsia="Calibri" w:hAnsi="Calibri"/>
                <w:b/>
                <w:bCs/>
                <w:color w:val="1F3864"/>
                <w:sz w:val="22"/>
                <w:szCs w:val="22"/>
              </w:rPr>
              <w:t xml:space="preserve">Under 6% attrition across four years  ·  ~80% consultation-to-enrolment conversion</w:t>
            </w:r>
          </w:p>
          <w:p>
            <w:pPr>
              <w:pStyle w:val="ListParagraph"/>
              <w:numPr>
                <w:ilvl w:val="0"/>
                <w:numId w:val="3"/>
              </w:numPr>
              <w:spacing w:after="90" w:line="276"/>
            </w:pPr>
            <w:r>
              <w:rPr>
                <w:rFonts w:ascii="Calibri" w:cs="Calibri" w:eastAsia="Calibri" w:hAnsi="Calibri"/>
                <w:color w:val="2A2A2A"/>
                <w:sz w:val="21"/>
                <w:szCs w:val="21"/>
              </w:rPr>
              <w:t xml:space="preserve">Built from a standing start over approximately five years.</w:t>
            </w:r>
          </w:p>
          <w:p>
            <w:pPr>
              <w:pStyle w:val="ListParagraph"/>
              <w:numPr>
                <w:ilvl w:val="0"/>
                <w:numId w:val="3"/>
              </w:numPr>
              <w:spacing w:after="90" w:line="276"/>
            </w:pPr>
            <w:r>
              <w:rPr>
                <w:rFonts w:ascii="Calibri" w:cs="Calibri" w:eastAsia="Calibri" w:hAnsi="Calibri"/>
                <w:color w:val="2A2A2A"/>
                <w:sz w:val="21"/>
                <w:szCs w:val="21"/>
              </w:rPr>
              <w:t xml:space="preserve">Single clinician. No paid advertising at any point in the period.</w:t>
            </w:r>
          </w:p>
          <w:p>
            <w:pPr>
              <w:pStyle w:val="ListParagraph"/>
              <w:numPr>
                <w:ilvl w:val="0"/>
                <w:numId w:val="3"/>
              </w:numPr>
              <w:spacing w:after="90" w:line="276"/>
            </w:pPr>
            <w:r>
              <w:rPr>
                <w:rFonts w:ascii="Calibri" w:cs="Calibri" w:eastAsia="Calibri" w:hAnsi="Calibri"/>
                <w:color w:val="2A2A2A"/>
                <w:sz w:val="21"/>
                <w:szCs w:val="21"/>
              </w:rPr>
              <w:t xml:space="preserve">Growth driven by parent referral and organic search.</w:t>
            </w:r>
          </w:p>
          <w:p>
            <w:pPr>
              <w:pStyle w:val="ListParagraph"/>
              <w:numPr>
                <w:ilvl w:val="0"/>
                <w:numId w:val="3"/>
              </w:numPr>
              <w:spacing w:after="90" w:line="276"/>
            </w:pPr>
            <w:r>
              <w:rPr>
                <w:rFonts w:ascii="Calibri" w:cs="Calibri" w:eastAsia="Calibri" w:hAnsi="Calibri"/>
                <w:color w:val="2A2A2A"/>
                <w:sz w:val="21"/>
                <w:szCs w:val="21"/>
              </w:rPr>
              <w:t xml:space="preserve">Clinic capacity consistently booked one to two months ahead — scarcity arrived as a consequence of the work, and then functioned as a further authority and social-proof signal in its own right.</w:t>
            </w:r>
          </w:p>
          <w:p>
            <w:pPr>
              <w:pStyle w:val="ListParagraph"/>
              <w:numPr>
                <w:ilvl w:val="0"/>
                <w:numId w:val="3"/>
              </w:numPr>
              <w:spacing w:after="90" w:line="276"/>
            </w:pPr>
            <w:r>
              <w:rPr>
                <w:rFonts w:ascii="Calibri" w:cs="Calibri" w:eastAsia="Calibri" w:hAnsi="Calibri"/>
                <w:color w:val="2A2A2A"/>
                <w:sz w:val="21"/>
                <w:szCs w:val="21"/>
              </w:rPr>
              <w:t xml:space="preserve">Achieved while competing directly against multi-site national chains with national marketing budgets.</w:t>
            </w:r>
          </w:p>
        </w:tc>
      </w:tr>
    </w:tbl>
    <w:p>
      <w:pPr>
        <w:spacing w:after="220"/>
      </w:pPr>
      <w:r>
        <w:rPr>
          <w:sz w:val="2"/>
          <w:szCs w:val="2"/>
        </w:rPr>
        <w:t xml:space="preserve"/>
      </w:r>
    </w:p>
    <w:p>
      <w:pPr>
        <w:spacing w:after="140" w:line="276"/>
      </w:pPr>
      <w:r>
        <w:rPr>
          <w:rFonts w:ascii="Calibri" w:cs="Calibri" w:eastAsia="Calibri" w:hAnsi="Calibri"/>
          <w:color w:val="2A2A2A"/>
          <w:sz w:val="21"/>
          <w:szCs w:val="21"/>
        </w:rPr>
        <w:t xml:space="preserve">The constraint set is the point. With no advertising budget and one clinician, reach was fixed. Essentially every unit of growth had to be extracted from conversion and retention — which is to say, from behaviour. That is an unusually clean attribution: there was no media spend to credit it to.</w:t>
      </w:r>
    </w:p>
    <w:p>
      <w:pPr>
        <w:pStyle w:val="Heading2"/>
        <w:spacing w:after="100" w:before="220"/>
      </w:pPr>
      <w:r>
        <w:rPr>
          <w:rFonts w:ascii="Calibri" w:cs="Calibri" w:eastAsia="Calibri" w:hAnsi="Calibri"/>
          <w:b/>
          <w:bCs/>
          <w:color w:val="2E74B5"/>
          <w:sz w:val="22"/>
          <w:szCs w:val="22"/>
        </w:rPr>
        <w:t xml:space="preserve">Why the attrition figure matters more than the revenue</w:t>
      </w:r>
    </w:p>
    <w:p>
      <w:pPr>
        <w:spacing w:after="140" w:line="276"/>
      </w:pPr>
      <w:r>
        <w:rPr>
          <w:rFonts w:ascii="Calibri" w:cs="Calibri" w:eastAsia="Calibri" w:hAnsi="Calibri"/>
          <w:color w:val="2A2A2A"/>
          <w:sz w:val="21"/>
          <w:szCs w:val="21"/>
        </w:rPr>
        <w:t xml:space="preserve">Acquisition is the easier half of this problem. Adherence is the hard half, and it is where preventative healthcare almost universally fails: an out-of-pocket, multi-year, non-essential treatment for a child who feels perfectly well, requiring daily effort, delivering no perceptible confirmation that it is working. That is close to a worst-case adherence profile, and single-figure attrition across four years is not the number that profile predicts.</w:t>
      </w:r>
    </w:p>
    <w:p>
      <w:pPr>
        <w:spacing w:after="140" w:line="276"/>
      </w:pPr>
      <w:r>
        <w:rPr>
          <w:rFonts w:ascii="Calibri" w:cs="Calibri" w:eastAsia="Calibri" w:hAnsi="Calibri"/>
          <w:color w:val="2A2A2A"/>
          <w:sz w:val="21"/>
          <w:szCs w:val="21"/>
        </w:rPr>
        <w:t xml:space="preserve">Revenue can be bought. Sustained adherence in these conditions cannot, and it is the outcome that most directly evidences the behavioural design rather than the marketing. It is also the number that validates the two most load-bearing decisions in the whole project: framing the offer around a benefit the family could verify every week, and refusing to build demand on fear — because fear-driven decisions do not survive four years of daily effort.</w:t>
      </w:r>
    </w:p>
    <w:p>
      <w:pPr>
        <w:pStyle w:val="Heading2"/>
        <w:spacing w:after="100" w:before="220"/>
      </w:pPr>
      <w:r>
        <w:rPr>
          <w:rFonts w:ascii="Calibri" w:cs="Calibri" w:eastAsia="Calibri" w:hAnsi="Calibri"/>
          <w:b/>
          <w:bCs/>
          <w:color w:val="2E74B5"/>
          <w:sz w:val="22"/>
          <w:szCs w:val="22"/>
        </w:rPr>
        <w:t xml:space="preserve">The clinical outcome behind the retention</w:t>
      </w:r>
    </w:p>
    <w:p>
      <w:pPr>
        <w:spacing w:after="140" w:line="276"/>
      </w:pPr>
      <w:r>
        <w:rPr>
          <w:rFonts w:ascii="Calibri" w:cs="Calibri" w:eastAsia="Calibri" w:hAnsi="Calibri"/>
          <w:color w:val="2A2A2A"/>
          <w:sz w:val="21"/>
          <w:szCs w:val="21"/>
        </w:rPr>
        <w:t xml:space="preserve">Behind the attrition figure sits a clinical one: 79% of the children seen in their first year on the programme showed no measurable change in prescription. This is observational practice data rather than a controlled comparison — the caveat already raised in the next section — but it is consistent with the published efficacy range for myopia control, and it matters here for a specific reason. Progression control is, by definition, a non-event the parent cannot see. Measuring it and reporting it back is what converted an invisible outcome into a visible one, which is precisely the reinforcement Layer 4 depends on.</w:t>
      </w:r>
    </w:p>
    <w:p>
      <w:pPr>
        <w:pStyle w:val="Heading1"/>
        <w:spacing w:after="160" w:before="340"/>
      </w:pPr>
      <w:r>
        <w:rPr>
          <w:rFonts w:ascii="Calibri" w:cs="Calibri" w:eastAsia="Calibri" w:hAnsi="Calibri"/>
          <w:b/>
          <w:bCs/>
          <w:color w:val="1F3864"/>
          <w:sz w:val="28"/>
          <w:szCs w:val="28"/>
        </w:rPr>
        <w:t xml:space="preserve">7. What I would do differently</w:t>
      </w:r>
    </w:p>
    <w:p>
      <w:pPr>
        <w:pStyle w:val="ListParagraph"/>
        <w:numPr>
          <w:ilvl w:val="0"/>
          <w:numId w:val="3"/>
        </w:numPr>
        <w:spacing w:after="90" w:line="276"/>
      </w:pPr>
      <w:r>
        <w:rPr>
          <w:rFonts w:ascii="Calibri" w:cs="Calibri" w:eastAsia="Calibri" w:hAnsi="Calibri"/>
          <w:b/>
          <w:bCs/>
          <w:color w:val="2A2A2A"/>
          <w:sz w:val="21"/>
          <w:szCs w:val="21"/>
        </w:rPr>
        <w:t xml:space="preserve">Measure the mechanism, not only the outcome. </w:t>
      </w:r>
      <w:r>
        <w:rPr>
          <w:rFonts w:ascii="Calibri" w:cs="Calibri" w:eastAsia="Calibri" w:hAnsi="Calibri"/>
          <w:color w:val="2A2A2A"/>
          <w:sz w:val="21"/>
          <w:szCs w:val="21"/>
        </w:rPr>
        <w:t xml:space="preserve">My listening loop was qualitative and continuous, which kept the model honest but cannot demonstrate causation. I would score necessity and concern beliefs quantitatively at first contact and again after the consultation, using an adapted validated instrument, and run the protocol as a controlled comparison. That is the difference between showing that it worked and showing why. It is the honest weakness of the work.</w:t>
      </w:r>
    </w:p>
    <w:p>
      <w:pPr>
        <w:pStyle w:val="ListParagraph"/>
        <w:numPr>
          <w:ilvl w:val="0"/>
          <w:numId w:val="3"/>
        </w:numPr>
        <w:spacing w:after="90" w:line="276"/>
      </w:pPr>
      <w:r>
        <w:rPr>
          <w:rFonts w:ascii="Calibri" w:cs="Calibri" w:eastAsia="Calibri" w:hAnsi="Calibri"/>
          <w:b/>
          <w:bCs/>
          <w:color w:val="2A2A2A"/>
          <w:sz w:val="21"/>
          <w:szCs w:val="21"/>
        </w:rPr>
        <w:t xml:space="preserve">Characterise the discontinuations properly. </w:t>
      </w:r>
      <w:r>
        <w:rPr>
          <w:rFonts w:ascii="Calibri" w:cs="Calibri" w:eastAsia="Calibri" w:hAnsi="Calibri"/>
          <w:color w:val="2A2A2A"/>
          <w:sz w:val="21"/>
          <w:szCs w:val="21"/>
        </w:rPr>
        <w:t xml:space="preserve">I know how many families left. I never systematically coded why, and the distinction matters enormously — relocation, myopia stabilising and aging out of the programme are not the same event as a family deciding it was not worth continuing. A small number of exits with reason codes attached is worth considerably more analytically than the same exits expressed as a percentage.</w:t>
      </w:r>
    </w:p>
    <w:p>
      <w:pPr>
        <w:pStyle w:val="ListParagraph"/>
        <w:numPr>
          <w:ilvl w:val="0"/>
          <w:numId w:val="3"/>
        </w:numPr>
        <w:spacing w:after="90" w:line="276"/>
      </w:pPr>
      <w:r>
        <w:rPr>
          <w:rFonts w:ascii="Calibri" w:cs="Calibri" w:eastAsia="Calibri" w:hAnsi="Calibri"/>
          <w:b/>
          <w:bCs/>
          <w:color w:val="2A2A2A"/>
          <w:sz w:val="21"/>
          <w:szCs w:val="21"/>
        </w:rPr>
        <w:t xml:space="preserve">Design the motivation migration deliberately. </w:t>
      </w:r>
      <w:r>
        <w:rPr>
          <w:rFonts w:ascii="Calibri" w:cs="Calibri" w:eastAsia="Calibri" w:hAnsi="Calibri"/>
          <w:color w:val="2A2A2A"/>
          <w:sz w:val="21"/>
          <w:szCs w:val="21"/>
        </w:rPr>
        <w:t xml:space="preserve">If a family started for the immediate benefit, that reason can expire — the child stops playing sport, the novelty fades. The attrition figure suggests this did not bite over four years, but I cannot claim I engineered the handover from immediate reward to habit and identity. It happened, and I would rather it were designed than fortunate.</w:t>
      </w:r>
    </w:p>
    <w:p>
      <w:pPr>
        <w:pStyle w:val="ListParagraph"/>
        <w:numPr>
          <w:ilvl w:val="0"/>
          <w:numId w:val="3"/>
        </w:numPr>
        <w:spacing w:after="90" w:line="276"/>
      </w:pPr>
      <w:r>
        <w:rPr>
          <w:rFonts w:ascii="Calibri" w:cs="Calibri" w:eastAsia="Calibri" w:hAnsi="Calibri"/>
          <w:b/>
          <w:bCs/>
          <w:color w:val="2A2A2A"/>
          <w:sz w:val="21"/>
          <w:szCs w:val="21"/>
        </w:rPr>
        <w:t xml:space="preserve">Adopt a formal technique vocabulary earlier. </w:t>
      </w:r>
      <w:r>
        <w:rPr>
          <w:rFonts w:ascii="Calibri" w:cs="Calibri" w:eastAsia="Calibri" w:hAnsi="Calibri"/>
          <w:color w:val="2A2A2A"/>
          <w:sz w:val="21"/>
          <w:szCs w:val="21"/>
        </w:rPr>
        <w:t xml:space="preserve">Labelling the adherence loop against an established behaviour change technique taxonomy from the outset would have made the design easier to replicate, audit and hand over.</w:t>
      </w:r>
    </w:p>
    <w:p>
      <w:pPr>
        <w:pStyle w:val="ListParagraph"/>
        <w:numPr>
          <w:ilvl w:val="0"/>
          <w:numId w:val="3"/>
        </w:numPr>
        <w:spacing w:after="90" w:line="276"/>
      </w:pPr>
      <w:r>
        <w:rPr>
          <w:rFonts w:ascii="Calibri" w:cs="Calibri" w:eastAsia="Calibri" w:hAnsi="Calibri"/>
          <w:b/>
          <w:bCs/>
          <w:color w:val="2A2A2A"/>
          <w:sz w:val="21"/>
          <w:szCs w:val="21"/>
        </w:rPr>
        <w:t xml:space="preserve">Treat the child as a decision agent sooner. </w:t>
      </w:r>
      <w:r>
        <w:rPr>
          <w:rFonts w:ascii="Calibri" w:cs="Calibri" w:eastAsia="Calibri" w:hAnsi="Calibri"/>
          <w:color w:val="2A2A2A"/>
          <w:sz w:val="21"/>
          <w:szCs w:val="21"/>
        </w:rPr>
        <w:t xml:space="preserve">I under-weighted this for too long. The child’s capability and confidence were a better predictor of multi-year continuation than anything I measured on the parent side.</w:t>
      </w:r>
    </w:p>
    <w:p>
      <w:pPr>
        <w:pStyle w:val="ListParagraph"/>
        <w:numPr>
          <w:ilvl w:val="0"/>
          <w:numId w:val="3"/>
        </w:numPr>
        <w:spacing w:after="90" w:line="276"/>
      </w:pPr>
      <w:r>
        <w:rPr>
          <w:rFonts w:ascii="Calibri" w:cs="Calibri" w:eastAsia="Calibri" w:hAnsi="Calibri"/>
          <w:b/>
          <w:bCs/>
          <w:color w:val="2A2A2A"/>
          <w:sz w:val="21"/>
          <w:szCs w:val="21"/>
        </w:rPr>
        <w:t xml:space="preserve">Formalise the clinician-side intervention first. </w:t>
      </w:r>
      <w:r>
        <w:rPr>
          <w:rFonts w:ascii="Calibri" w:cs="Calibri" w:eastAsia="Calibri" w:hAnsi="Calibri"/>
          <w:color w:val="2A2A2A"/>
          <w:sz w:val="21"/>
          <w:szCs w:val="21"/>
        </w:rPr>
        <w:t xml:space="preserve">The largest single unlock was changing my own behaviour, not the parent’s. I arrived at that late, and I would now start there.</w:t>
      </w:r>
    </w:p>
    <w:p>
      <w:pPr>
        <w:pStyle w:val="ListParagraph"/>
        <w:numPr>
          <w:ilvl w:val="0"/>
          <w:numId w:val="3"/>
        </w:numPr>
        <w:spacing w:after="90" w:line="276"/>
      </w:pPr>
      <w:r>
        <w:rPr>
          <w:rFonts w:ascii="Calibri" w:cs="Calibri" w:eastAsia="Calibri" w:hAnsi="Calibri"/>
          <w:b/>
          <w:bCs/>
          <w:color w:val="2A2A2A"/>
          <w:sz w:val="21"/>
          <w:szCs w:val="21"/>
        </w:rPr>
        <w:t xml:space="preserve">Survey the families who declined. </w:t>
      </w:r>
      <w:r>
        <w:rPr>
          <w:rFonts w:ascii="Calibri" w:cs="Calibri" w:eastAsia="Calibri" w:hAnsi="Calibri"/>
          <w:color w:val="2A2A2A"/>
          <w:sz w:val="21"/>
          <w:szCs w:val="21"/>
        </w:rPr>
        <w:t xml:space="preserve">I surveyed the people who said yes. The parents who said no hold the barrier data, and studying only converters means the segmentation is built on the people the approach already suited.</w:t>
      </w:r>
    </w:p>
    <w:p>
      <w:pPr>
        <w:pStyle w:val="Heading1"/>
        <w:spacing w:after="160" w:before="340"/>
      </w:pPr>
      <w:r>
        <w:rPr>
          <w:rFonts w:ascii="Calibri" w:cs="Calibri" w:eastAsia="Calibri" w:hAnsi="Calibri"/>
          <w:b/>
          <w:bCs/>
          <w:color w:val="1F3864"/>
          <w:sz w:val="28"/>
          <w:szCs w:val="28"/>
        </w:rPr>
        <w:t xml:space="preserve">8. Where this transfers</w:t>
      </w:r>
    </w:p>
    <w:p>
      <w:pPr>
        <w:spacing w:after="140" w:line="276"/>
      </w:pPr>
      <w:r>
        <w:rPr>
          <w:rFonts w:ascii="Calibri" w:cs="Calibri" w:eastAsia="Calibri" w:hAnsi="Calibri"/>
          <w:color w:val="2A2A2A"/>
          <w:sz w:val="21"/>
          <w:szCs w:val="21"/>
        </w:rPr>
        <w:t xml:space="preserve">Four principles port cleanly out of optometry:</w:t>
      </w:r>
    </w:p>
    <w:p>
      <w:pPr>
        <w:pStyle w:val="ListParagraph"/>
        <w:numPr>
          <w:ilvl w:val="0"/>
          <w:numId w:val="4"/>
        </w:numPr>
        <w:spacing w:after="90" w:line="276"/>
      </w:pPr>
      <w:r>
        <w:rPr>
          <w:rFonts w:ascii="Calibri" w:cs="Calibri" w:eastAsia="Calibri" w:hAnsi="Calibri"/>
          <w:b/>
          <w:bCs/>
          <w:color w:val="2A2A2A"/>
          <w:sz w:val="21"/>
          <w:szCs w:val="21"/>
        </w:rPr>
        <w:t xml:space="preserve">When the decision-maker is not the beneficiary, model both — and model the practitioner too. </w:t>
      </w:r>
      <w:r>
        <w:rPr>
          <w:rFonts w:ascii="Calibri" w:cs="Calibri" w:eastAsia="Calibri" w:hAnsi="Calibri"/>
          <w:color w:val="2A2A2A"/>
          <w:sz w:val="21"/>
          <w:szCs w:val="21"/>
        </w:rPr>
        <w:t xml:space="preserve">The person delivering the intervention is inside the system, not outside it, and is frequently the binding constraint.</w:t>
      </w:r>
    </w:p>
    <w:p>
      <w:pPr>
        <w:pStyle w:val="ListParagraph"/>
        <w:numPr>
          <w:ilvl w:val="0"/>
          <w:numId w:val="4"/>
        </w:numPr>
        <w:spacing w:after="90" w:line="276"/>
      </w:pPr>
      <w:r>
        <w:rPr>
          <w:rFonts w:ascii="Calibri" w:cs="Calibri" w:eastAsia="Calibri" w:hAnsi="Calibri"/>
          <w:b/>
          <w:bCs/>
          <w:color w:val="2A2A2A"/>
          <w:sz w:val="21"/>
          <w:szCs w:val="21"/>
        </w:rPr>
        <w:t xml:space="preserve">In preventative decisions, necessity and concern move independently. </w:t>
      </w:r>
      <w:r>
        <w:rPr>
          <w:rFonts w:ascii="Calibri" w:cs="Calibri" w:eastAsia="Calibri" w:hAnsi="Calibri"/>
          <w:color w:val="2A2A2A"/>
          <w:sz w:val="21"/>
          <w:szCs w:val="21"/>
        </w:rPr>
        <w:t xml:space="preserve">Most organisations push hard on one and, in doing so, inflame the other. Sequence matters more than volume.</w:t>
      </w:r>
    </w:p>
    <w:p>
      <w:pPr>
        <w:pStyle w:val="ListParagraph"/>
        <w:numPr>
          <w:ilvl w:val="0"/>
          <w:numId w:val="4"/>
        </w:numPr>
        <w:spacing w:after="90" w:line="276"/>
      </w:pPr>
      <w:r>
        <w:rPr>
          <w:rFonts w:ascii="Calibri" w:cs="Calibri" w:eastAsia="Calibri" w:hAnsi="Calibri"/>
          <w:b/>
          <w:bCs/>
          <w:color w:val="2A2A2A"/>
          <w:sz w:val="21"/>
          <w:szCs w:val="21"/>
        </w:rPr>
        <w:t xml:space="preserve">If success is invisible, manufacture visible feedback, or people will stop. </w:t>
      </w:r>
      <w:r>
        <w:rPr>
          <w:rFonts w:ascii="Calibri" w:cs="Calibri" w:eastAsia="Calibri" w:hAnsi="Calibri"/>
          <w:color w:val="2A2A2A"/>
          <w:sz w:val="21"/>
          <w:szCs w:val="21"/>
        </w:rPr>
        <w:t xml:space="preserve">No confirming signal means no reinforcement, and eventually no behaviour.</w:t>
      </w:r>
    </w:p>
    <w:p>
      <w:pPr>
        <w:pStyle w:val="ListParagraph"/>
        <w:numPr>
          <w:ilvl w:val="0"/>
          <w:numId w:val="4"/>
        </w:numPr>
        <w:spacing w:after="90" w:line="276"/>
      </w:pPr>
      <w:r>
        <w:rPr>
          <w:rFonts w:ascii="Calibri" w:cs="Calibri" w:eastAsia="Calibri" w:hAnsi="Calibri"/>
          <w:b/>
          <w:bCs/>
          <w:color w:val="2A2A2A"/>
          <w:sz w:val="21"/>
          <w:szCs w:val="21"/>
        </w:rPr>
        <w:t xml:space="preserve">Find a certain, immediate benefit and lead with it. </w:t>
      </w:r>
      <w:r>
        <w:rPr>
          <w:rFonts w:ascii="Calibri" w:cs="Calibri" w:eastAsia="Calibri" w:hAnsi="Calibri"/>
          <w:color w:val="2A2A2A"/>
          <w:sz w:val="21"/>
          <w:szCs w:val="21"/>
        </w:rPr>
        <w:t xml:space="preserve">Almost every preventative product has one hiding in it, usually dismissed as a side benefit because it is not the clinically or commercially interesting part. It is worth more than the primary benefit, because it is the one the buyer can actually verify.</w:t>
      </w:r>
    </w:p>
    <w:p>
      <w:pPr>
        <w:spacing w:after="140" w:line="276"/>
      </w:pPr>
      <w:r>
        <w:rPr>
          <w:rFonts w:ascii="Calibri" w:cs="Calibri" w:eastAsia="Calibri" w:hAnsi="Calibri"/>
          <w:color w:val="2A2A2A"/>
          <w:sz w:val="21"/>
          <w:szCs w:val="21"/>
        </w:rPr>
        <w:t xml:space="preserve">Directly applicable to preventative healthcare, insurance, pensions and long-term savings, subscription health services, and any high-consideration recurring purchase where the payoff is a non-event.</w:t>
      </w:r>
    </w:p>
    <w:p>
      <w:pPr>
        <w:pStyle w:val="Heading1"/>
        <w:spacing w:after="160" w:before="340"/>
      </w:pPr>
      <w:r>
        <w:rPr>
          <w:rFonts w:ascii="Calibri" w:cs="Calibri" w:eastAsia="Calibri" w:hAnsi="Calibri"/>
          <w:b/>
          <w:bCs/>
          <w:color w:val="1F3864"/>
          <w:sz w:val="28"/>
          <w:szCs w:val="28"/>
        </w:rPr>
        <w:t xml:space="preserve">9. Frameworks applied</w:t>
      </w:r>
    </w:p>
    <w:tbl>
      <w:tblPr>
        <w:tblW w:type="dxa" w:w="9360"/>
        <w:tblBorders>
          <w:top w:val="single" w:color="D4DCE7" w:sz="2"/>
          <w:left w:val="none" w:color="FFFFFF" w:sz="0"/>
          <w:bottom w:val="single" w:color="D4DCE7" w:sz="2"/>
          <w:right w:val="none" w:color="FFFFFF" w:sz="0"/>
          <w:insideH w:val="single" w:color="E4EAF1" w:sz="2"/>
          <w:insideV w:val="none" w:color="FFFFFF" w:sz="0"/>
        </w:tblBorders>
      </w:tblPr>
      <w:tblGrid>
        <w:gridCol w:w="2500"/>
        <w:gridCol w:w="6860"/>
      </w:tblGrid>
      <w:tr>
        <w:tc>
          <w:tcPr>
            <w:tcW w:type="dxa" w:w="250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Framework</w:t>
            </w:r>
          </w:p>
        </w:tc>
        <w:tc>
          <w:tcPr>
            <w:tcW w:type="dxa" w:w="6860"/>
            <w:shd w:fill="1F3864"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How it was used</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Double Diamond</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Process discipline — enforced divergence and diagnosis before intervention design</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Empathy mapping</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Separated stated objections from felt objections; revealed that answering the stated one was counterproductive</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Continuous voice-of-customer research</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Periodic parent and child surveys as a standing instrument; supplied the language used in all materials</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Dual-audience research writing</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An industry article and a public article on the same subject, used to map the gap between professional and parent understanding</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COM-B</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Run separately on parent, child and clinician; surfaced the clinician as a primary constraint</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Williams model</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Segmented resistance into scared / overwhelmed / deferring, each requiring a structurally different response</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Necessity–Concerns (Horne &amp; Weinman, 2004)</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Adapted from adherence to pre-adoption and to proxy decision-making — the central insight of the project</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Value Proposition Canvas</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Translated pains and gains into service design; identified what parents were actually buying</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Regulatory focus and fit (Higgins)</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Matched a promotion-framed message to a promotion-minded parent, in place of the sector’s prevention framing</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Prospect theory — certainty effect</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Substituted a certain, immediate benefit for a probabilistic, distant one</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Present bias and immediate rewards</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Attached the behaviour to a reward that arrives now and repeats, rather than arguing against discounting</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Mental accounting (Thaler)</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Moved the purchase from the medical-expense budget to the aspirational child-spending budget</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Processing fluency</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Materials written in captured parent and child language rather than clinical vocabulary</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See-Think-Do-Care</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Pre-consultation content architecture mapped to decision stage rather than sales funnel; sole reach channel, delivered as organic written content</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End-to-end journey mapping</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Single mapped journey from first concern to multi-year adherence, underlying all four intervention layers</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Fogg B=MAP</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Diagnosed the failure as a prompt-timing problem rather than a motivation problem</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MINDSPACE</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Decision-point design: messenger, salience, defaults, commitment, and a deliberate ethical limit on affect</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EAST</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Friction removal across booking, forms, fitting sequence and follow-up</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Cialdini</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Authority and social proof sourced through third parties rather than self-asserted</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Bespoke system model</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Four-layer model of child, parent, clinician and organisational beliefs as an interacting system</w:t>
            </w:r>
          </w:p>
        </w:tc>
      </w:tr>
      <w:tr>
        <w:tc>
          <w:tcPr>
            <w:tcW w:type="dxa" w:w="2500"/>
            <w:tcMar>
              <w:top w:type="dxa" w:w="90"/>
              <w:left w:type="dxa" w:w="120"/>
              <w:bottom w:type="dxa" w:w="90"/>
              <w:right w:type="dxa" w:w="120"/>
            </w:tcMar>
          </w:tcPr>
          <w:p>
            <w:pPr>
              <w:spacing w:after="0" w:line="264"/>
            </w:pPr>
            <w:r>
              <w:rPr>
                <w:rFonts w:ascii="Calibri" w:cs="Calibri" w:eastAsia="Calibri" w:hAnsi="Calibri"/>
                <w:b/>
                <w:bCs/>
                <w:color w:val="1F3864"/>
                <w:sz w:val="20"/>
                <w:szCs w:val="20"/>
              </w:rPr>
              <w:t xml:space="preserve">Bespoke consultation protocol</w:t>
            </w:r>
          </w:p>
        </w:tc>
        <w:tc>
          <w:tcPr>
            <w:tcW w:type="dxa" w:w="6860"/>
            <w:tcMar>
              <w:top w:type="dxa" w:w="90"/>
              <w:left w:type="dxa" w:w="120"/>
              <w:bottom w:type="dxa" w:w="90"/>
              <w:right w:type="dxa" w:w="120"/>
            </w:tcMar>
          </w:tcPr>
          <w:p>
            <w:pPr>
              <w:spacing w:after="0" w:line="264"/>
            </w:pPr>
            <w:r>
              <w:rPr>
                <w:rFonts w:ascii="Calibri" w:cs="Calibri" w:eastAsia="Calibri" w:hAnsi="Calibri"/>
                <w:b w:val="false"/>
                <w:bCs w:val="false"/>
                <w:color w:val="2A2A2A"/>
                <w:sz w:val="20"/>
                <w:szCs w:val="20"/>
              </w:rPr>
              <w:t xml:space="preserve">Original mnemonic-encoded conversation sequence, designed for consistent delivery and transfer to a team</w:t>
            </w:r>
          </w:p>
        </w:tc>
      </w:tr>
    </w:tbl>
    <w:p>
      <w:pPr>
        <w:spacing w:after="260"/>
      </w:pPr>
      <w:r>
        <w:rPr>
          <w:sz w:val="2"/>
          <w:szCs w:val="2"/>
        </w:rPr>
        <w:t xml:space="preserve"/>
      </w:r>
    </w:p>
    <w:tbl>
      <w:tblPr>
        <w:tblW w:type="dxa" w:w="9360"/>
        <w:tblBorders>
          <w:top w:val="single" w:color="C7D3E3" w:sz="2"/>
          <w:left w:val="single" w:color="2E74B5" w:sz="18"/>
          <w:bottom w:val="single" w:color="C7D3E3" w:sz="2"/>
          <w:right w:val="single" w:color="C7D3E3" w:sz="2"/>
          <w:insideH w:val="none" w:color="FFFFFF" w:sz="0"/>
          <w:insideV w:val="none" w:color="FFFFFF" w:sz="0"/>
        </w:tblBorders>
      </w:tblPr>
      <w:tblGrid>
        <w:gridCol w:w="9360"/>
      </w:tblGrid>
      <w:tr>
        <w:tc>
          <w:tcPr>
            <w:tcW w:type="dxa" w:w="9360"/>
            <w:shd w:fill="F7F7F5" w:color="auto" w:val="clear"/>
            <w:tcMar>
              <w:top w:type="dxa" w:w="200"/>
              <w:left w:type="dxa" w:w="240"/>
              <w:bottom w:type="dxa" w:w="160"/>
              <w:right w:type="dxa" w:w="240"/>
            </w:tcMar>
          </w:tcPr>
          <w:p>
            <w:pPr>
              <w:spacing w:after="0" w:line="276"/>
            </w:pPr>
            <w:r>
              <w:rPr>
                <w:rFonts w:ascii="Calibri" w:cs="Calibri" w:eastAsia="Calibri" w:hAnsi="Calibri"/>
                <w:b/>
                <w:bCs/>
                <w:color w:val="1F3864"/>
                <w:sz w:val="21"/>
                <w:szCs w:val="21"/>
              </w:rPr>
              <w:t xml:space="preserve">A note on detail. </w:t>
            </w:r>
            <w:r>
              <w:rPr>
                <w:rFonts w:ascii="Calibri" w:cs="Calibri" w:eastAsia="Calibri" w:hAnsi="Calibri"/>
                <w:color w:val="2A2A2A"/>
                <w:sz w:val="21"/>
                <w:szCs w:val="21"/>
              </w:rPr>
              <w:t xml:space="preserve">The consultation protocol, the content architecture, the belief maps and the specific nudge placements are proprietary and deliberately withheld here. What is described above is the reasoning, not the recipe. I am happy to discuss the methodology in depth in conversation.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Behavioural Science in Myopia Management</dc:title>
  <dc:creator>Bhavin Shah</dc:creator>
  <cp:lastModifiedBy>Un-named</cp:lastModifiedBy>
  <cp:revision>1</cp:revision>
  <dcterms:created xsi:type="dcterms:W3CDTF">2026-08-17T08:20:43.817Z</dcterms:created>
  <dcterms:modified xsi:type="dcterms:W3CDTF">2026-08-17T08:20:43.880Z</dcterms:modified>
</cp:coreProperties>
</file>

<file path=docProps/custom.xml><?xml version="1.0" encoding="utf-8"?>
<Properties xmlns="http://schemas.openxmlformats.org/officeDocument/2006/custom-properties" xmlns:vt="http://schemas.openxmlformats.org/officeDocument/2006/docPropsVTypes"/>
</file>