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3864"/>
          <w:sz w:val="40"/>
        </w:rPr>
        <w:t>Business Process Model (BPMN)</w:t>
      </w:r>
    </w:p>
    <w:p>
      <w:pPr>
        <w:pBdr>
          <w:bottom w:val="single" w:sz="8" w:space="4" w:color="1F3864"/>
        </w:pBdr>
      </w:pPr>
      <w:r>
        <w:rPr>
          <w:i/>
          <w:color w:val="595959"/>
          <w:sz w:val="21"/>
        </w:rPr>
        <w:t>CRM System Upgrade – Salesforce Build, Phase 1  |  Version 1.0  |  October 20, 2026  |  Author: Bhavna Rao, Business Analyst</w:t>
      </w:r>
    </w:p>
    <w:p>
      <w:pPr>
        <w:pStyle w:val="Heading1"/>
      </w:pPr>
      <w:r>
        <w:t>1. How to Read the Diagrams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6768"/>
      </w:tblGrid>
      <w:tr>
        <w:tc>
          <w:tcPr>
            <w:tcW w:type="dxa" w:w="28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Symbol</w:t>
            </w:r>
          </w:p>
        </w:tc>
        <w:tc>
          <w:tcPr>
            <w:tcW w:type="dxa" w:w="676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Green circle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Start of the process</w:t>
            </w:r>
          </w:p>
        </w:tc>
      </w:tr>
      <w:tr>
        <w:tc>
          <w:tcPr>
            <w:tcW w:type="dxa" w:w="2880"/>
            <w:shd w:val="clear" w:color="auto" w:fill="EEF3FA"/>
          </w:tcPr>
          <w:p>
            <w:r/>
            <w:r>
              <w:rPr>
                <w:sz w:val="18"/>
              </w:rPr>
              <w:t>Red circle</w:t>
            </w:r>
          </w:p>
        </w:tc>
        <w:tc>
          <w:tcPr>
            <w:tcW w:type="dxa" w:w="6768"/>
            <w:shd w:val="clear" w:color="auto" w:fill="EEF3FA"/>
          </w:tcPr>
          <w:p>
            <w:r/>
            <w:r>
              <w:rPr>
                <w:sz w:val="18"/>
              </w:rPr>
              <w:t>End of the process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White rounded box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A step done by a person</w:t>
            </w:r>
          </w:p>
        </w:tc>
      </w:tr>
      <w:tr>
        <w:tc>
          <w:tcPr>
            <w:tcW w:type="dxa" w:w="2880"/>
            <w:shd w:val="clear" w:color="auto" w:fill="EEF3FA"/>
          </w:tcPr>
          <w:p>
            <w:r/>
            <w:r>
              <w:rPr>
                <w:sz w:val="18"/>
              </w:rPr>
              <w:t>Blue rounded box</w:t>
            </w:r>
          </w:p>
        </w:tc>
        <w:tc>
          <w:tcPr>
            <w:tcW w:type="dxa" w:w="6768"/>
            <w:shd w:val="clear" w:color="auto" w:fill="EEF3FA"/>
          </w:tcPr>
          <w:p>
            <w:r/>
            <w:r>
              <w:rPr>
                <w:sz w:val="18"/>
              </w:rPr>
              <w:t>A step done automatically by Salesforce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Yellow diamond (X)</w:t>
            </w:r>
          </w:p>
        </w:tc>
        <w:tc>
          <w:tcPr>
            <w:tcW w:type="dxa" w:w="6768"/>
          </w:tcPr>
          <w:p>
            <w:r/>
            <w:r>
              <w:rPr>
                <w:sz w:val="18"/>
              </w:rPr>
              <w:t>A decision (exclusive gateway): only one path is taken</w:t>
            </w:r>
          </w:p>
        </w:tc>
      </w:tr>
      <w:tr>
        <w:tc>
          <w:tcPr>
            <w:tcW w:type="dxa" w:w="2880"/>
            <w:shd w:val="clear" w:color="auto" w:fill="EEF3FA"/>
          </w:tcPr>
          <w:p>
            <w:r/>
            <w:r>
              <w:rPr>
                <w:sz w:val="18"/>
              </w:rPr>
              <w:t>Horizontal band (swimlane)</w:t>
            </w:r>
          </w:p>
        </w:tc>
        <w:tc>
          <w:tcPr>
            <w:tcW w:type="dxa" w:w="6768"/>
            <w:shd w:val="clear" w:color="auto" w:fill="EEF3FA"/>
          </w:tcPr>
          <w:p>
            <w:r/>
            <w:r>
              <w:rPr>
                <w:sz w:val="18"/>
              </w:rPr>
              <w:t>Who does the step</w:t>
            </w:r>
          </w:p>
        </w:tc>
      </w:tr>
    </w:tbl>
    <w:p>
      <w:pPr>
        <w:spacing w:after="40"/>
      </w:pPr>
    </w:p>
    <w:p>
      <w:pPr>
        <w:pStyle w:val="Heading1"/>
      </w:pPr>
      <w:r>
        <w:t>2. As-Is vs To-Be Summary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888"/>
        <w:gridCol w:w="4176"/>
      </w:tblGrid>
      <w:tr>
        <w:tc>
          <w:tcPr>
            <w:tcW w:type="dxa" w:w="1584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88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As-is (today)</w:t>
            </w:r>
          </w:p>
        </w:tc>
        <w:tc>
          <w:tcPr>
            <w:tcW w:type="dxa" w:w="417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To-be (Phase 1)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Leads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Kept in spreadsheets; re-typed when they become customers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Lead record converted in one click to account, contact and deal</w:t>
            </w:r>
          </w:p>
        </w:tc>
      </w:tr>
      <w:tr>
        <w:tc>
          <w:tcPr>
            <w:tcW w:type="dxa" w:w="1584"/>
            <w:shd w:val="clear" w:color="auto" w:fill="EEF3FA"/>
          </w:tcPr>
          <w:p>
            <w:r/>
            <w:r>
              <w:rPr>
                <w:sz w:val="18"/>
              </w:rPr>
              <w:t>Pipeline</w:t>
            </w:r>
          </w:p>
        </w:tc>
        <w:tc>
          <w:tcPr>
            <w:tcW w:type="dxa" w:w="3888"/>
            <w:shd w:val="clear" w:color="auto" w:fill="EEF3FA"/>
          </w:tcPr>
          <w:p>
            <w:r/>
            <w:r>
              <w:rPr>
                <w:sz w:val="18"/>
              </w:rPr>
              <w:t>Weekly spreadsheet; no live view</w:t>
            </w:r>
          </w:p>
        </w:tc>
        <w:tc>
          <w:tcPr>
            <w:tcW w:type="dxa" w:w="4176"/>
            <w:shd w:val="clear" w:color="auto" w:fill="EEF3FA"/>
          </w:tcPr>
          <w:p>
            <w:r/>
            <w:r>
              <w:rPr>
                <w:sz w:val="18"/>
              </w:rPr>
              <w:t>Kanban board and live dashboard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Discounts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Any discount allowed; no review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Over 40% blocked; over 20% flagged and a review task sent automatically</w:t>
            </w:r>
          </w:p>
        </w:tc>
      </w:tr>
      <w:tr>
        <w:tc>
          <w:tcPr>
            <w:tcW w:type="dxa" w:w="1584"/>
            <w:shd w:val="clear" w:color="auto" w:fill="EEF3FA"/>
          </w:tcPr>
          <w:p>
            <w:r/>
            <w:r>
              <w:rPr>
                <w:sz w:val="18"/>
              </w:rPr>
              <w:t>Cases</w:t>
            </w:r>
          </w:p>
        </w:tc>
        <w:tc>
          <w:tcPr>
            <w:tcW w:type="dxa" w:w="3888"/>
            <w:shd w:val="clear" w:color="auto" w:fill="EEF3FA"/>
          </w:tcPr>
          <w:p>
            <w:r/>
            <w:r>
              <w:rPr>
                <w:sz w:val="18"/>
              </w:rPr>
              <w:t>Tracked in email inboxes</w:t>
            </w:r>
          </w:p>
        </w:tc>
        <w:tc>
          <w:tcPr>
            <w:tcW w:type="dxa" w:w="4176"/>
            <w:shd w:val="clear" w:color="auto" w:fill="EEF3FA"/>
          </w:tcPr>
          <w:p>
            <w:r/>
            <w:r>
              <w:rPr>
                <w:sz w:val="18"/>
              </w:rPr>
              <w:t>Case records with priority; urgent list view</w:t>
            </w:r>
          </w:p>
        </w:tc>
      </w:tr>
      <w:tr>
        <w:tc>
          <w:tcPr>
            <w:tcW w:type="dxa" w:w="1584"/>
          </w:tcPr>
          <w:p>
            <w:r/>
            <w:r>
              <w:rPr>
                <w:sz w:val="18"/>
              </w:rPr>
              <w:t>Reporting</w:t>
            </w:r>
          </w:p>
        </w:tc>
        <w:tc>
          <w:tcPr>
            <w:tcW w:type="dxa" w:w="3888"/>
          </w:tcPr>
          <w:p>
            <w:r/>
            <w:r>
              <w:rPr>
                <w:sz w:val="18"/>
              </w:rPr>
              <w:t>Built by hand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Reports and dashboard from live data</w:t>
            </w:r>
          </w:p>
        </w:tc>
      </w:tr>
    </w:tbl>
    <w:p>
      <w:pPr>
        <w:spacing w:after="40"/>
      </w:pPr>
    </w:p>
    <w:p>
      <w:pPr>
        <w:sectPr>
          <w:footerReference w:type="default" r:id="rId9"/>
          <w:pgSz w:w="12240" w:h="15840"/>
          <w:pgMar w:top="1152" w:right="1296" w:bottom="1152" w:left="1296" w:header="720" w:footer="720" w:gutter="0"/>
          <w:cols w:space="720"/>
          <w:docGrid w:linePitch="360"/>
        </w:sectPr>
      </w:pPr>
    </w:p>
    <w:p>
      <w:pPr>
        <w:pStyle w:val="Heading1"/>
      </w:pPr>
      <w:r>
        <w:t>3. Process 1: Lead to Close with Discount Review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2850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_1_Lead_to_Close_with_Discount_Revie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2850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1. Lead to Close with Discount Review (swimlanes: Sales Rep, Salesforce, Sales Manager)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"/>
        <w:gridCol w:w="1728"/>
        <w:gridCol w:w="4032"/>
        <w:gridCol w:w="3456"/>
      </w:tblGrid>
      <w:tr>
        <w:tc>
          <w:tcPr>
            <w:tcW w:type="dxa" w:w="43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Lane</w:t>
            </w:r>
          </w:p>
        </w:tc>
        <w:tc>
          <w:tcPr>
            <w:tcW w:type="dxa" w:w="403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Decision / rule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Sales Rep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Qualify the new lead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Not qualified: process ends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EEF3FA"/>
          </w:tcPr>
          <w:p>
            <w:r/>
            <w:r>
              <w:rPr>
                <w:sz w:val="18"/>
              </w:rPr>
              <w:t>Sales Rep</w:t>
            </w:r>
          </w:p>
        </w:tc>
        <w:tc>
          <w:tcPr>
            <w:tcW w:type="dxa" w:w="4032"/>
            <w:shd w:val="clear" w:color="auto" w:fill="EEF3FA"/>
          </w:tcPr>
          <w:p>
            <w:r/>
            <w:r>
              <w:rPr>
                <w:sz w:val="18"/>
              </w:rPr>
              <w:t>Convert the lead</w:t>
            </w:r>
          </w:p>
        </w:tc>
        <w:tc>
          <w:tcPr>
            <w:tcW w:type="dxa" w:w="3456"/>
            <w:shd w:val="clear" w:color="auto" w:fill="EEF3FA"/>
          </w:tcPr>
          <w:p>
            <w:r/>
            <w:r>
              <w:rPr>
                <w:sz w:val="18"/>
              </w:rPr>
              <w:t>BR-3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Salesforce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Create linked account, contact and opportunity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"/>
            <w:shd w:val="clear" w:color="auto" w:fill="EEF3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EEF3FA"/>
          </w:tcPr>
          <w:p>
            <w:r/>
            <w:r>
              <w:rPr>
                <w:sz w:val="18"/>
              </w:rPr>
              <w:t>Sales Rep</w:t>
            </w:r>
          </w:p>
        </w:tc>
        <w:tc>
          <w:tcPr>
            <w:tcW w:type="dxa" w:w="4032"/>
            <w:shd w:val="clear" w:color="auto" w:fill="EEF3FA"/>
          </w:tcPr>
          <w:p>
            <w:r/>
            <w:r>
              <w:rPr>
                <w:sz w:val="18"/>
              </w:rPr>
              <w:t>Enter amount, stage and discount</w:t>
            </w:r>
          </w:p>
        </w:tc>
        <w:tc>
          <w:tcPr>
            <w:tcW w:type="dxa" w:w="3456"/>
            <w:shd w:val="clear" w:color="auto" w:fill="EEF3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Salesforce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Validation rule checks discount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Over 40%: save blocked (BR-1)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color="auto" w:fill="EEF3FA"/>
          </w:tcPr>
          <w:p>
            <w:r/>
            <w:r>
              <w:rPr>
                <w:sz w:val="18"/>
              </w:rPr>
              <w:t>Salesforce</w:t>
            </w:r>
          </w:p>
        </w:tc>
        <w:tc>
          <w:tcPr>
            <w:tcW w:type="dxa" w:w="4032"/>
            <w:shd w:val="clear" w:color="auto" w:fill="EEF3FA"/>
          </w:tcPr>
          <w:p>
            <w:r/>
            <w:r>
              <w:rPr>
                <w:sz w:val="18"/>
              </w:rPr>
              <w:t>Flow checks discount</w:t>
            </w:r>
          </w:p>
        </w:tc>
        <w:tc>
          <w:tcPr>
            <w:tcW w:type="dxa" w:w="3456"/>
            <w:shd w:val="clear" w:color="auto" w:fill="EEF3FA"/>
          </w:tcPr>
          <w:p>
            <w:r/>
            <w:r>
              <w:rPr>
                <w:sz w:val="18"/>
              </w:rPr>
              <w:t>Over 20%: tick Needs Manager Review and create High task (BR-2)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Sales Manager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Review the discount task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Not approved: rep revises discount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color="auto" w:fill="EEF3FA"/>
          </w:tcPr>
          <w:p>
            <w:r/>
            <w:r>
              <w:rPr>
                <w:sz w:val="18"/>
              </w:rPr>
              <w:t>Sales Rep</w:t>
            </w:r>
          </w:p>
        </w:tc>
        <w:tc>
          <w:tcPr>
            <w:tcW w:type="dxa" w:w="4032"/>
            <w:shd w:val="clear" w:color="auto" w:fill="EEF3FA"/>
          </w:tcPr>
          <w:p>
            <w:r/>
            <w:r>
              <w:rPr>
                <w:sz w:val="18"/>
              </w:rPr>
              <w:t>Move the deal through stages and close it</w:t>
            </w:r>
          </w:p>
        </w:tc>
        <w:tc>
          <w:tcPr>
            <w:tcW w:type="dxa" w:w="3456"/>
            <w:shd w:val="clear" w:color="auto" w:fill="EEF3FA"/>
          </w:tcPr>
          <w:p>
            <w:r/>
            <w:r>
              <w:rPr>
                <w:sz w:val="18"/>
              </w:rPr>
              <w:t>Closed deals leave open pipeline (BR-5)</w:t>
            </w:r>
          </w:p>
        </w:tc>
      </w:tr>
    </w:tbl>
    <w:p>
      <w:pPr>
        <w:spacing w:after="40"/>
      </w:pPr>
    </w:p>
    <w:p>
      <w:pPr>
        <w:sectPr>
          <w:pgSz w:w="15840" w:h="12240" w:orient="landscape"/>
          <w:pgMar w:top="1152" w:right="1296" w:bottom="1152" w:left="1296" w:header="720" w:footer="720" w:gutter="0"/>
          <w:cols w:space="720"/>
          <w:docGrid w:linePitch="360"/>
        </w:sectPr>
      </w:pPr>
    </w:p>
    <w:p>
      <w:pPr>
        <w:pStyle w:val="Heading1"/>
      </w:pPr>
      <w:r>
        <w:t>4. Process 2: Customer Case Handling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32738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PM_2_Case_Handl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32738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Figure 2. Customer Case Handling (swimlanes: Customer, Service Agent, Salesforce)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"/>
        <w:gridCol w:w="1728"/>
        <w:gridCol w:w="4032"/>
        <w:gridCol w:w="3456"/>
      </w:tblGrid>
      <w:tr>
        <w:tc>
          <w:tcPr>
            <w:tcW w:type="dxa" w:w="43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Lane</w:t>
            </w:r>
          </w:p>
        </w:tc>
        <w:tc>
          <w:tcPr>
            <w:tcW w:type="dxa" w:w="4032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3456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Decision / rule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Customer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Reports an issue by phone, email or web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"/>
            <w:shd w:val="clear" w:color="auto" w:fill="EEF3FA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1728"/>
            <w:shd w:val="clear" w:color="auto" w:fill="EEF3FA"/>
          </w:tcPr>
          <w:p>
            <w:r/>
            <w:r>
              <w:rPr>
                <w:sz w:val="18"/>
              </w:rPr>
              <w:t>Service Agent</w:t>
            </w:r>
          </w:p>
        </w:tc>
        <w:tc>
          <w:tcPr>
            <w:tcW w:type="dxa" w:w="4032"/>
            <w:shd w:val="clear" w:color="auto" w:fill="EEF3FA"/>
          </w:tcPr>
          <w:p>
            <w:r/>
            <w:r>
              <w:rPr>
                <w:sz w:val="18"/>
              </w:rPr>
              <w:t>Logs the case with subject, priority and contact</w:t>
            </w:r>
          </w:p>
        </w:tc>
        <w:tc>
          <w:tcPr>
            <w:tcW w:type="dxa" w:w="3456"/>
            <w:shd w:val="clear" w:color="auto" w:fill="EEF3FA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Salesforce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Saves the case as New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High and not Closed: shows in Open High Priority list</w:t>
            </w:r>
          </w:p>
        </w:tc>
      </w:tr>
      <w:tr>
        <w:tc>
          <w:tcPr>
            <w:tcW w:type="dxa" w:w="432"/>
            <w:shd w:val="clear" w:color="auto" w:fill="EEF3FA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1728"/>
            <w:shd w:val="clear" w:color="auto" w:fill="EEF3FA"/>
          </w:tcPr>
          <w:p>
            <w:r/>
            <w:r>
              <w:rPr>
                <w:sz w:val="18"/>
              </w:rPr>
              <w:t>Service Agent</w:t>
            </w:r>
          </w:p>
        </w:tc>
        <w:tc>
          <w:tcPr>
            <w:tcW w:type="dxa" w:w="4032"/>
            <w:shd w:val="clear" w:color="auto" w:fill="EEF3FA"/>
          </w:tcPr>
          <w:p>
            <w:r/>
            <w:r>
              <w:rPr>
                <w:sz w:val="18"/>
              </w:rPr>
              <w:t>Works the case (Working)</w:t>
            </w:r>
          </w:p>
        </w:tc>
        <w:tc>
          <w:tcPr>
            <w:tcW w:type="dxa" w:w="3456"/>
            <w:shd w:val="clear" w:color="auto" w:fill="EEF3FA"/>
          </w:tcPr>
          <w:p>
            <w:r/>
            <w:r>
              <w:rPr>
                <w:sz w:val="18"/>
              </w:rPr>
              <w:t>Not resolved: Escalated, then back to work</w:t>
            </w:r>
          </w:p>
        </w:tc>
      </w:tr>
      <w:tr>
        <w:tc>
          <w:tcPr>
            <w:tcW w:type="dxa" w:w="432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Service Agent</w:t>
            </w:r>
          </w:p>
        </w:tc>
        <w:tc>
          <w:tcPr>
            <w:tcW w:type="dxa" w:w="4032"/>
          </w:tcPr>
          <w:p>
            <w:r/>
            <w:r>
              <w:rPr>
                <w:sz w:val="18"/>
              </w:rPr>
              <w:t>Closes the case (Closed)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32"/>
            <w:shd w:val="clear" w:color="auto" w:fill="EEF3FA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  <w:shd w:val="clear" w:color="auto" w:fill="EEF3FA"/>
          </w:tcPr>
          <w:p>
            <w:r/>
            <w:r>
              <w:rPr>
                <w:sz w:val="18"/>
              </w:rPr>
              <w:t>Salesforce</w:t>
            </w:r>
          </w:p>
        </w:tc>
        <w:tc>
          <w:tcPr>
            <w:tcW w:type="dxa" w:w="4032"/>
            <w:shd w:val="clear" w:color="auto" w:fill="EEF3FA"/>
          </w:tcPr>
          <w:p>
            <w:r/>
            <w:r>
              <w:rPr>
                <w:sz w:val="18"/>
              </w:rPr>
              <w:t>Case drops out of open-case report and dashboard</w:t>
            </w:r>
          </w:p>
        </w:tc>
        <w:tc>
          <w:tcPr>
            <w:tcW w:type="dxa" w:w="3456"/>
            <w:shd w:val="clear" w:color="auto" w:fill="EEF3FA"/>
          </w:tcPr>
          <w:p>
            <w:r/>
            <w:r>
              <w:rPr>
                <w:sz w:val="18"/>
              </w:rPr>
              <w:t>BR-4</w:t>
            </w:r>
          </w:p>
        </w:tc>
      </w:tr>
    </w:tbl>
    <w:p>
      <w:pPr>
        <w:spacing w:after="40"/>
      </w:pPr>
    </w:p>
    <w:p>
      <w:r>
        <w:rPr>
          <w:i/>
        </w:rPr>
        <w:t>Note: the manager's approve or reject decision is recorded through the review task in Phase 1. A formal Salesforce approval process with approve/reject buttons is a Phase 2 option.</w:t>
      </w:r>
    </w:p>
    <w:sectPr w:rsidR="00FC693F" w:rsidRPr="0006063C" w:rsidSect="00034616">
      <w:pgSz w:w="15840" w:h="12240" w:orient="landscape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808080"/>
        <w:sz w:val="16"/>
      </w:rPr>
      <w:t>Business Process Model (BPMN)  |  CRM System Upgrade – Salesforce Build  |  Bhavna Rao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eastAsiaTheme="majorEastAsia" w:ascii="Calibri" w:hAnsi="Calibri" w:cs="Calibr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eastAsiaTheme="majorEastAsia" w:ascii="Calibri" w:hAnsi="Calibri" w:cs="Calibri"/>
      <w:b/>
      <w:bCs/>
      <w:color w:val="1F386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eastAsiaTheme="majorEastAsia" w:ascii="Calibri" w:hAnsi="Calibri" w:cs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