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7B9A" w14:textId="77777777" w:rsidR="00C879BF" w:rsidRDefault="00C879BF">
      <w:pPr>
        <w:spacing w:after="2400"/>
      </w:pPr>
    </w:p>
    <w:p w14:paraId="3F04863B" w14:textId="77777777" w:rsidR="00C879BF" w:rsidRDefault="00000000">
      <w:pPr>
        <w:jc w:val="center"/>
      </w:pPr>
      <w:r>
        <w:rPr>
          <w:b/>
          <w:bCs/>
          <w:color w:val="E8712B"/>
          <w:spacing w:val="200"/>
          <w:sz w:val="22"/>
          <w:szCs w:val="22"/>
        </w:rPr>
        <w:t>RESEARCH REPORT</w:t>
      </w:r>
    </w:p>
    <w:p w14:paraId="2B9E639F" w14:textId="77777777" w:rsidR="00C879BF" w:rsidRDefault="00C879BF">
      <w:pPr>
        <w:spacing w:after="200"/>
      </w:pPr>
    </w:p>
    <w:p w14:paraId="76608A99" w14:textId="77777777" w:rsidR="00C879BF" w:rsidRDefault="00000000">
      <w:pPr>
        <w:pBdr>
          <w:top w:val="single" w:sz="4" w:space="12" w:color="1B3A5C"/>
          <w:bottom w:val="single" w:sz="4" w:space="12" w:color="1B3A5C"/>
        </w:pBdr>
        <w:spacing w:before="100" w:after="100"/>
        <w:jc w:val="center"/>
      </w:pPr>
      <w:r>
        <w:rPr>
          <w:b/>
          <w:bCs/>
          <w:color w:val="1B3A5C"/>
          <w:sz w:val="52"/>
          <w:szCs w:val="52"/>
        </w:rPr>
        <w:t>The Travelers Companies, Inc.</w:t>
      </w:r>
    </w:p>
    <w:p w14:paraId="70B2067E" w14:textId="77777777" w:rsidR="00C879BF" w:rsidRDefault="00C879BF">
      <w:pPr>
        <w:spacing w:after="200"/>
      </w:pPr>
    </w:p>
    <w:p w14:paraId="78AFF3CD" w14:textId="77777777" w:rsidR="00C879BF" w:rsidRDefault="00000000">
      <w:pPr>
        <w:jc w:val="center"/>
      </w:pPr>
      <w:r>
        <w:rPr>
          <w:color w:val="666666"/>
          <w:sz w:val="28"/>
          <w:szCs w:val="28"/>
        </w:rPr>
        <w:t>Enterprise Transformation Opportunity Assessment</w:t>
      </w:r>
    </w:p>
    <w:p w14:paraId="1128EC32" w14:textId="77777777" w:rsidR="00C879BF" w:rsidRDefault="00C879BF">
      <w:pPr>
        <w:spacing w:after="600"/>
      </w:pPr>
    </w:p>
    <w:p w14:paraId="69FA0338" w14:textId="77777777" w:rsidR="00C879BF" w:rsidRDefault="00000000">
      <w:pPr>
        <w:jc w:val="center"/>
      </w:pPr>
      <w:r>
        <w:rPr>
          <w:color w:val="666666"/>
          <w:sz w:val="22"/>
          <w:szCs w:val="22"/>
        </w:rPr>
        <w:t>Prepared for EXL Service</w:t>
      </w:r>
    </w:p>
    <w:p w14:paraId="375A5901" w14:textId="77777777" w:rsidR="00C879BF" w:rsidRDefault="00000000">
      <w:pPr>
        <w:jc w:val="center"/>
      </w:pPr>
      <w:r>
        <w:rPr>
          <w:color w:val="666666"/>
          <w:sz w:val="22"/>
          <w:szCs w:val="22"/>
        </w:rPr>
        <w:t>February 2026</w:t>
      </w:r>
    </w:p>
    <w:p w14:paraId="20155727" w14:textId="77777777" w:rsidR="00C879BF" w:rsidRDefault="00C879BF">
      <w:pPr>
        <w:spacing w:after="200"/>
      </w:pPr>
    </w:p>
    <w:p w14:paraId="6DBD3A33" w14:textId="77777777" w:rsidR="00C879BF" w:rsidRDefault="00000000">
      <w:pPr>
        <w:jc w:val="center"/>
      </w:pPr>
      <w:r>
        <w:rPr>
          <w:b/>
          <w:bCs/>
          <w:color w:val="E8712B"/>
          <w:spacing w:val="160"/>
          <w:sz w:val="20"/>
          <w:szCs w:val="20"/>
        </w:rPr>
        <w:t>CONFIDENTIAL</w:t>
      </w:r>
    </w:p>
    <w:p w14:paraId="0F6E97DD" w14:textId="77777777" w:rsidR="00C879BF" w:rsidRDefault="00C879BF">
      <w:pPr>
        <w:sectPr w:rsidR="00C879BF">
          <w:pgSz w:w="12240" w:h="15840"/>
          <w:pgMar w:top="1440" w:right="1440" w:bottom="1440" w:left="1440" w:header="708" w:footer="708" w:gutter="0"/>
          <w:cols w:space="720"/>
          <w:docGrid w:linePitch="360"/>
        </w:sectPr>
      </w:pPr>
    </w:p>
    <w:p w14:paraId="20C4AAF7" w14:textId="77777777" w:rsidR="00C879BF" w:rsidRDefault="00000000">
      <w:pPr>
        <w:pStyle w:val="Heading1"/>
        <w:pBdr>
          <w:bottom w:val="single" w:sz="4" w:space="8" w:color="E8712B"/>
        </w:pBdr>
      </w:pPr>
      <w:r>
        <w:lastRenderedPageBreak/>
        <w:t>Executive Summary</w:t>
      </w:r>
    </w:p>
    <w:p w14:paraId="33DF899E" w14:textId="77777777" w:rsidR="00C879BF" w:rsidRDefault="00000000">
      <w:pPr>
        <w:spacing w:after="160" w:line="276" w:lineRule="auto"/>
      </w:pPr>
      <w:r>
        <w:rPr>
          <w:color w:val="333333"/>
        </w:rPr>
        <w:t xml:space="preserve">The Travelers Companies, Inc. (NYSE: TRV) is the second-largest writer of U.S. commercial property casualty insurance and a Dow Jones Industrial Average component. With approximately 34,000 employees, over $48.8 billion in total revenues, and $6.3 billion in full-year 2025 net income, Travelers </w:t>
      </w:r>
      <w:proofErr w:type="gramStart"/>
      <w:r>
        <w:rPr>
          <w:color w:val="333333"/>
        </w:rPr>
        <w:t>operates</w:t>
      </w:r>
      <w:proofErr w:type="gramEnd"/>
      <w:r>
        <w:rPr>
          <w:color w:val="333333"/>
        </w:rPr>
        <w:t xml:space="preserve"> from a position of considerable financial strength. The company has embarked on a transformative journey it describes as “Innovation 2.0,” anchored by artificial intelligence, advanced analytics, and digital modernization across claims, underwriting, and distribution.</w:t>
      </w:r>
    </w:p>
    <w:p w14:paraId="21AF3B9B" w14:textId="77777777" w:rsidR="00C879BF" w:rsidRDefault="00000000">
      <w:pPr>
        <w:spacing w:after="160" w:line="276" w:lineRule="auto"/>
      </w:pPr>
      <w:r>
        <w:rPr>
          <w:color w:val="333333"/>
        </w:rPr>
        <w:t>This report analyzes Travelers’ key achievements, stated goals, strategic initiatives, progress to date, outstanding objectives, and challenges. The findings are drawn from the company’s 2025 10-K Annual Report, Q4 2025 Earnings Call Transcript, Q4 2025 Press Release, Analyst Supplement, and Webcast Presentation. The objective is to equip EXL Service with a detailed understanding of Travelers’ strategic direction to support development of a relevant enterprise transformation proposal.</w:t>
      </w:r>
    </w:p>
    <w:p w14:paraId="5A8E6E8B" w14:textId="77777777" w:rsidR="00C879BF" w:rsidRDefault="00000000">
      <w:pPr>
        <w:spacing w:after="80" w:line="260" w:lineRule="auto"/>
      </w:pPr>
      <w:r>
        <w:rPr>
          <w:i/>
          <w:iCs/>
          <w:color w:val="666666"/>
          <w:sz w:val="18"/>
          <w:szCs w:val="18"/>
        </w:rPr>
        <w:t>Sources: TRV 10-K (12/31/2025), Q4 2025 Press Release, Q4 2025 Earnings Call Transcript, Q4 2025 Analyst Supplement, Q4 2025 Webcast Presentation.</w:t>
      </w:r>
    </w:p>
    <w:p w14:paraId="25339E0B" w14:textId="77777777" w:rsidR="00C879BF" w:rsidRDefault="00000000">
      <w:pPr>
        <w:pStyle w:val="Heading1"/>
        <w:pBdr>
          <w:bottom w:val="single" w:sz="4" w:space="8" w:color="E8712B"/>
        </w:pBdr>
      </w:pPr>
      <w:r>
        <w:t>1. Key Achievements</w:t>
      </w:r>
    </w:p>
    <w:p w14:paraId="4842D3C7" w14:textId="77777777" w:rsidR="00C879BF" w:rsidRDefault="00000000">
      <w:pPr>
        <w:pStyle w:val="Heading2"/>
      </w:pPr>
      <w:r>
        <w:t>1.1 Financial Performance</w:t>
      </w:r>
    </w:p>
    <w:p w14:paraId="46C35395" w14:textId="77777777" w:rsidR="00C879BF" w:rsidRDefault="00000000">
      <w:pPr>
        <w:spacing w:after="160" w:line="276" w:lineRule="auto"/>
      </w:pPr>
      <w:r>
        <w:rPr>
          <w:color w:val="333333"/>
        </w:rPr>
        <w:t>Travelers delivered record financial results in 2025, reflecting the compounding benefits of a decade-long innovation strategy. Full-year net income reached $6.288 billion—up 26% over 2024—while net earned premiums totaled $43.9 billion. The company achieved a core return on equity of 19.4% and generated operating cash flows of $10.61 billion. These results came even amid elevated industry catastrophe losses, underscoring the durability of Travelers’ earnings engine.</w:t>
      </w:r>
    </w:p>
    <w:p w14:paraId="4E6A503F" w14:textId="77777777" w:rsidR="00C879BF" w:rsidRDefault="00000000">
      <w:pPr>
        <w:spacing w:after="80" w:line="260" w:lineRule="auto"/>
      </w:pPr>
      <w:r>
        <w:rPr>
          <w:i/>
          <w:iCs/>
          <w:color w:val="666666"/>
          <w:sz w:val="18"/>
          <w:szCs w:val="18"/>
        </w:rPr>
        <w:t>Source: TRV 10-K (12/31/2025), Financial Highlights, p. 60; Q4 2025 Press Release, 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879BF" w14:paraId="4942E7AB"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9567E9" w14:textId="77777777" w:rsidR="00C879BF" w:rsidRDefault="00000000">
            <w:r>
              <w:rPr>
                <w:b/>
                <w:bCs/>
                <w:color w:val="FFFFFF"/>
                <w:sz w:val="20"/>
                <w:szCs w:val="20"/>
              </w:rPr>
              <w:t>Metric</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C04C7C" w14:textId="77777777" w:rsidR="00C879BF" w:rsidRDefault="00000000">
            <w:r>
              <w:rPr>
                <w:b/>
                <w:bCs/>
                <w:color w:val="FFFFFF"/>
                <w:sz w:val="20"/>
                <w:szCs w:val="20"/>
              </w:rPr>
              <w:t>Value</w:t>
            </w:r>
          </w:p>
        </w:tc>
      </w:tr>
      <w:tr w:rsidR="00C879BF" w14:paraId="376E0308"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26BE74ED" w14:textId="77777777" w:rsidR="00C879BF" w:rsidRDefault="00000000">
            <w:r>
              <w:rPr>
                <w:color w:val="333333"/>
                <w:sz w:val="20"/>
                <w:szCs w:val="20"/>
              </w:rPr>
              <w:t>Full-Year Net Income (2025)</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3985E7E" w14:textId="77777777" w:rsidR="00C879BF" w:rsidRDefault="00000000">
            <w:r>
              <w:rPr>
                <w:b/>
                <w:bCs/>
                <w:color w:val="333333"/>
                <w:sz w:val="20"/>
                <w:szCs w:val="20"/>
              </w:rPr>
              <w:t>$6.288 billion (+26% YoY)</w:t>
            </w:r>
          </w:p>
        </w:tc>
      </w:tr>
      <w:tr w:rsidR="00C879BF" w14:paraId="41366FF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1C1B" w14:textId="77777777" w:rsidR="00C879BF" w:rsidRDefault="00000000">
            <w:r>
              <w:rPr>
                <w:color w:val="333333"/>
                <w:sz w:val="20"/>
                <w:szCs w:val="20"/>
              </w:rPr>
              <w:t>Full-Year Core Income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DF53F" w14:textId="77777777" w:rsidR="00C879BF" w:rsidRDefault="00000000">
            <w:r>
              <w:rPr>
                <w:b/>
                <w:bCs/>
                <w:color w:val="333333"/>
                <w:sz w:val="20"/>
                <w:szCs w:val="20"/>
              </w:rPr>
              <w:t>$6.325 billion</w:t>
            </w:r>
          </w:p>
        </w:tc>
      </w:tr>
      <w:tr w:rsidR="00C879BF" w14:paraId="54421243"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07331B9" w14:textId="77777777" w:rsidR="00C879BF" w:rsidRDefault="00000000">
            <w:r>
              <w:rPr>
                <w:color w:val="333333"/>
                <w:sz w:val="20"/>
                <w:szCs w:val="20"/>
              </w:rPr>
              <w:t>Core Return on Equity</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E4766DD" w14:textId="77777777" w:rsidR="00C879BF" w:rsidRDefault="00000000">
            <w:r>
              <w:rPr>
                <w:b/>
                <w:bCs/>
                <w:color w:val="333333"/>
                <w:sz w:val="20"/>
                <w:szCs w:val="20"/>
              </w:rPr>
              <w:t>19.4% (full year); 29.6% (Q4)</w:t>
            </w:r>
          </w:p>
        </w:tc>
      </w:tr>
      <w:tr w:rsidR="00C879BF" w14:paraId="32EB1B1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3765A" w14:textId="77777777" w:rsidR="00C879BF" w:rsidRDefault="00000000">
            <w:r>
              <w:rPr>
                <w:color w:val="333333"/>
                <w:sz w:val="20"/>
                <w:szCs w:val="20"/>
              </w:rPr>
              <w:t>Total Revenues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FFE4A" w14:textId="77777777" w:rsidR="00C879BF" w:rsidRDefault="00000000">
            <w:r>
              <w:rPr>
                <w:b/>
                <w:bCs/>
                <w:color w:val="333333"/>
                <w:sz w:val="20"/>
                <w:szCs w:val="20"/>
              </w:rPr>
              <w:t>$48.8 billion</w:t>
            </w:r>
          </w:p>
        </w:tc>
      </w:tr>
      <w:tr w:rsidR="00C879BF" w14:paraId="1D013A65"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07A789B" w14:textId="77777777" w:rsidR="00C879BF" w:rsidRDefault="00000000">
            <w:r>
              <w:rPr>
                <w:color w:val="333333"/>
                <w:sz w:val="20"/>
                <w:szCs w:val="20"/>
              </w:rPr>
              <w:t>Net Earned Premiums (2025)</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5717778" w14:textId="77777777" w:rsidR="00C879BF" w:rsidRDefault="00000000">
            <w:r>
              <w:rPr>
                <w:b/>
                <w:bCs/>
                <w:color w:val="333333"/>
                <w:sz w:val="20"/>
                <w:szCs w:val="20"/>
              </w:rPr>
              <w:t>$43.9 billion</w:t>
            </w:r>
          </w:p>
        </w:tc>
      </w:tr>
      <w:tr w:rsidR="00C879BF" w14:paraId="7717D45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0730" w14:textId="77777777" w:rsidR="00C879BF" w:rsidRDefault="00000000">
            <w:r>
              <w:rPr>
                <w:color w:val="333333"/>
                <w:sz w:val="20"/>
                <w:szCs w:val="20"/>
              </w:rPr>
              <w:t>Net Written Premiums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295C1" w14:textId="77777777" w:rsidR="00C879BF" w:rsidRDefault="00000000">
            <w:r>
              <w:rPr>
                <w:b/>
                <w:bCs/>
                <w:color w:val="333333"/>
                <w:sz w:val="20"/>
                <w:szCs w:val="20"/>
              </w:rPr>
              <w:t>$44.4 billion</w:t>
            </w:r>
          </w:p>
        </w:tc>
      </w:tr>
      <w:tr w:rsidR="00C879BF" w14:paraId="6F476BD2"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83B1062" w14:textId="77777777" w:rsidR="00C879BF" w:rsidRDefault="00000000">
            <w:r>
              <w:rPr>
                <w:color w:val="333333"/>
                <w:sz w:val="20"/>
                <w:szCs w:val="20"/>
              </w:rPr>
              <w:t>Operating Cash Flows (2025)</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CF071B8" w14:textId="77777777" w:rsidR="00C879BF" w:rsidRDefault="00000000">
            <w:r>
              <w:rPr>
                <w:b/>
                <w:bCs/>
                <w:color w:val="333333"/>
                <w:sz w:val="20"/>
                <w:szCs w:val="20"/>
              </w:rPr>
              <w:t>$10.61 billion</w:t>
            </w:r>
          </w:p>
        </w:tc>
      </w:tr>
      <w:tr w:rsidR="00C879BF" w14:paraId="76BD3E6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0382C" w14:textId="77777777" w:rsidR="00C879BF" w:rsidRDefault="00000000">
            <w:r>
              <w:rPr>
                <w:color w:val="333333"/>
                <w:sz w:val="20"/>
                <w:szCs w:val="20"/>
              </w:rPr>
              <w:t>Combined Ratio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7C493" w14:textId="77777777" w:rsidR="00C879BF" w:rsidRDefault="00000000">
            <w:r>
              <w:rPr>
                <w:b/>
                <w:bCs/>
                <w:color w:val="333333"/>
                <w:sz w:val="20"/>
                <w:szCs w:val="20"/>
              </w:rPr>
              <w:t>89.9% (underlying: 84.3%)</w:t>
            </w:r>
          </w:p>
        </w:tc>
      </w:tr>
      <w:tr w:rsidR="00C879BF" w14:paraId="5D3BF500"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50ED632" w14:textId="77777777" w:rsidR="00C879BF" w:rsidRDefault="00000000">
            <w:r>
              <w:rPr>
                <w:color w:val="333333"/>
                <w:sz w:val="20"/>
                <w:szCs w:val="20"/>
              </w:rPr>
              <w:t>Q4 Underlying Combined Ratio</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53C169A" w14:textId="77777777" w:rsidR="00C879BF" w:rsidRDefault="00000000">
            <w:r>
              <w:rPr>
                <w:b/>
                <w:bCs/>
                <w:color w:val="333333"/>
                <w:sz w:val="20"/>
                <w:szCs w:val="20"/>
              </w:rPr>
              <w:t>82.2% (5th consecutive quarter &lt;85%)</w:t>
            </w:r>
          </w:p>
        </w:tc>
      </w:tr>
      <w:tr w:rsidR="00C879BF" w14:paraId="50E3677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2DFC8" w14:textId="77777777" w:rsidR="00C879BF" w:rsidRDefault="00000000">
            <w:r>
              <w:rPr>
                <w:color w:val="333333"/>
                <w:sz w:val="20"/>
                <w:szCs w:val="20"/>
              </w:rPr>
              <w:lastRenderedPageBreak/>
              <w:t>Investment Portfolio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FF33F" w14:textId="77777777" w:rsidR="00C879BF" w:rsidRDefault="00000000">
            <w:r>
              <w:rPr>
                <w:b/>
                <w:bCs/>
                <w:color w:val="333333"/>
                <w:sz w:val="20"/>
                <w:szCs w:val="20"/>
              </w:rPr>
              <w:t>&gt;$101 billion in total investments</w:t>
            </w:r>
          </w:p>
        </w:tc>
      </w:tr>
      <w:tr w:rsidR="00C879BF" w14:paraId="44A5B1DF"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F05272F" w14:textId="77777777" w:rsidR="00C879BF" w:rsidRDefault="00000000">
            <w:r>
              <w:rPr>
                <w:color w:val="333333"/>
                <w:sz w:val="20"/>
                <w:szCs w:val="20"/>
              </w:rPr>
              <w:t>Net Investment Income (2025)</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3BCFF94" w14:textId="77777777" w:rsidR="00C879BF" w:rsidRDefault="00000000">
            <w:r>
              <w:rPr>
                <w:b/>
                <w:bCs/>
                <w:color w:val="333333"/>
                <w:sz w:val="20"/>
                <w:szCs w:val="20"/>
              </w:rPr>
              <w:t>$3.96 billion ($3.25B after-tax)</w:t>
            </w:r>
          </w:p>
        </w:tc>
      </w:tr>
      <w:tr w:rsidR="00C879BF" w14:paraId="3C5E0C4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5A170" w14:textId="77777777" w:rsidR="00C879BF" w:rsidRDefault="00000000">
            <w:r>
              <w:rPr>
                <w:color w:val="333333"/>
                <w:sz w:val="20"/>
                <w:szCs w:val="20"/>
              </w:rPr>
              <w:t>Capital Returned to Shareholders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F0EF8" w14:textId="77777777" w:rsidR="00C879BF" w:rsidRDefault="00000000">
            <w:r>
              <w:rPr>
                <w:b/>
                <w:bCs/>
                <w:color w:val="333333"/>
                <w:sz w:val="20"/>
                <w:szCs w:val="20"/>
              </w:rPr>
              <w:t>$4.2 billion ($3.2B buybacks + $987M dividends)</w:t>
            </w:r>
          </w:p>
        </w:tc>
      </w:tr>
      <w:tr w:rsidR="00C879BF" w14:paraId="44027071" w14:textId="77777777">
        <w:tc>
          <w:tcPr>
            <w:tcW w:w="42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F0A8F08" w14:textId="77777777" w:rsidR="00C879BF" w:rsidRDefault="00000000">
            <w:r>
              <w:rPr>
                <w:color w:val="333333"/>
                <w:sz w:val="20"/>
                <w:szCs w:val="20"/>
              </w:rPr>
              <w:t>Adjusted Book Value Per Share Growth</w:t>
            </w:r>
          </w:p>
        </w:tc>
        <w:tc>
          <w:tcPr>
            <w:tcW w:w="51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31E146D" w14:textId="77777777" w:rsidR="00C879BF" w:rsidRDefault="00000000">
            <w:r>
              <w:rPr>
                <w:b/>
                <w:bCs/>
                <w:color w:val="333333"/>
                <w:sz w:val="20"/>
                <w:szCs w:val="20"/>
              </w:rPr>
              <w:t>+14% YoY</w:t>
            </w:r>
          </w:p>
        </w:tc>
      </w:tr>
    </w:tbl>
    <w:p w14:paraId="2CA06689" w14:textId="77777777" w:rsidR="00C879BF" w:rsidRDefault="00C879BF">
      <w:pPr>
        <w:spacing w:after="100"/>
      </w:pPr>
    </w:p>
    <w:p w14:paraId="208A5430" w14:textId="77777777" w:rsidR="00C879BF" w:rsidRDefault="00000000">
      <w:pPr>
        <w:spacing w:after="80" w:line="260" w:lineRule="auto"/>
      </w:pPr>
      <w:r>
        <w:rPr>
          <w:i/>
          <w:iCs/>
          <w:color w:val="666666"/>
          <w:sz w:val="18"/>
          <w:szCs w:val="18"/>
        </w:rPr>
        <w:t>Source: TRV 10-K, p. 60; Q4 2025 Press Release, pp. 1–2; Q4 Earnings Transcript, p. 5; Analyst Supplement, p. 5.</w:t>
      </w:r>
    </w:p>
    <w:p w14:paraId="75CC74AD" w14:textId="77777777" w:rsidR="00C879BF" w:rsidRDefault="00000000">
      <w:pPr>
        <w:pStyle w:val="Heading2"/>
      </w:pPr>
      <w:r>
        <w:t>1.2 Decade of Innovation (Innovation 1.0)</w:t>
      </w:r>
    </w:p>
    <w:p w14:paraId="3FA4F660" w14:textId="77777777" w:rsidR="00C879BF" w:rsidRDefault="00000000">
      <w:pPr>
        <w:spacing w:after="160" w:line="276" w:lineRule="auto"/>
      </w:pPr>
      <w:r>
        <w:rPr>
          <w:color w:val="333333"/>
        </w:rPr>
        <w:t xml:space="preserve">CEO Alan Schnitzer highlighted that Travelers embarked on its innovation strategy approximately ten years ago. Over that period, the company grew its top </w:t>
      </w:r>
      <w:proofErr w:type="gramStart"/>
      <w:r>
        <w:rPr>
          <w:color w:val="333333"/>
        </w:rPr>
        <w:t>line</w:t>
      </w:r>
      <w:proofErr w:type="gramEnd"/>
      <w:r>
        <w:rPr>
          <w:color w:val="333333"/>
        </w:rPr>
        <w:t xml:space="preserve"> at a compound annual rate of 7% while improving underlying profitability by nearly eight points. The expense ratio improved by three points (approximately 10%), even as technology spending increased significantly. As a result, underlying underwriting income is more than four times what it was a decade ago, cash flow from operations has more than doubled, and the investment portfolio has grown by 50% to over $100 billion.</w:t>
      </w:r>
    </w:p>
    <w:p w14:paraId="368C9F83" w14:textId="77777777" w:rsidR="00C879BF" w:rsidRDefault="00000000">
      <w:pPr>
        <w:spacing w:after="80" w:line="260" w:lineRule="auto"/>
      </w:pPr>
      <w:r>
        <w:rPr>
          <w:i/>
          <w:iCs/>
          <w:color w:val="666666"/>
          <w:sz w:val="18"/>
          <w:szCs w:val="18"/>
        </w:rPr>
        <w:t>Source: Q4 Earnings Transcript, pp. 3–4.</w:t>
      </w:r>
    </w:p>
    <w:p w14:paraId="4BD027E0" w14:textId="77777777" w:rsidR="00C879BF" w:rsidRDefault="00000000">
      <w:pPr>
        <w:pStyle w:val="Heading2"/>
      </w:pPr>
      <w:r>
        <w:t>1.3 Underwriting Income Trajectory</w:t>
      </w:r>
    </w:p>
    <w:p w14:paraId="0B969A90" w14:textId="77777777" w:rsidR="00C879BF" w:rsidRDefault="00000000">
      <w:pPr>
        <w:spacing w:after="160" w:line="276" w:lineRule="auto"/>
      </w:pPr>
      <w:r>
        <w:rPr>
          <w:color w:val="333333"/>
        </w:rPr>
        <w:t xml:space="preserve">After-tax underlying underwriting income has shown remarkable momentum: $2.1 billion in 2022, $3.2 billion in 2023, $4.5 billion in 2024, and $5.5 billion in </w:t>
      </w:r>
      <w:proofErr w:type="gramStart"/>
      <w:r>
        <w:rPr>
          <w:color w:val="333333"/>
        </w:rPr>
        <w:t>2025—</w:t>
      </w:r>
      <w:proofErr w:type="gramEnd"/>
      <w:r>
        <w:rPr>
          <w:color w:val="333333"/>
        </w:rPr>
        <w:t>representing a 23% increase year-over-year and more than a 160% increase in just three years. The full-year 2025 underlying combined ratio across all segments was 84.3%, with the Business Insurance segment delivering an underlying combined ratio of 88% for the third consecutive year below 90%.</w:t>
      </w:r>
    </w:p>
    <w:p w14:paraId="2BB44627" w14:textId="77777777" w:rsidR="00C879BF" w:rsidRDefault="00000000">
      <w:pPr>
        <w:spacing w:after="80" w:line="260" w:lineRule="auto"/>
      </w:pPr>
      <w:r>
        <w:rPr>
          <w:i/>
          <w:iCs/>
          <w:color w:val="666666"/>
          <w:sz w:val="18"/>
          <w:szCs w:val="18"/>
        </w:rPr>
        <w:t>Source: Q4 Earnings Transcript, pp. 5–6; Q4 Press Release, p. 1.</w:t>
      </w:r>
    </w:p>
    <w:p w14:paraId="3DF416B7" w14:textId="77777777" w:rsidR="00C879BF" w:rsidRDefault="00000000">
      <w:pPr>
        <w:pStyle w:val="Heading2"/>
      </w:pPr>
      <w:r>
        <w:t>1.4 Claims Operational Excellence</w:t>
      </w:r>
    </w:p>
    <w:p w14:paraId="58184E6F" w14:textId="77777777" w:rsidR="00C879BF" w:rsidRDefault="00000000">
      <w:pPr>
        <w:spacing w:after="160" w:line="276" w:lineRule="auto"/>
      </w:pPr>
      <w:r>
        <w:rPr>
          <w:color w:val="333333"/>
        </w:rPr>
        <w:t xml:space="preserve">In 2025, Travelers handled approximately 1.5 million claims—roughly one every 20 seconds—and paid out more than $23 billion in claim payments. The company met its objective of closing 90% of catastrophe-related claims within 30 days. More than half of all claims are now eligible for straight-through processing, with customers adopting this path about two-thirds of the time. An additional 15% of claims are processed with advanced digital tools, and </w:t>
      </w:r>
      <w:proofErr w:type="gramStart"/>
      <w:r>
        <w:rPr>
          <w:color w:val="333333"/>
        </w:rPr>
        <w:t>all of</w:t>
      </w:r>
      <w:proofErr w:type="gramEnd"/>
      <w:r>
        <w:rPr>
          <w:color w:val="333333"/>
        </w:rPr>
        <w:t xml:space="preserve"> these adoption percentages continue to grow.</w:t>
      </w:r>
    </w:p>
    <w:p w14:paraId="3785DE01" w14:textId="77777777" w:rsidR="00C879BF" w:rsidRDefault="00000000">
      <w:pPr>
        <w:spacing w:after="80" w:line="260" w:lineRule="auto"/>
      </w:pPr>
      <w:r>
        <w:rPr>
          <w:i/>
          <w:iCs/>
          <w:color w:val="666666"/>
          <w:sz w:val="18"/>
          <w:szCs w:val="18"/>
        </w:rPr>
        <w:t>Source: Q4 Earnings Transcript, pp. 4–5.</w:t>
      </w:r>
    </w:p>
    <w:p w14:paraId="25A29280" w14:textId="77777777" w:rsidR="00C879BF" w:rsidRDefault="00000000">
      <w:pPr>
        <w:pStyle w:val="Heading2"/>
      </w:pPr>
      <w:r>
        <w:t>1.5 Segment Highlights</w:t>
      </w:r>
    </w:p>
    <w:p w14:paraId="68DAEC93" w14:textId="77777777" w:rsidR="00C879BF" w:rsidRDefault="00000000">
      <w:pPr>
        <w:spacing w:before="200" w:after="120"/>
      </w:pPr>
      <w:r>
        <w:rPr>
          <w:b/>
          <w:bCs/>
          <w:color w:val="333333"/>
          <w:sz w:val="22"/>
          <w:szCs w:val="22"/>
        </w:rPr>
        <w:t>Business Insurance</w:t>
      </w:r>
    </w:p>
    <w:p w14:paraId="31B2A675" w14:textId="77777777" w:rsidR="00C879BF" w:rsidRDefault="00000000">
      <w:pPr>
        <w:spacing w:after="160" w:line="276" w:lineRule="auto"/>
      </w:pPr>
      <w:r>
        <w:rPr>
          <w:color w:val="333333"/>
        </w:rPr>
        <w:t xml:space="preserve">The Business Insurance segment delivered full-year segment income of nearly $3.7 billion and net written premiums of $22.7 billion. The underlying combined ratio of 88% was achieved for the third consecutive year below 90%. New business premiums approaching $3 billion reached an all-time </w:t>
      </w:r>
      <w:r>
        <w:rPr>
          <w:color w:val="333333"/>
        </w:rPr>
        <w:lastRenderedPageBreak/>
        <w:t>best, with Middle Market new business of $395 million in Q4 up 11% to an all-time fourth-quarter high. Retention remained exceptional at 87% in Middle Market.</w:t>
      </w:r>
    </w:p>
    <w:p w14:paraId="2DA8B54A" w14:textId="77777777" w:rsidR="00C879BF" w:rsidRDefault="00000000">
      <w:pPr>
        <w:spacing w:after="80" w:line="260" w:lineRule="auto"/>
      </w:pPr>
      <w:r>
        <w:rPr>
          <w:i/>
          <w:iCs/>
          <w:color w:val="666666"/>
          <w:sz w:val="18"/>
          <w:szCs w:val="18"/>
        </w:rPr>
        <w:t>Source: Q4 Earnings Transcript, pp. 7–8; Analyst Supplement, p. 8.</w:t>
      </w:r>
    </w:p>
    <w:p w14:paraId="3C3FA91B" w14:textId="77777777" w:rsidR="00C879BF" w:rsidRDefault="00000000">
      <w:pPr>
        <w:spacing w:before="200" w:after="120"/>
      </w:pPr>
      <w:r>
        <w:rPr>
          <w:b/>
          <w:bCs/>
          <w:color w:val="333333"/>
          <w:sz w:val="22"/>
          <w:szCs w:val="22"/>
        </w:rPr>
        <w:t>Bond &amp; Specialty Insurance</w:t>
      </w:r>
    </w:p>
    <w:p w14:paraId="714746C0" w14:textId="77777777" w:rsidR="00C879BF" w:rsidRDefault="00000000">
      <w:pPr>
        <w:spacing w:after="160" w:line="276" w:lineRule="auto"/>
      </w:pPr>
      <w:r>
        <w:rPr>
          <w:color w:val="333333"/>
        </w:rPr>
        <w:t>The Bond &amp; Specialty segment produced full-year segment income of $950 million and net written premiums of $4.26 billion (up 4% YoY). The full-year combined ratio was an excellent 81.9%, improving 2.4 points year-over-year. The Corvus cyber insurance acquisition was successfully integrated, extending cyber risk services across the portfolio with always-on threat monitoring and same-day alerts.</w:t>
      </w:r>
    </w:p>
    <w:p w14:paraId="56721AB3" w14:textId="77777777" w:rsidR="00C879BF" w:rsidRDefault="00000000">
      <w:pPr>
        <w:spacing w:after="80" w:line="260" w:lineRule="auto"/>
      </w:pPr>
      <w:r>
        <w:rPr>
          <w:i/>
          <w:iCs/>
          <w:color w:val="666666"/>
          <w:sz w:val="18"/>
          <w:szCs w:val="18"/>
        </w:rPr>
        <w:t>Source: Q4 Earnings Transcript, p. 9; Q4 Press Release, p. 7.</w:t>
      </w:r>
    </w:p>
    <w:p w14:paraId="7277350B" w14:textId="77777777" w:rsidR="00C879BF" w:rsidRDefault="00000000">
      <w:pPr>
        <w:spacing w:before="200" w:after="120"/>
      </w:pPr>
      <w:r>
        <w:rPr>
          <w:b/>
          <w:bCs/>
          <w:color w:val="333333"/>
          <w:sz w:val="22"/>
          <w:szCs w:val="22"/>
        </w:rPr>
        <w:t>Personal Insurance</w:t>
      </w:r>
    </w:p>
    <w:p w14:paraId="623AD60A" w14:textId="77777777" w:rsidR="00C879BF" w:rsidRDefault="00000000">
      <w:pPr>
        <w:spacing w:after="160" w:line="276" w:lineRule="auto"/>
      </w:pPr>
      <w:r>
        <w:rPr>
          <w:color w:val="333333"/>
        </w:rPr>
        <w:t>Personal Insurance delivered full-year segment income of $2.053 billion, up $804 million from 2024. The combined ratio improved by 4.9 points to 89.5%, and the underlying combined ratio improved 5.9 points to 78.0%. Since year-end 2020, net written premiums in Personal Insurance grew $6 billion to $17.4 billion. The company reduced property policies-in-force by 10%, primarily in high-catastrophe geographies, reflecting disciplined risk management.</w:t>
      </w:r>
    </w:p>
    <w:p w14:paraId="06321EF8" w14:textId="77777777" w:rsidR="00C879BF" w:rsidRDefault="00000000">
      <w:pPr>
        <w:spacing w:after="80" w:line="260" w:lineRule="auto"/>
      </w:pPr>
      <w:r>
        <w:rPr>
          <w:i/>
          <w:iCs/>
          <w:color w:val="666666"/>
          <w:sz w:val="18"/>
          <w:szCs w:val="18"/>
        </w:rPr>
        <w:t>Source: Q4 Press Release, p. 8; Q4 Earnings Transcript, p. 11.</w:t>
      </w:r>
    </w:p>
    <w:p w14:paraId="4BDAC1B2" w14:textId="77777777" w:rsidR="00C879BF" w:rsidRDefault="00000000">
      <w:pPr>
        <w:pStyle w:val="Heading2"/>
      </w:pPr>
      <w:r>
        <w:t>1.6 Strategic Acquisitions and Portfolio Actions</w:t>
      </w:r>
    </w:p>
    <w:p w14:paraId="2245ACF2" w14:textId="77777777" w:rsidR="00C879BF" w:rsidRDefault="00000000">
      <w:pPr>
        <w:spacing w:after="160" w:line="276" w:lineRule="auto"/>
      </w:pPr>
      <w:r>
        <w:rPr>
          <w:color w:val="333333"/>
        </w:rPr>
        <w:t>Travelers completed the acquisition of Corvus Insurance Holdings on January 2, 2024, for approximately $427 million, adding cyber insurance managing general underwriter capabilities to the Bond &amp; Specialty segment. In May 2025, the company entered into an agreement to sell its Canadian personal and most commercial insurance operations to Definity Financial Corporation for approximately US$2.4 billion; the sale closed on January 2, 2026. The company retained its Canadian surety business, demonstrating disciplined portfolio management.</w:t>
      </w:r>
    </w:p>
    <w:p w14:paraId="66088D3D" w14:textId="77777777" w:rsidR="00C879BF" w:rsidRDefault="00000000">
      <w:pPr>
        <w:spacing w:after="80" w:line="260" w:lineRule="auto"/>
      </w:pPr>
      <w:r>
        <w:rPr>
          <w:i/>
          <w:iCs/>
          <w:color w:val="666666"/>
          <w:sz w:val="18"/>
          <w:szCs w:val="18"/>
        </w:rPr>
        <w:t>Source: TRV 10-K, pp. 123–124; Q4 Earnings Transcript, p. 9.</w:t>
      </w:r>
    </w:p>
    <w:p w14:paraId="711F4861" w14:textId="77777777" w:rsidR="00C879BF" w:rsidRDefault="00000000">
      <w:pPr>
        <w:pStyle w:val="Heading1"/>
        <w:pBdr>
          <w:bottom w:val="single" w:sz="4" w:space="8" w:color="E8712B"/>
        </w:pBdr>
      </w:pPr>
      <w:r>
        <w:t>2. Stated Goals and Strategic Objectives</w:t>
      </w:r>
    </w:p>
    <w:p w14:paraId="5828AEAB" w14:textId="77777777" w:rsidR="00C879BF" w:rsidRDefault="00000000">
      <w:pPr>
        <w:pStyle w:val="Heading2"/>
      </w:pPr>
      <w:r>
        <w:t>2.1 Overarching Strategic Vision</w:t>
      </w:r>
    </w:p>
    <w:p w14:paraId="2BC1B2A9" w14:textId="77777777" w:rsidR="00C879BF" w:rsidRDefault="00000000">
      <w:pPr>
        <w:spacing w:after="160" w:line="276" w:lineRule="auto"/>
      </w:pPr>
      <w:r>
        <w:rPr>
          <w:color w:val="333333"/>
        </w:rPr>
        <w:t>Travelers’ strategy centers on generating industry-leading returns with low volatility through disciplined underwriting, data-driven risk selection, pricing excellence, and continuous innovation. CEO Alan Schnitzer’s stated vision positions Travelers as a leader in what the company calls “Innovation 2.0”—powered by AI, advanced analytics, and eventually quantum computing—building on a decade of foundational innovation work.</w:t>
      </w:r>
    </w:p>
    <w:p w14:paraId="40EFBD62" w14:textId="77777777" w:rsidR="00C879BF" w:rsidRDefault="00000000">
      <w:pPr>
        <w:spacing w:after="80" w:line="260" w:lineRule="auto"/>
      </w:pPr>
      <w:r>
        <w:rPr>
          <w:i/>
          <w:iCs/>
          <w:color w:val="666666"/>
          <w:sz w:val="18"/>
          <w:szCs w:val="18"/>
        </w:rPr>
        <w:t>Source: Q4 Earnings Transcript, pp. 3–4.</w:t>
      </w:r>
    </w:p>
    <w:p w14:paraId="48413716" w14:textId="77777777" w:rsidR="00C879BF" w:rsidRDefault="00000000">
      <w:pPr>
        <w:pStyle w:val="Heading2"/>
      </w:pPr>
      <w:r>
        <w:t>2.2 Specific Strategic Goals</w:t>
      </w:r>
    </w:p>
    <w:p w14:paraId="08EB22B5" w14:textId="77777777" w:rsidR="00C879BF" w:rsidRDefault="00000000">
      <w:pPr>
        <w:spacing w:after="160" w:line="276" w:lineRule="auto"/>
      </w:pPr>
      <w:r>
        <w:rPr>
          <w:color w:val="333333"/>
        </w:rPr>
        <w:t xml:space="preserve">Based on public statements and filings, </w:t>
      </w:r>
      <w:proofErr w:type="gramStart"/>
      <w:r>
        <w:rPr>
          <w:color w:val="333333"/>
        </w:rPr>
        <w:t>Travelers’</w:t>
      </w:r>
      <w:proofErr w:type="gramEnd"/>
      <w:r>
        <w:rPr>
          <w:color w:val="333333"/>
        </w:rPr>
        <w:t xml:space="preserve"> stated objectives include the following key areas:</w:t>
      </w:r>
    </w:p>
    <w:p w14:paraId="3F9F39D1" w14:textId="77777777" w:rsidR="00C879BF" w:rsidRDefault="00000000">
      <w:pPr>
        <w:spacing w:after="160" w:line="276" w:lineRule="auto"/>
      </w:pPr>
      <w:r>
        <w:rPr>
          <w:b/>
          <w:bCs/>
          <w:color w:val="333333"/>
        </w:rPr>
        <w:lastRenderedPageBreak/>
        <w:t xml:space="preserve">Profitable Growth Over Market Share: </w:t>
      </w:r>
      <w:r>
        <w:rPr>
          <w:color w:val="333333"/>
        </w:rPr>
        <w:t>The company explicitly prioritizes product returns and profitable growth over premium volume or market share. Pricing is developed based on expected losses, expense estimation, time value of money, and a reasonable profit margin considering capital requirements.</w:t>
      </w:r>
    </w:p>
    <w:p w14:paraId="5A79EC61" w14:textId="77777777" w:rsidR="00C879BF" w:rsidRDefault="00000000">
      <w:pPr>
        <w:spacing w:after="80" w:line="260" w:lineRule="auto"/>
      </w:pPr>
      <w:r>
        <w:rPr>
          <w:i/>
          <w:iCs/>
          <w:color w:val="666666"/>
          <w:sz w:val="18"/>
          <w:szCs w:val="18"/>
        </w:rPr>
        <w:t>Source: TRV 10-K, p. 3.</w:t>
      </w:r>
    </w:p>
    <w:p w14:paraId="126E1CD5" w14:textId="77777777" w:rsidR="00C879BF" w:rsidRDefault="00000000">
      <w:pPr>
        <w:spacing w:after="160" w:line="276" w:lineRule="auto"/>
      </w:pPr>
      <w:r>
        <w:rPr>
          <w:b/>
          <w:bCs/>
          <w:color w:val="333333"/>
        </w:rPr>
        <w:t xml:space="preserve">Innovation 2.0 — AI-Driven Transformation: </w:t>
      </w:r>
      <w:r>
        <w:rPr>
          <w:color w:val="333333"/>
        </w:rPr>
        <w:t xml:space="preserve">Travelers </w:t>
      </w:r>
      <w:proofErr w:type="gramStart"/>
      <w:r>
        <w:rPr>
          <w:color w:val="333333"/>
        </w:rPr>
        <w:t>aims</w:t>
      </w:r>
      <w:proofErr w:type="gramEnd"/>
      <w:r>
        <w:rPr>
          <w:color w:val="333333"/>
        </w:rPr>
        <w:t xml:space="preserve"> to apply AI and advanced technology across the entire insurance value chain, from product development and underwriting to claims processing and customer experience. The company has articulated a goal of using AI to achieve more effective underwriting, improved operating leverage, and continued profitable growth.</w:t>
      </w:r>
    </w:p>
    <w:p w14:paraId="2554D7D2" w14:textId="77777777" w:rsidR="00C879BF" w:rsidRDefault="00000000">
      <w:pPr>
        <w:spacing w:after="80" w:line="260" w:lineRule="auto"/>
      </w:pPr>
      <w:r>
        <w:rPr>
          <w:i/>
          <w:iCs/>
          <w:color w:val="666666"/>
          <w:sz w:val="18"/>
          <w:szCs w:val="18"/>
        </w:rPr>
        <w:t>Source: Q4 Earnings Transcript, pp. 4–5.</w:t>
      </w:r>
    </w:p>
    <w:p w14:paraId="42E84EDB" w14:textId="77777777" w:rsidR="00C879BF" w:rsidRDefault="00000000">
      <w:pPr>
        <w:spacing w:after="160" w:line="276" w:lineRule="auto"/>
      </w:pPr>
      <w:r>
        <w:rPr>
          <w:b/>
          <w:bCs/>
          <w:color w:val="333333"/>
        </w:rPr>
        <w:t xml:space="preserve">Shareholder Value Creation: </w:t>
      </w:r>
      <w:r>
        <w:rPr>
          <w:color w:val="333333"/>
        </w:rPr>
        <w:t>The company is committed to generating substantial and durable shareholder value through strong profitability, high cash flow, growing investment income, and consistent capital return. In 2025, Travelers returned $4.2 billion to shareholders while simultaneously investing more than $1.5 billion in technology.</w:t>
      </w:r>
    </w:p>
    <w:p w14:paraId="652610E8" w14:textId="77777777" w:rsidR="00C879BF" w:rsidRDefault="00000000">
      <w:pPr>
        <w:spacing w:after="80" w:line="260" w:lineRule="auto"/>
      </w:pPr>
      <w:r>
        <w:rPr>
          <w:i/>
          <w:iCs/>
          <w:color w:val="666666"/>
          <w:sz w:val="18"/>
          <w:szCs w:val="18"/>
        </w:rPr>
        <w:t>Source: Q4 Press Release, pp. 1–2.</w:t>
      </w:r>
    </w:p>
    <w:p w14:paraId="00637CF6" w14:textId="77777777" w:rsidR="00C879BF" w:rsidRDefault="00000000">
      <w:pPr>
        <w:spacing w:after="160" w:line="276" w:lineRule="auto"/>
      </w:pPr>
      <w:r>
        <w:rPr>
          <w:b/>
          <w:bCs/>
          <w:color w:val="333333"/>
        </w:rPr>
        <w:t xml:space="preserve">Operational Excellence in Claims: </w:t>
      </w:r>
      <w:r>
        <w:rPr>
          <w:color w:val="333333"/>
        </w:rPr>
        <w:t>Travelers targets closing 90% of catastrophe claims within 30 days and continues to expand straight-through processing and digital tools adoption. The company aims to consolidate claim call centers from four to two in 2026, enabled by AI and automation investments.</w:t>
      </w:r>
    </w:p>
    <w:p w14:paraId="03BD9355" w14:textId="77777777" w:rsidR="00C879BF" w:rsidRDefault="00000000">
      <w:pPr>
        <w:spacing w:after="80" w:line="260" w:lineRule="auto"/>
      </w:pPr>
      <w:r>
        <w:rPr>
          <w:i/>
          <w:iCs/>
          <w:color w:val="666666"/>
          <w:sz w:val="18"/>
          <w:szCs w:val="18"/>
        </w:rPr>
        <w:t>Source: Q4 Earnings Transcript, pp. 4–5.</w:t>
      </w:r>
    </w:p>
    <w:p w14:paraId="1AC9CC92" w14:textId="77777777" w:rsidR="00C879BF" w:rsidRDefault="00000000">
      <w:pPr>
        <w:spacing w:after="160" w:line="276" w:lineRule="auto"/>
      </w:pPr>
      <w:r>
        <w:rPr>
          <w:b/>
          <w:bCs/>
          <w:color w:val="333333"/>
        </w:rPr>
        <w:t xml:space="preserve">Distribution Partner and Customer Experience: </w:t>
      </w:r>
      <w:r>
        <w:rPr>
          <w:color w:val="333333"/>
        </w:rPr>
        <w:t>The company focuses on delivering a compelling value proposition to its network of over 12,700 independent agents and brokers, enhancing ease of doing business through digital tools and improved product offerings.</w:t>
      </w:r>
    </w:p>
    <w:p w14:paraId="4AB9B0BA" w14:textId="77777777" w:rsidR="00C879BF" w:rsidRDefault="00000000">
      <w:pPr>
        <w:spacing w:after="80" w:line="260" w:lineRule="auto"/>
      </w:pPr>
      <w:r>
        <w:rPr>
          <w:i/>
          <w:iCs/>
          <w:color w:val="666666"/>
          <w:sz w:val="18"/>
          <w:szCs w:val="18"/>
        </w:rPr>
        <w:t>Source: TRV 10-K, p. 2; Q4 Earnings Transcript, p. 18.</w:t>
      </w:r>
    </w:p>
    <w:p w14:paraId="50BD9F41" w14:textId="77777777" w:rsidR="00C879BF" w:rsidRDefault="00000000">
      <w:pPr>
        <w:pStyle w:val="Heading1"/>
        <w:pBdr>
          <w:bottom w:val="single" w:sz="4" w:space="8" w:color="E8712B"/>
        </w:pBdr>
      </w:pPr>
      <w:r>
        <w:t>3. Key Initiatives</w:t>
      </w:r>
    </w:p>
    <w:p w14:paraId="1593744E" w14:textId="77777777" w:rsidR="00C879BF" w:rsidRDefault="00000000">
      <w:pPr>
        <w:pStyle w:val="Heading2"/>
      </w:pPr>
      <w:r>
        <w:t>3.1 Anthropic AI Partnership</w:t>
      </w:r>
    </w:p>
    <w:p w14:paraId="54E19932" w14:textId="77777777" w:rsidR="00C879BF" w:rsidRDefault="00000000">
      <w:pPr>
        <w:spacing w:after="160" w:line="276" w:lineRule="auto"/>
      </w:pPr>
      <w:r>
        <w:rPr>
          <w:color w:val="333333"/>
        </w:rPr>
        <w:t>In January 2026, Travelers announced a partnership with Anthropic to empower 10,000 engineers, data scientists, analysts, and product owners with personalized, context-aware, and integrated AI assistance. In extensive testing, the company achieved significantly improved engineering output and meaningful productivity gains. The initiative is expected to accelerate the delivery of software, analytics, and predictive models across the enterprise—impacting product development, underwriting speed and quality, agent/customer service, and new business prospecting.</w:t>
      </w:r>
    </w:p>
    <w:p w14:paraId="6DBEEA3A" w14:textId="77777777" w:rsidR="00C879BF" w:rsidRDefault="00000000">
      <w:pPr>
        <w:spacing w:after="80" w:line="260" w:lineRule="auto"/>
      </w:pPr>
      <w:r>
        <w:rPr>
          <w:i/>
          <w:iCs/>
          <w:color w:val="666666"/>
          <w:sz w:val="18"/>
          <w:szCs w:val="18"/>
        </w:rPr>
        <w:t>Source: Q4 Earnings Transcript, p. 4.</w:t>
      </w:r>
    </w:p>
    <w:p w14:paraId="502CB5D2" w14:textId="77777777" w:rsidR="00C879BF" w:rsidRDefault="00000000">
      <w:pPr>
        <w:pStyle w:val="Heading2"/>
      </w:pPr>
      <w:r>
        <w:t>3.2 Generative AI Voice Agent for Claims</w:t>
      </w:r>
    </w:p>
    <w:p w14:paraId="5E4811C7" w14:textId="77777777" w:rsidR="00C879BF" w:rsidRDefault="00000000">
      <w:pPr>
        <w:spacing w:after="160" w:line="276" w:lineRule="auto"/>
      </w:pPr>
      <w:r>
        <w:rPr>
          <w:color w:val="333333"/>
        </w:rPr>
        <w:t xml:space="preserve">Travelers launched a natural language Generative AI voice agent to handle first notice of loss by phone, deployed in January 2026. This initiative serves customers who prefer calling (as opposed to </w:t>
      </w:r>
      <w:r>
        <w:rPr>
          <w:color w:val="333333"/>
        </w:rPr>
        <w:lastRenderedPageBreak/>
        <w:t>digital self-service) and early customer adoption has exceeded expectations. The voice agent complements the existing digital straight-through processing capabilities.</w:t>
      </w:r>
    </w:p>
    <w:p w14:paraId="0DDEECFE" w14:textId="77777777" w:rsidR="00C879BF" w:rsidRDefault="00000000">
      <w:pPr>
        <w:spacing w:after="80" w:line="260" w:lineRule="auto"/>
      </w:pPr>
      <w:r>
        <w:rPr>
          <w:i/>
          <w:iCs/>
          <w:color w:val="666666"/>
          <w:sz w:val="18"/>
          <w:szCs w:val="18"/>
        </w:rPr>
        <w:t>Source: Q4 Earnings Transcript, p. 4.</w:t>
      </w:r>
    </w:p>
    <w:p w14:paraId="3C367CC1" w14:textId="77777777" w:rsidR="00C879BF" w:rsidRDefault="00000000">
      <w:pPr>
        <w:pStyle w:val="Heading2"/>
      </w:pPr>
      <w:r>
        <w:t>3.3 Claims Automation and Straight-Through Processing</w:t>
      </w:r>
    </w:p>
    <w:p w14:paraId="115CBF99" w14:textId="77777777" w:rsidR="00C879BF" w:rsidRDefault="00000000">
      <w:pPr>
        <w:spacing w:after="160" w:line="276" w:lineRule="auto"/>
      </w:pPr>
      <w:r>
        <w:rPr>
          <w:color w:val="333333"/>
        </w:rPr>
        <w:t>More than half of all claims are now eligible for straight-through processing, with customers adopting it about two-thirds of the time. An additional 15% are processed via advanced digital tools. These investments have reduced the claim call center population by one-third, and the company plans to consolidate from four claim call centers to two in 2026. Efficiency gains flow through loss adjustment expense, improving the loss ratio.</w:t>
      </w:r>
    </w:p>
    <w:p w14:paraId="2E2F0F00" w14:textId="77777777" w:rsidR="00C879BF" w:rsidRDefault="00000000">
      <w:pPr>
        <w:spacing w:after="80" w:line="260" w:lineRule="auto"/>
      </w:pPr>
      <w:r>
        <w:rPr>
          <w:i/>
          <w:iCs/>
          <w:color w:val="666666"/>
          <w:sz w:val="18"/>
          <w:szCs w:val="18"/>
        </w:rPr>
        <w:t>Source: Q4 Earnings Transcript, pp. 4–5.</w:t>
      </w:r>
    </w:p>
    <w:p w14:paraId="5E5F323D" w14:textId="77777777" w:rsidR="00C879BF" w:rsidRDefault="00000000">
      <w:pPr>
        <w:pStyle w:val="Heading2"/>
      </w:pPr>
      <w:r>
        <w:t>3.4 AI-Powered Underwriting Decision Support</w:t>
      </w:r>
    </w:p>
    <w:p w14:paraId="051733B1" w14:textId="77777777" w:rsidR="00C879BF" w:rsidRDefault="00000000">
      <w:pPr>
        <w:spacing w:after="160" w:line="276" w:lineRule="auto"/>
      </w:pPr>
      <w:r>
        <w:rPr>
          <w:color w:val="333333"/>
        </w:rPr>
        <w:t xml:space="preserve">Travelers </w:t>
      </w:r>
      <w:proofErr w:type="gramStart"/>
      <w:r>
        <w:rPr>
          <w:color w:val="333333"/>
        </w:rPr>
        <w:t>has</w:t>
      </w:r>
      <w:proofErr w:type="gramEnd"/>
      <w:r>
        <w:rPr>
          <w:color w:val="333333"/>
        </w:rPr>
        <w:t xml:space="preserve"> built and deployed decision support tools at the point of sale that leverage models driving risk characteristics, refining technical pricing, and summarizing historical model loss experience. In Business Insurance, the new BOP (Business Owners Policy) product is fully rolled out, and the new Auto product is live in 46 states, both with industry-leading segmentation. In Personal Insurance, a proprietary AI-enabled predictive model scores every account in the property portfolio, with Generative AI consolidating data into underwriter-ready summaries, yielding more than a 30% reduction in average handle time.</w:t>
      </w:r>
    </w:p>
    <w:p w14:paraId="6626C57F" w14:textId="77777777" w:rsidR="00C879BF" w:rsidRDefault="00000000">
      <w:pPr>
        <w:spacing w:after="80" w:line="260" w:lineRule="auto"/>
      </w:pPr>
      <w:r>
        <w:rPr>
          <w:i/>
          <w:iCs/>
          <w:color w:val="666666"/>
          <w:sz w:val="18"/>
          <w:szCs w:val="18"/>
        </w:rPr>
        <w:t>Source: Q4 Earnings Transcript, pp. 8, 11.</w:t>
      </w:r>
    </w:p>
    <w:p w14:paraId="78737BD0" w14:textId="77777777" w:rsidR="00C879BF" w:rsidRDefault="00000000">
      <w:pPr>
        <w:pStyle w:val="Heading2"/>
      </w:pPr>
      <w:r>
        <w:t>3.5 Gen AI for Submission Intake and Risk Classification</w:t>
      </w:r>
    </w:p>
    <w:p w14:paraId="0161E33C" w14:textId="77777777" w:rsidR="00C879BF" w:rsidRDefault="00000000">
      <w:pPr>
        <w:spacing w:after="160" w:line="276" w:lineRule="auto"/>
      </w:pPr>
      <w:r>
        <w:rPr>
          <w:color w:val="333333"/>
        </w:rPr>
        <w:t xml:space="preserve">In Bond &amp; Specialty Insurance, AI investments have automated submission intake for new business, reducing ingestion time from </w:t>
      </w:r>
      <w:proofErr w:type="gramStart"/>
      <w:r>
        <w:rPr>
          <w:color w:val="333333"/>
        </w:rPr>
        <w:t>hours</w:t>
      </w:r>
      <w:proofErr w:type="gramEnd"/>
      <w:r>
        <w:rPr>
          <w:color w:val="333333"/>
        </w:rPr>
        <w:t xml:space="preserve"> to </w:t>
      </w:r>
      <w:proofErr w:type="gramStart"/>
      <w:r>
        <w:rPr>
          <w:color w:val="333333"/>
        </w:rPr>
        <w:t>minutes</w:t>
      </w:r>
      <w:proofErr w:type="gramEnd"/>
      <w:r>
        <w:rPr>
          <w:color w:val="333333"/>
        </w:rPr>
        <w:t>. This capability was recently extended to renewal workflows. Additionally, Gen AI agents have been rolled out to mine internal and external data sources to improve risk classification and segmented pricing in the Business Insurance segment.</w:t>
      </w:r>
    </w:p>
    <w:p w14:paraId="23573443" w14:textId="77777777" w:rsidR="00C879BF" w:rsidRDefault="00000000">
      <w:pPr>
        <w:spacing w:after="80" w:line="260" w:lineRule="auto"/>
      </w:pPr>
      <w:r>
        <w:rPr>
          <w:i/>
          <w:iCs/>
          <w:color w:val="666666"/>
          <w:sz w:val="18"/>
          <w:szCs w:val="18"/>
        </w:rPr>
        <w:t>Source: Q4 Earnings Transcript, pp. 8–9.</w:t>
      </w:r>
    </w:p>
    <w:p w14:paraId="637CC269" w14:textId="77777777" w:rsidR="00C879BF" w:rsidRDefault="00000000">
      <w:pPr>
        <w:pStyle w:val="Heading2"/>
      </w:pPr>
      <w:r>
        <w:t>3.6 Corvus Cyber Risk Services Integration</w:t>
      </w:r>
    </w:p>
    <w:p w14:paraId="443B13D8" w14:textId="77777777" w:rsidR="00C879BF" w:rsidRDefault="00000000">
      <w:pPr>
        <w:spacing w:after="160" w:line="276" w:lineRule="auto"/>
      </w:pPr>
      <w:r>
        <w:rPr>
          <w:color w:val="333333"/>
        </w:rPr>
        <w:t>Following the January 2024 acquisition, Travelers has extended Corvus’s cyber risk services to customers across the Bond &amp; Specialty portfolio. These services include always-on threat monitoring with same-day alerts, continuous dark web surveillance, 24/7 access to a tailored policyholder dashboard, and personalized security consultations from in-house cyber experts. Management reports that these capabilities are helping customers manage cyber risks more effectively and mitigating Travelers’ exposure to evolving cyber vulnerabilities.</w:t>
      </w:r>
    </w:p>
    <w:p w14:paraId="29751199" w14:textId="77777777" w:rsidR="00C879BF" w:rsidRDefault="00000000">
      <w:pPr>
        <w:spacing w:after="80" w:line="260" w:lineRule="auto"/>
      </w:pPr>
      <w:r>
        <w:rPr>
          <w:i/>
          <w:iCs/>
          <w:color w:val="666666"/>
          <w:sz w:val="18"/>
          <w:szCs w:val="18"/>
        </w:rPr>
        <w:t>Source: Q4 Earnings Transcript, p. 9.</w:t>
      </w:r>
    </w:p>
    <w:p w14:paraId="0B30E30B" w14:textId="77777777" w:rsidR="00C879BF" w:rsidRDefault="00000000">
      <w:pPr>
        <w:pStyle w:val="Heading2"/>
      </w:pPr>
      <w:r>
        <w:t>3.7 Personal Insurance Portfolio Repositioning</w:t>
      </w:r>
    </w:p>
    <w:p w14:paraId="6D82C2E8" w14:textId="77777777" w:rsidR="00C879BF" w:rsidRDefault="00000000">
      <w:pPr>
        <w:spacing w:after="160" w:line="276" w:lineRule="auto"/>
      </w:pPr>
      <w:r>
        <w:rPr>
          <w:color w:val="333333"/>
        </w:rPr>
        <w:t xml:space="preserve">Over the past several years, Travelers has executed a granular strategy in Personal Insurance to optimize risk-return profiles. Property policies-in-force were reduced by 10%, with most reductions in </w:t>
      </w:r>
      <w:r>
        <w:rPr>
          <w:color w:val="333333"/>
        </w:rPr>
        <w:lastRenderedPageBreak/>
        <w:t>high-catastrophe geographies. The company also worked to align replacement costs with insured values and shift the portfolio toward a better balance between Auto and Property. These actions are winding down heading into 2026, with the focus shifting to deploying property capacity to support package business.</w:t>
      </w:r>
    </w:p>
    <w:p w14:paraId="4C7C3B09" w14:textId="77777777" w:rsidR="00C879BF" w:rsidRDefault="00000000">
      <w:pPr>
        <w:spacing w:after="80" w:line="260" w:lineRule="auto"/>
      </w:pPr>
      <w:r>
        <w:rPr>
          <w:i/>
          <w:iCs/>
          <w:color w:val="666666"/>
          <w:sz w:val="18"/>
          <w:szCs w:val="18"/>
        </w:rPr>
        <w:t>Source: Q4 Earnings Transcript, p. 11.</w:t>
      </w:r>
    </w:p>
    <w:p w14:paraId="54F1B2BE" w14:textId="77777777" w:rsidR="00C879BF" w:rsidRDefault="00000000">
      <w:pPr>
        <w:pStyle w:val="Heading2"/>
      </w:pPr>
      <w:r>
        <w:t>3.8 Canadian Business Divestiture</w:t>
      </w:r>
    </w:p>
    <w:p w14:paraId="57630122" w14:textId="77777777" w:rsidR="00C879BF" w:rsidRDefault="00000000">
      <w:pPr>
        <w:spacing w:after="160" w:line="276" w:lineRule="auto"/>
      </w:pPr>
      <w:r>
        <w:rPr>
          <w:color w:val="333333"/>
        </w:rPr>
        <w:t>Travelers entered into an agreement to sell its Canadian personal and most commercial insurance operations to Definity Financial Corporation for approximately US$2.4 billion, closing on January 2, 2026. The company retained its Canadian surety business. This divestiture reflects portfolio optimization and capital reallocation toward higher-return opportunities.</w:t>
      </w:r>
    </w:p>
    <w:p w14:paraId="0C2F5497" w14:textId="77777777" w:rsidR="00C879BF" w:rsidRDefault="00000000">
      <w:pPr>
        <w:spacing w:after="80" w:line="260" w:lineRule="auto"/>
      </w:pPr>
      <w:r>
        <w:rPr>
          <w:i/>
          <w:iCs/>
          <w:color w:val="666666"/>
          <w:sz w:val="18"/>
          <w:szCs w:val="18"/>
        </w:rPr>
        <w:t>Source: TRV 10-K, pp. 123–124.</w:t>
      </w:r>
    </w:p>
    <w:p w14:paraId="0ECCD32A" w14:textId="77777777" w:rsidR="00C879BF" w:rsidRDefault="00000000">
      <w:pPr>
        <w:pStyle w:val="Heading2"/>
      </w:pPr>
      <w:r>
        <w:t>3.9 Technology Investment at Scale</w:t>
      </w:r>
    </w:p>
    <w:p w14:paraId="62CDAF79" w14:textId="77777777" w:rsidR="00C879BF" w:rsidRDefault="00000000">
      <w:pPr>
        <w:spacing w:after="160" w:line="276" w:lineRule="auto"/>
      </w:pPr>
      <w:r>
        <w:rPr>
          <w:color w:val="333333"/>
        </w:rPr>
        <w:t>In 2025, Travelers invested more than $1.5 billion in AI and other technology initiatives. The company employs thousands of engineers, data scientists, and analysts building AI solutions. Dozens of Generative AI tools are in production at scale, millions of transactions are automated, and over 20,000 employees use AI tools regularly. Agentic AI is described as already embedded in business operations today, not a future aspiration.</w:t>
      </w:r>
    </w:p>
    <w:p w14:paraId="07D19E29" w14:textId="77777777" w:rsidR="00C879BF" w:rsidRDefault="00000000">
      <w:pPr>
        <w:spacing w:after="80" w:line="260" w:lineRule="auto"/>
      </w:pPr>
      <w:r>
        <w:rPr>
          <w:i/>
          <w:iCs/>
          <w:color w:val="666666"/>
          <w:sz w:val="18"/>
          <w:szCs w:val="18"/>
        </w:rPr>
        <w:t>Source: Q4 Earnings Transcript, p. 4; Q4 Press Release, p. 1.</w:t>
      </w:r>
    </w:p>
    <w:p w14:paraId="0FAD3F46" w14:textId="77777777" w:rsidR="00C879BF" w:rsidRDefault="00000000">
      <w:pPr>
        <w:pStyle w:val="Heading1"/>
        <w:pBdr>
          <w:bottom w:val="single" w:sz="4" w:space="8" w:color="E8712B"/>
        </w:pBdr>
      </w:pPr>
      <w:r>
        <w:t>4. Progress and Achievements Against Goals</w:t>
      </w:r>
    </w:p>
    <w:p w14:paraId="046112A3" w14:textId="77777777" w:rsidR="00C879BF" w:rsidRDefault="00000000">
      <w:pPr>
        <w:pStyle w:val="Heading2"/>
      </w:pPr>
      <w:r>
        <w:t>4.1 Financial Goals</w:t>
      </w:r>
    </w:p>
    <w:p w14:paraId="1B149F27" w14:textId="77777777" w:rsidR="00C879BF" w:rsidRDefault="00000000">
      <w:pPr>
        <w:spacing w:after="160" w:line="276" w:lineRule="auto"/>
      </w:pPr>
      <w:r>
        <w:rPr>
          <w:color w:val="333333"/>
        </w:rPr>
        <w:t xml:space="preserve">Travelers </w:t>
      </w:r>
      <w:proofErr w:type="gramStart"/>
      <w:r>
        <w:rPr>
          <w:color w:val="333333"/>
        </w:rPr>
        <w:t>has</w:t>
      </w:r>
      <w:proofErr w:type="gramEnd"/>
      <w:r>
        <w:rPr>
          <w:color w:val="333333"/>
        </w:rPr>
        <w:t xml:space="preserve"> achieved remarkable financial momentum. The core return on equity has averaged more than 1,000 basis points above the 10-year treasury over the past decade at industry-low volatility, and EPS has grown at an average of 12% per year. The underlying underwriting income trajectory ($2.1B → $3.2B → $4.5B → $5.5B from 2022–2025) demonstrates the compounding effect of the company’s strategy. The five consecutive quarters of underlying combined ratio below 85% further validates the approach.</w:t>
      </w:r>
    </w:p>
    <w:p w14:paraId="012A6DE5" w14:textId="77777777" w:rsidR="00C879BF" w:rsidRDefault="00000000">
      <w:pPr>
        <w:spacing w:after="80" w:line="260" w:lineRule="auto"/>
      </w:pPr>
      <w:r>
        <w:rPr>
          <w:i/>
          <w:iCs/>
          <w:color w:val="666666"/>
          <w:sz w:val="18"/>
          <w:szCs w:val="18"/>
        </w:rPr>
        <w:t>Source: Q4 Earnings Transcript, pp. 3–6.</w:t>
      </w:r>
    </w:p>
    <w:p w14:paraId="53C68BAF" w14:textId="77777777" w:rsidR="00C879BF" w:rsidRDefault="00000000">
      <w:pPr>
        <w:pStyle w:val="Heading2"/>
      </w:pPr>
      <w:r>
        <w:t>4.2 Innovation and Technology Progress</w:t>
      </w:r>
    </w:p>
    <w:p w14:paraId="02E999D6" w14:textId="77777777" w:rsidR="00C879BF" w:rsidRDefault="00000000">
      <w:pPr>
        <w:spacing w:after="160" w:line="276" w:lineRule="auto"/>
      </w:pPr>
      <w:r>
        <w:rPr>
          <w:color w:val="333333"/>
        </w:rPr>
        <w:t xml:space="preserve">The company has successfully transitioned from what it terms “Innovation 1.0” (foundational analytics, data infrastructure, and digital tools) to “Innovation 2.0” (AI-powered transformation). Tangible proof points </w:t>
      </w:r>
      <w:proofErr w:type="gramStart"/>
      <w:r>
        <w:rPr>
          <w:color w:val="333333"/>
        </w:rPr>
        <w:t>include:</w:t>
      </w:r>
      <w:proofErr w:type="gramEnd"/>
      <w:r>
        <w:rPr>
          <w:color w:val="333333"/>
        </w:rPr>
        <w:t xml:space="preserve"> dozens of Gen AI tools in production, millions of automated transactions, 20,000+ employees using AI regularly, agentic AI embedded in operations, 30%+ reduction in renewal underwriting handle time for Personal Insurance property, and submission intake times reduced from hours to minutes in Bond &amp; Specialty. The claim call center population is already down by one-third </w:t>
      </w:r>
      <w:proofErr w:type="gramStart"/>
      <w:r>
        <w:rPr>
          <w:color w:val="333333"/>
        </w:rPr>
        <w:t>from</w:t>
      </w:r>
      <w:proofErr w:type="gramEnd"/>
      <w:r>
        <w:rPr>
          <w:color w:val="333333"/>
        </w:rPr>
        <w:t xml:space="preserve"> these investments.</w:t>
      </w:r>
    </w:p>
    <w:p w14:paraId="56BF5CD7" w14:textId="77777777" w:rsidR="00C879BF" w:rsidRDefault="00000000">
      <w:pPr>
        <w:spacing w:after="80" w:line="260" w:lineRule="auto"/>
      </w:pPr>
      <w:r>
        <w:rPr>
          <w:i/>
          <w:iCs/>
          <w:color w:val="666666"/>
          <w:sz w:val="18"/>
          <w:szCs w:val="18"/>
        </w:rPr>
        <w:lastRenderedPageBreak/>
        <w:t>Source: Q4 Earnings Transcript, pp. 4–5, 8–9, 11.</w:t>
      </w:r>
    </w:p>
    <w:p w14:paraId="0659837F" w14:textId="77777777" w:rsidR="00C879BF" w:rsidRDefault="00000000">
      <w:pPr>
        <w:pStyle w:val="Heading2"/>
      </w:pPr>
      <w:r>
        <w:t>4.3 Claims Transformation Progress</w:t>
      </w:r>
    </w:p>
    <w:p w14:paraId="33164C05" w14:textId="77777777" w:rsidR="00C879BF" w:rsidRDefault="00000000">
      <w:pPr>
        <w:spacing w:after="160" w:line="276" w:lineRule="auto"/>
      </w:pPr>
      <w:r>
        <w:rPr>
          <w:color w:val="333333"/>
        </w:rPr>
        <w:t>The 90% target for closing catastrophe claims within 30 days was met in 2025. Straight-through processing eligibility now covers more than half of all claims, with two-thirds customer adoption where eligible. The Gen AI voice agent launched in January 2026 is already exceeding adoption expectations. The consolidation from four to two claim call centers is on track for 2026.</w:t>
      </w:r>
    </w:p>
    <w:p w14:paraId="796F2E16" w14:textId="77777777" w:rsidR="00C879BF" w:rsidRDefault="00000000">
      <w:pPr>
        <w:spacing w:after="80" w:line="260" w:lineRule="auto"/>
      </w:pPr>
      <w:r>
        <w:rPr>
          <w:i/>
          <w:iCs/>
          <w:color w:val="666666"/>
          <w:sz w:val="18"/>
          <w:szCs w:val="18"/>
        </w:rPr>
        <w:t>Source: Q4 Earnings Transcript, pp. 4–5.</w:t>
      </w:r>
    </w:p>
    <w:p w14:paraId="3947ECC4" w14:textId="77777777" w:rsidR="00C879BF" w:rsidRDefault="00000000">
      <w:pPr>
        <w:pStyle w:val="Heading2"/>
      </w:pPr>
      <w:r>
        <w:t>4.4 Product and Market Execution</w:t>
      </w:r>
    </w:p>
    <w:p w14:paraId="1752EEE7" w14:textId="77777777" w:rsidR="00C879BF" w:rsidRDefault="00000000">
      <w:pPr>
        <w:spacing w:after="160" w:line="276" w:lineRule="auto"/>
      </w:pPr>
      <w:r>
        <w:rPr>
          <w:color w:val="333333"/>
        </w:rPr>
        <w:t>The new BOP product is fully rolled out, and the new Auto product is live in 46 states with industry-leading segmentation. In Business Insurance, new business premiums approaching $3 billion reached an all-time best. Corvus cyber integration is complete, and cyber risk services have been extended across the Bond &amp; Specialty portfolio. Personal Insurance profitability has improved materially—the underlying combined ratio improved nearly 6 points to 78.0%.</w:t>
      </w:r>
    </w:p>
    <w:p w14:paraId="63A3C345" w14:textId="77777777" w:rsidR="00C879BF" w:rsidRDefault="00000000">
      <w:pPr>
        <w:spacing w:after="80" w:line="260" w:lineRule="auto"/>
      </w:pPr>
      <w:r>
        <w:rPr>
          <w:i/>
          <w:iCs/>
          <w:color w:val="666666"/>
          <w:sz w:val="18"/>
          <w:szCs w:val="18"/>
        </w:rPr>
        <w:t>Source: Q4 Earnings Transcript, pp. 8–11; Q4 Press Release, p. 8.</w:t>
      </w:r>
    </w:p>
    <w:p w14:paraId="1C87267B" w14:textId="77777777" w:rsidR="00C879BF" w:rsidRDefault="00000000">
      <w:pPr>
        <w:pStyle w:val="Heading1"/>
        <w:pBdr>
          <w:bottom w:val="single" w:sz="4" w:space="8" w:color="E8712B"/>
        </w:pBdr>
      </w:pPr>
      <w:r>
        <w:t>5. Outstanding Objectives</w:t>
      </w:r>
    </w:p>
    <w:p w14:paraId="07DBEC31" w14:textId="77777777" w:rsidR="00C879BF" w:rsidRDefault="00000000">
      <w:pPr>
        <w:pStyle w:val="Heading2"/>
      </w:pPr>
      <w:r>
        <w:t>5.1 Innovation 2.0 at Scale</w:t>
      </w:r>
    </w:p>
    <w:p w14:paraId="1B00CD6C" w14:textId="77777777" w:rsidR="00C879BF" w:rsidRDefault="00000000">
      <w:pPr>
        <w:spacing w:after="160" w:line="276" w:lineRule="auto"/>
      </w:pPr>
      <w:r>
        <w:rPr>
          <w:color w:val="333333"/>
        </w:rPr>
        <w:t>While the company has made substantial progress, leadership acknowledges they are still early in the AI-driven transformation. CEO Schnitzer stated the benefits of more effective underwriting, improved operating leverage, and profitable growth will continue to build. The Anthropic partnership targeting 10,000 technical employees is in early deployment. Quantum computing was referenced as a future capability that is “not too far off.” The full benefits of Innovation 2.0 have yet to be realized.</w:t>
      </w:r>
    </w:p>
    <w:p w14:paraId="08D575DD" w14:textId="77777777" w:rsidR="00C879BF" w:rsidRDefault="00000000">
      <w:pPr>
        <w:spacing w:after="80" w:line="260" w:lineRule="auto"/>
      </w:pPr>
      <w:r>
        <w:rPr>
          <w:i/>
          <w:iCs/>
          <w:color w:val="666666"/>
          <w:sz w:val="18"/>
          <w:szCs w:val="18"/>
        </w:rPr>
        <w:t>Source: Q4 Earnings Transcript, pp. 4–5.</w:t>
      </w:r>
    </w:p>
    <w:p w14:paraId="001759A9" w14:textId="77777777" w:rsidR="00C879BF" w:rsidRDefault="00000000">
      <w:pPr>
        <w:pStyle w:val="Heading2"/>
      </w:pPr>
      <w:r>
        <w:t>5.2 Expense Ratio Structural Improvement</w:t>
      </w:r>
    </w:p>
    <w:p w14:paraId="1AD7489E" w14:textId="77777777" w:rsidR="00C879BF" w:rsidRDefault="00000000">
      <w:pPr>
        <w:spacing w:after="160" w:line="276" w:lineRule="auto"/>
      </w:pPr>
      <w:r>
        <w:rPr>
          <w:color w:val="333333"/>
        </w:rPr>
        <w:t>Despite significant technology investment and efficiency gains, the expense ratio guidance for 2026 is flat at approximately 28.5%, the same as 2024 and 2025. Analyst Gregory Peters specifically asked when a “structural shift in the expense ratio” might materialize. CEO Schnitzer explained the company is choosing to reinvest efficiency gains into additional capabilities rather than letting them flow to the bottom line immediately, maintaining flexibility in how it manages operating leverage.</w:t>
      </w:r>
    </w:p>
    <w:p w14:paraId="50098CEC" w14:textId="77777777" w:rsidR="00C879BF" w:rsidRDefault="00000000">
      <w:pPr>
        <w:spacing w:after="80" w:line="260" w:lineRule="auto"/>
      </w:pPr>
      <w:r>
        <w:rPr>
          <w:i/>
          <w:iCs/>
          <w:color w:val="666666"/>
          <w:sz w:val="18"/>
          <w:szCs w:val="18"/>
        </w:rPr>
        <w:t>Source: Q4 Earnings Transcript, pp. 12–13.</w:t>
      </w:r>
    </w:p>
    <w:p w14:paraId="197011B4" w14:textId="77777777" w:rsidR="00C879BF" w:rsidRDefault="00000000">
      <w:pPr>
        <w:pStyle w:val="Heading2"/>
      </w:pPr>
      <w:r>
        <w:t>5.3 Personal Auto Market Share Recovery</w:t>
      </w:r>
    </w:p>
    <w:p w14:paraId="7B63E34E" w14:textId="77777777" w:rsidR="00C879BF" w:rsidRDefault="00000000">
      <w:pPr>
        <w:spacing w:after="160" w:line="276" w:lineRule="auto"/>
      </w:pPr>
      <w:r>
        <w:rPr>
          <w:color w:val="333333"/>
        </w:rPr>
        <w:t xml:space="preserve">Personal Auto policies-in-force have declined in recent years due to deliberate property repositioning actions that impacted auto cross-selling. With new entrants increasing competition in the independent agency space, the company acknowledges the need to recoup market share. </w:t>
      </w:r>
      <w:r>
        <w:rPr>
          <w:color w:val="333333"/>
        </w:rPr>
        <w:lastRenderedPageBreak/>
        <w:t>Management expressed confidence in the strength of agent relationships, investments in digitization, and the package value proposition, but the policy count rebuild remains an ongoing objective.</w:t>
      </w:r>
    </w:p>
    <w:p w14:paraId="42141B07" w14:textId="77777777" w:rsidR="00C879BF" w:rsidRDefault="00000000">
      <w:pPr>
        <w:spacing w:after="80" w:line="260" w:lineRule="auto"/>
      </w:pPr>
      <w:r>
        <w:rPr>
          <w:i/>
          <w:iCs/>
          <w:color w:val="666666"/>
          <w:sz w:val="18"/>
          <w:szCs w:val="18"/>
        </w:rPr>
        <w:t>Source: Q4 Earnings Transcript, pp. 18–19.</w:t>
      </w:r>
    </w:p>
    <w:p w14:paraId="185DA068" w14:textId="77777777" w:rsidR="00C879BF" w:rsidRDefault="00000000">
      <w:pPr>
        <w:pStyle w:val="Heading2"/>
      </w:pPr>
      <w:r>
        <w:t>5.4 Continued Claim Center Consolidation</w:t>
      </w:r>
    </w:p>
    <w:p w14:paraId="5ADF667C" w14:textId="77777777" w:rsidR="00C879BF" w:rsidRDefault="00000000">
      <w:pPr>
        <w:spacing w:after="160" w:line="276" w:lineRule="auto"/>
      </w:pPr>
      <w:r>
        <w:rPr>
          <w:color w:val="333333"/>
        </w:rPr>
        <w:t xml:space="preserve">The consolidation from four claim call centers to two is planned for 2026 and has not yet been completed. This represents a concrete near-term operational objective tied to the broader </w:t>
      </w:r>
      <w:proofErr w:type="gramStart"/>
      <w:r>
        <w:rPr>
          <w:color w:val="333333"/>
        </w:rPr>
        <w:t>claims</w:t>
      </w:r>
      <w:proofErr w:type="gramEnd"/>
      <w:r>
        <w:rPr>
          <w:color w:val="333333"/>
        </w:rPr>
        <w:t xml:space="preserve"> automation and AI strategy.</w:t>
      </w:r>
    </w:p>
    <w:p w14:paraId="476B7F6F" w14:textId="77777777" w:rsidR="00C879BF" w:rsidRDefault="00000000">
      <w:pPr>
        <w:spacing w:after="80" w:line="260" w:lineRule="auto"/>
      </w:pPr>
      <w:r>
        <w:rPr>
          <w:i/>
          <w:iCs/>
          <w:color w:val="666666"/>
          <w:sz w:val="18"/>
          <w:szCs w:val="18"/>
        </w:rPr>
        <w:t>Source: Q4 Earnings Transcript, p. 5.</w:t>
      </w:r>
    </w:p>
    <w:p w14:paraId="02049DBE" w14:textId="77777777" w:rsidR="00C879BF" w:rsidRDefault="00000000">
      <w:pPr>
        <w:pStyle w:val="Heading2"/>
      </w:pPr>
      <w:r>
        <w:t>5.5 New Auto Product Nationwide Rollout</w:t>
      </w:r>
    </w:p>
    <w:p w14:paraId="06244264" w14:textId="77777777" w:rsidR="00C879BF" w:rsidRDefault="00000000">
      <w:pPr>
        <w:spacing w:after="160" w:line="276" w:lineRule="auto"/>
      </w:pPr>
      <w:r>
        <w:rPr>
          <w:color w:val="333333"/>
        </w:rPr>
        <w:t>The new Auto product in Business Insurance is live in 46 of 50+ jurisdictions. Completing the rollout to remaining states is an outstanding objective, likely subject to state-by-state regulatory approval timelines.</w:t>
      </w:r>
    </w:p>
    <w:p w14:paraId="3813AAEE" w14:textId="77777777" w:rsidR="00C879BF" w:rsidRDefault="00000000">
      <w:pPr>
        <w:spacing w:after="80" w:line="260" w:lineRule="auto"/>
      </w:pPr>
      <w:r>
        <w:rPr>
          <w:i/>
          <w:iCs/>
          <w:color w:val="666666"/>
          <w:sz w:val="18"/>
          <w:szCs w:val="18"/>
        </w:rPr>
        <w:t>Source: Q4 Earnings Transcript, p. 8.</w:t>
      </w:r>
    </w:p>
    <w:p w14:paraId="65914A8F" w14:textId="77777777" w:rsidR="00C879BF" w:rsidRDefault="00000000">
      <w:pPr>
        <w:pStyle w:val="Heading2"/>
      </w:pPr>
      <w:r>
        <w:t>5.6 Personal Insurance Property Strategy Transition</w:t>
      </w:r>
    </w:p>
    <w:p w14:paraId="11E64644" w14:textId="77777777" w:rsidR="00C879BF" w:rsidRDefault="00000000">
      <w:pPr>
        <w:spacing w:after="160" w:line="276" w:lineRule="auto"/>
      </w:pPr>
      <w:r>
        <w:rPr>
          <w:color w:val="333333"/>
        </w:rPr>
        <w:t xml:space="preserve">As Travelers </w:t>
      </w:r>
      <w:proofErr w:type="gramStart"/>
      <w:r>
        <w:rPr>
          <w:color w:val="333333"/>
        </w:rPr>
        <w:t>winds</w:t>
      </w:r>
      <w:proofErr w:type="gramEnd"/>
      <w:r>
        <w:rPr>
          <w:color w:val="333333"/>
        </w:rPr>
        <w:t xml:space="preserve"> down </w:t>
      </w:r>
      <w:proofErr w:type="gramStart"/>
      <w:r>
        <w:rPr>
          <w:color w:val="333333"/>
        </w:rPr>
        <w:t>its</w:t>
      </w:r>
      <w:proofErr w:type="gramEnd"/>
      <w:r>
        <w:rPr>
          <w:color w:val="333333"/>
        </w:rPr>
        <w:t xml:space="preserve"> property repositioning actions in Personal Insurance, the focus shifts to maintaining the gains by deploying property capacity in support of package business writing. Success in this transition—growing policies-in-force while preserving the improved risk-return profile—is an important outstanding objective for 2026.</w:t>
      </w:r>
    </w:p>
    <w:p w14:paraId="4A224AE9" w14:textId="77777777" w:rsidR="00C879BF" w:rsidRDefault="00000000">
      <w:pPr>
        <w:spacing w:after="80" w:line="260" w:lineRule="auto"/>
      </w:pPr>
      <w:r>
        <w:rPr>
          <w:i/>
          <w:iCs/>
          <w:color w:val="666666"/>
          <w:sz w:val="18"/>
          <w:szCs w:val="18"/>
        </w:rPr>
        <w:t>Source: Q4 Earnings Transcript, p. 11.</w:t>
      </w:r>
    </w:p>
    <w:p w14:paraId="20A0ACEE" w14:textId="77777777" w:rsidR="00C879BF" w:rsidRDefault="00000000">
      <w:pPr>
        <w:pStyle w:val="Heading1"/>
        <w:pBdr>
          <w:bottom w:val="single" w:sz="4" w:space="8" w:color="E8712B"/>
        </w:pBdr>
      </w:pPr>
      <w:r>
        <w:t>6. Key Challenges and Issues</w:t>
      </w:r>
    </w:p>
    <w:p w14:paraId="4F16E999" w14:textId="77777777" w:rsidR="00C879BF" w:rsidRDefault="00000000">
      <w:pPr>
        <w:pStyle w:val="Heading2"/>
      </w:pPr>
      <w:r>
        <w:t>6.1 Catastrophe Exposure</w:t>
      </w:r>
    </w:p>
    <w:p w14:paraId="3D0C62D5" w14:textId="77777777" w:rsidR="00C879BF" w:rsidRDefault="00000000">
      <w:pPr>
        <w:spacing w:after="160" w:line="276" w:lineRule="auto"/>
      </w:pPr>
      <w:r>
        <w:rPr>
          <w:color w:val="333333"/>
        </w:rPr>
        <w:t>Catastrophe losses remain a significant and inherently unpredictable risk. In 2025, pre-tax catastrophe losses were $3.69 billion ($2.92 billion after-tax), up from $3.34 billion in 2024 and $2.99 billion in 2023—reflecting a clear upward trend. The 2026 catastrophe plan anticipates a full-year impact of 7.8 points on the combined ratio. The company’s 10-K notes that catastrophes could materially and adversely affect results, and that more frequent and severe events—linked to changing climate conditions—may lead rating agencies to increase capital requirements.</w:t>
      </w:r>
    </w:p>
    <w:p w14:paraId="1F384D76" w14:textId="77777777" w:rsidR="00C879BF" w:rsidRDefault="00000000">
      <w:pPr>
        <w:spacing w:after="80" w:line="260" w:lineRule="auto"/>
      </w:pPr>
      <w:r>
        <w:rPr>
          <w:i/>
          <w:iCs/>
          <w:color w:val="666666"/>
          <w:sz w:val="18"/>
          <w:szCs w:val="18"/>
        </w:rPr>
        <w:t>Source: TRV 10-K, pp. 42, 173; Analyst Supplement, p. 5; Webcast Presentation, p. 23.</w:t>
      </w:r>
    </w:p>
    <w:p w14:paraId="4E0077AA" w14:textId="77777777" w:rsidR="00C879BF" w:rsidRDefault="00000000">
      <w:pPr>
        <w:pStyle w:val="Heading2"/>
      </w:pPr>
      <w:r>
        <w:t>6.2 Deteriorating Tort Environment</w:t>
      </w:r>
    </w:p>
    <w:p w14:paraId="02FB9FC2" w14:textId="77777777" w:rsidR="00C879BF" w:rsidRDefault="00000000">
      <w:pPr>
        <w:spacing w:after="160" w:line="276" w:lineRule="auto"/>
      </w:pPr>
      <w:r>
        <w:rPr>
          <w:color w:val="333333"/>
        </w:rPr>
        <w:t xml:space="preserve">CEO Schnitzer described the tort environment as continuing to be “very challenging.” The company faces increased and more aggressive attorney involvement in claims, expanded theories of liability, higher jury awards, lawsuit abuse, and third-party litigation finance. While some states are reacting to address the issue and disclosure requirements for litigation financing are increasing, management </w:t>
      </w:r>
      <w:r>
        <w:rPr>
          <w:color w:val="333333"/>
        </w:rPr>
        <w:lastRenderedPageBreak/>
        <w:t>stated there is “more work to do.” The adverse tort environment has persisted at elevated levels for multiple years and creates uncertainty in loss reserve adequacy.</w:t>
      </w:r>
    </w:p>
    <w:p w14:paraId="0A2C97A4" w14:textId="77777777" w:rsidR="00C879BF" w:rsidRDefault="00000000">
      <w:pPr>
        <w:spacing w:after="80" w:line="260" w:lineRule="auto"/>
      </w:pPr>
      <w:r>
        <w:rPr>
          <w:i/>
          <w:iCs/>
          <w:color w:val="666666"/>
          <w:sz w:val="18"/>
          <w:szCs w:val="18"/>
        </w:rPr>
        <w:t>Source: Q4 Earnings Transcript, p. 19; TRV 10-K, p. 40.</w:t>
      </w:r>
    </w:p>
    <w:p w14:paraId="6BC230F7" w14:textId="77777777" w:rsidR="00C879BF" w:rsidRDefault="00000000">
      <w:pPr>
        <w:pStyle w:val="Heading2"/>
      </w:pPr>
      <w:r>
        <w:t>6.3 Competitive Intensity</w:t>
      </w:r>
    </w:p>
    <w:p w14:paraId="13DD6205" w14:textId="77777777" w:rsidR="00C879BF" w:rsidRDefault="00000000">
      <w:pPr>
        <w:spacing w:after="160" w:line="276" w:lineRule="auto"/>
      </w:pPr>
      <w:r>
        <w:rPr>
          <w:color w:val="333333"/>
        </w:rPr>
        <w:t>The P&amp;C industry remains highly competitive, with approximately 1,100 property and casualty groups in the U.S. comprising about 2,600 companies. Competition extends across price, service, products, technology, and distribution. In Personal Auto, new entrants in the independent agency space are intensifying competition. The 10-K identifies the risk that competitors may offer products at prices and terms inconsistent with economic standards, and that innovation and technological change could harm business volumes and profitability.</w:t>
      </w:r>
    </w:p>
    <w:p w14:paraId="2F060C8B" w14:textId="77777777" w:rsidR="00C879BF" w:rsidRDefault="00000000">
      <w:pPr>
        <w:spacing w:after="80" w:line="260" w:lineRule="auto"/>
      </w:pPr>
      <w:r>
        <w:rPr>
          <w:i/>
          <w:iCs/>
          <w:color w:val="666666"/>
          <w:sz w:val="18"/>
          <w:szCs w:val="18"/>
        </w:rPr>
        <w:t>Source: TRV 10-K, pp. 2–3, 48; Q4 Earnings Transcript, p. 18.</w:t>
      </w:r>
    </w:p>
    <w:p w14:paraId="161C0937" w14:textId="77777777" w:rsidR="00C879BF" w:rsidRDefault="00000000">
      <w:pPr>
        <w:pStyle w:val="Heading2"/>
      </w:pPr>
      <w:r>
        <w:t>6.4 Asbestos and Environmental Legacy Liabilities</w:t>
      </w:r>
    </w:p>
    <w:p w14:paraId="4C9A38DA" w14:textId="77777777" w:rsidR="00C879BF" w:rsidRDefault="00000000">
      <w:pPr>
        <w:spacing w:after="160" w:line="276" w:lineRule="auto"/>
      </w:pPr>
      <w:r>
        <w:rPr>
          <w:color w:val="333333"/>
        </w:rPr>
        <w:t xml:space="preserve">Travelers </w:t>
      </w:r>
      <w:proofErr w:type="gramStart"/>
      <w:r>
        <w:rPr>
          <w:color w:val="333333"/>
        </w:rPr>
        <w:t>continues</w:t>
      </w:r>
      <w:proofErr w:type="gramEnd"/>
      <w:r>
        <w:rPr>
          <w:color w:val="333333"/>
        </w:rPr>
        <w:t xml:space="preserve"> to manage asbestos-related litigation inherited from historical operations. The 10-K notes that uncertainties surrounding final resolution of asbestos claims persist, and additional liabilities may arise </w:t>
      </w:r>
      <w:proofErr w:type="gramStart"/>
      <w:r>
        <w:rPr>
          <w:color w:val="333333"/>
        </w:rPr>
        <w:t>in excess of</w:t>
      </w:r>
      <w:proofErr w:type="gramEnd"/>
      <w:r>
        <w:rPr>
          <w:color w:val="333333"/>
        </w:rPr>
        <w:t xml:space="preserve"> current reserves. The company acknowledges that outcomes are difficult to predict and could result in material income statement charges in future periods. This remains an ongoing legacy risk that requires continued management attention and reserve monitoring.</w:t>
      </w:r>
    </w:p>
    <w:p w14:paraId="5383F409" w14:textId="77777777" w:rsidR="00C879BF" w:rsidRDefault="00000000">
      <w:pPr>
        <w:spacing w:after="80" w:line="260" w:lineRule="auto"/>
      </w:pPr>
      <w:r>
        <w:rPr>
          <w:i/>
          <w:iCs/>
          <w:color w:val="666666"/>
          <w:sz w:val="18"/>
          <w:szCs w:val="18"/>
        </w:rPr>
        <w:t>Source: TRV 10-K, pp. 75–76, 173.</w:t>
      </w:r>
    </w:p>
    <w:p w14:paraId="0835EC3E" w14:textId="77777777" w:rsidR="00C879BF" w:rsidRDefault="00000000">
      <w:pPr>
        <w:pStyle w:val="Heading2"/>
      </w:pPr>
      <w:r>
        <w:t>6.5 Technology and Cybersecurity Risks</w:t>
      </w:r>
    </w:p>
    <w:p w14:paraId="17B4BA60" w14:textId="77777777" w:rsidR="00C879BF" w:rsidRDefault="00000000">
      <w:pPr>
        <w:spacing w:after="160" w:line="276" w:lineRule="auto"/>
      </w:pPr>
      <w:r>
        <w:rPr>
          <w:color w:val="333333"/>
        </w:rPr>
        <w:t xml:space="preserve">As Travelers deepens its reliance on AI, automation, and digital infrastructure, the company faces heightened </w:t>
      </w:r>
      <w:proofErr w:type="gramStart"/>
      <w:r>
        <w:rPr>
          <w:color w:val="333333"/>
        </w:rPr>
        <w:t>technology</w:t>
      </w:r>
      <w:proofErr w:type="gramEnd"/>
      <w:r>
        <w:rPr>
          <w:color w:val="333333"/>
        </w:rPr>
        <w:t xml:space="preserve"> risks </w:t>
      </w:r>
      <w:proofErr w:type="gramStart"/>
      <w:r>
        <w:rPr>
          <w:color w:val="333333"/>
        </w:rPr>
        <w:t>including:</w:t>
      </w:r>
      <w:proofErr w:type="gramEnd"/>
      <w:r>
        <w:rPr>
          <w:color w:val="333333"/>
        </w:rPr>
        <w:t xml:space="preserve"> </w:t>
      </w:r>
      <w:proofErr w:type="spellStart"/>
      <w:r>
        <w:rPr>
          <w:color w:val="333333"/>
        </w:rPr>
        <w:t>cyber attacks</w:t>
      </w:r>
      <w:proofErr w:type="spellEnd"/>
      <w:r>
        <w:rPr>
          <w:color w:val="333333"/>
        </w:rPr>
        <w:t xml:space="preserve"> (potentially exacerbated by geopolitical tensions), dependence on effective IT systems, the need to continually develop and implement technology improvements (particularly in AI), and the risk of intellectual property challenges. The regulatory environment around AI usage in insurance is also evolving, though management characterizes it as currently “constructive.”</w:t>
      </w:r>
    </w:p>
    <w:p w14:paraId="0B5EC307" w14:textId="77777777" w:rsidR="00C879BF" w:rsidRDefault="00000000">
      <w:pPr>
        <w:spacing w:after="80" w:line="260" w:lineRule="auto"/>
      </w:pPr>
      <w:r>
        <w:rPr>
          <w:i/>
          <w:iCs/>
          <w:color w:val="666666"/>
          <w:sz w:val="18"/>
          <w:szCs w:val="18"/>
        </w:rPr>
        <w:t>Source: Q4 Earnings Transcript, pp. 12–13, 21; TRV 10-K, p. 48.</w:t>
      </w:r>
    </w:p>
    <w:p w14:paraId="4D6CA854" w14:textId="77777777" w:rsidR="00C879BF" w:rsidRDefault="00000000">
      <w:pPr>
        <w:pStyle w:val="Heading2"/>
      </w:pPr>
      <w:r>
        <w:t>6.6 Tariff and Inflationary Pressures</w:t>
      </w:r>
    </w:p>
    <w:p w14:paraId="5C826E9D" w14:textId="77777777" w:rsidR="00C879BF" w:rsidRDefault="00000000">
      <w:pPr>
        <w:spacing w:after="160" w:line="276" w:lineRule="auto"/>
      </w:pPr>
      <w:r>
        <w:rPr>
          <w:color w:val="333333"/>
        </w:rPr>
        <w:t>While management has characterized the tariff impact as “relatively mild,” they have incorporated provisions in loss picks for potentially impacted lines. The 10-K identifies inflation, supply chain disruptions, increased cost of vehicle repairs (due to more expensive technology components), and labor shortages as ongoing factors affecting loss costs. As tariffs remain in effect longer, the cost dynamic could change.</w:t>
      </w:r>
    </w:p>
    <w:p w14:paraId="12DA5D8C" w14:textId="77777777" w:rsidR="00C879BF" w:rsidRDefault="00000000">
      <w:pPr>
        <w:spacing w:after="80" w:line="260" w:lineRule="auto"/>
      </w:pPr>
      <w:r>
        <w:rPr>
          <w:i/>
          <w:iCs/>
          <w:color w:val="666666"/>
          <w:sz w:val="18"/>
          <w:szCs w:val="18"/>
        </w:rPr>
        <w:t>Source: Q4 Earnings Transcript, p. 18; TRV 10-K, p. 40.</w:t>
      </w:r>
    </w:p>
    <w:p w14:paraId="5E437589" w14:textId="77777777" w:rsidR="00C879BF" w:rsidRDefault="00000000">
      <w:pPr>
        <w:pStyle w:val="Heading2"/>
      </w:pPr>
      <w:r>
        <w:t>6.7 Regulatory and Rate Approval Constraints</w:t>
      </w:r>
    </w:p>
    <w:p w14:paraId="5D00F304" w14:textId="77777777" w:rsidR="00C879BF" w:rsidRDefault="00000000">
      <w:pPr>
        <w:spacing w:after="160" w:line="276" w:lineRule="auto"/>
      </w:pPr>
      <w:r>
        <w:rPr>
          <w:color w:val="333333"/>
        </w:rPr>
        <w:lastRenderedPageBreak/>
        <w:t>Travelers operates under state-by-state insurance regulation in the U.S. and faces varying rate and rule approval requirements across jurisdictions. Some states limit the ability of insurers to manage catastrophe risk by restricting exposure reductions or market withdrawals. Legislative and judicial actions following catastrophes can expand coverage beyond original policy intent. Internationally, the company faces EU Solvency II requirements, sustainability disclosure mandates, and changing data privacy regulations.</w:t>
      </w:r>
    </w:p>
    <w:p w14:paraId="0877D006" w14:textId="77777777" w:rsidR="00C879BF" w:rsidRDefault="00000000">
      <w:pPr>
        <w:spacing w:after="80" w:line="260" w:lineRule="auto"/>
      </w:pPr>
      <w:r>
        <w:rPr>
          <w:i/>
          <w:iCs/>
          <w:color w:val="666666"/>
          <w:sz w:val="18"/>
          <w:szCs w:val="18"/>
        </w:rPr>
        <w:t>Source: TRV 10-K, pp. 23–25.</w:t>
      </w:r>
    </w:p>
    <w:p w14:paraId="77743B69" w14:textId="77777777" w:rsidR="00C879BF" w:rsidRDefault="00000000">
      <w:pPr>
        <w:pStyle w:val="Heading2"/>
      </w:pPr>
      <w:r>
        <w:t>6.8 Talent Acquisition and Retention</w:t>
      </w:r>
    </w:p>
    <w:p w14:paraId="4118250E" w14:textId="77777777" w:rsidR="00C879BF" w:rsidRDefault="00000000">
      <w:pPr>
        <w:spacing w:after="160" w:line="276" w:lineRule="auto"/>
      </w:pPr>
      <w:r>
        <w:rPr>
          <w:color w:val="333333"/>
        </w:rPr>
        <w:t xml:space="preserve">The competitive landscape for specialized </w:t>
      </w:r>
      <w:proofErr w:type="gramStart"/>
      <w:r>
        <w:rPr>
          <w:color w:val="333333"/>
        </w:rPr>
        <w:t>talent—</w:t>
      </w:r>
      <w:proofErr w:type="gramEnd"/>
      <w:r>
        <w:rPr>
          <w:color w:val="333333"/>
        </w:rPr>
        <w:t xml:space="preserve">particularly in AI, data science, engineering, and actuarial </w:t>
      </w:r>
      <w:proofErr w:type="gramStart"/>
      <w:r>
        <w:rPr>
          <w:color w:val="333333"/>
        </w:rPr>
        <w:t>science—</w:t>
      </w:r>
      <w:proofErr w:type="gramEnd"/>
      <w:r>
        <w:rPr>
          <w:color w:val="333333"/>
        </w:rPr>
        <w:t>is a stated risk factor. The company’s ability to recruit and retain qualified employees is explicitly listed as a competitive factor. With more than $1.5 billion annual technology investment and thousands of technical employees, maintaining a strong employer value proposition is critical for executing the Innovation 2.0 strategy.</w:t>
      </w:r>
    </w:p>
    <w:p w14:paraId="565251F1" w14:textId="77777777" w:rsidR="00C879BF" w:rsidRDefault="00000000">
      <w:pPr>
        <w:spacing w:after="80" w:line="260" w:lineRule="auto"/>
      </w:pPr>
      <w:r>
        <w:rPr>
          <w:i/>
          <w:iCs/>
          <w:color w:val="666666"/>
          <w:sz w:val="18"/>
          <w:szCs w:val="18"/>
        </w:rPr>
        <w:t>Source: TRV 10-K, pp. 2–3, 28–30.</w:t>
      </w:r>
    </w:p>
    <w:p w14:paraId="2F1E6BCF" w14:textId="77777777" w:rsidR="00C879BF" w:rsidRDefault="00000000">
      <w:pPr>
        <w:pStyle w:val="Heading1"/>
        <w:pBdr>
          <w:bottom w:val="single" w:sz="4" w:space="8" w:color="E8712B"/>
        </w:pBdr>
      </w:pPr>
      <w:r>
        <w:t>7. Implications for EXL Service</w:t>
      </w:r>
    </w:p>
    <w:p w14:paraId="3D1AB532" w14:textId="77777777" w:rsidR="00C879BF" w:rsidRDefault="00000000">
      <w:pPr>
        <w:pStyle w:val="Heading2"/>
      </w:pPr>
      <w:r>
        <w:t>7.1 Transformation Opportunity Assessment</w:t>
      </w:r>
    </w:p>
    <w:p w14:paraId="44A62691" w14:textId="77777777" w:rsidR="00C879BF" w:rsidRDefault="00000000">
      <w:pPr>
        <w:spacing w:after="160" w:line="276" w:lineRule="auto"/>
      </w:pPr>
      <w:r>
        <w:rPr>
          <w:color w:val="333333"/>
        </w:rPr>
        <w:t xml:space="preserve">Travelers </w:t>
      </w:r>
      <w:proofErr w:type="gramStart"/>
      <w:r>
        <w:rPr>
          <w:color w:val="333333"/>
        </w:rPr>
        <w:t>represents</w:t>
      </w:r>
      <w:proofErr w:type="gramEnd"/>
      <w:r>
        <w:rPr>
          <w:color w:val="333333"/>
        </w:rPr>
        <w:t xml:space="preserve"> a large-scale, technology-forward insurance carrier that is actively investing more than $1.5 billion annually in AI and digital transformation. The company’s self-described position as “early in this transformation” signals significant runway for partner involvement. Key opportunity areas for an enterprise transformation proposal include:</w:t>
      </w:r>
    </w:p>
    <w:p w14:paraId="352255A1" w14:textId="77777777" w:rsidR="00C879BF" w:rsidRDefault="00000000">
      <w:pPr>
        <w:spacing w:after="160" w:line="276" w:lineRule="auto"/>
      </w:pPr>
      <w:r>
        <w:rPr>
          <w:b/>
          <w:bCs/>
          <w:color w:val="333333"/>
        </w:rPr>
        <w:t xml:space="preserve">Claims Operations Optimization: </w:t>
      </w:r>
      <w:r>
        <w:rPr>
          <w:color w:val="333333"/>
        </w:rPr>
        <w:t>With 1.5 million annual claims, ongoing call center consolidation, and expanding straight-through processing, there are opportunities to support operational efficiency through advanced analytics, process automation, and AI-powered decision support.</w:t>
      </w:r>
    </w:p>
    <w:p w14:paraId="013BC9E0" w14:textId="77777777" w:rsidR="00C879BF" w:rsidRDefault="00000000">
      <w:pPr>
        <w:spacing w:after="160" w:line="276" w:lineRule="auto"/>
      </w:pPr>
      <w:r>
        <w:rPr>
          <w:b/>
          <w:bCs/>
          <w:color w:val="333333"/>
        </w:rPr>
        <w:t xml:space="preserve">Data and Analytics Enhancement: </w:t>
      </w:r>
      <w:r>
        <w:rPr>
          <w:color w:val="333333"/>
        </w:rPr>
        <w:t xml:space="preserve">Travelers </w:t>
      </w:r>
      <w:proofErr w:type="gramStart"/>
      <w:r>
        <w:rPr>
          <w:color w:val="333333"/>
        </w:rPr>
        <w:t>has</w:t>
      </w:r>
      <w:proofErr w:type="gramEnd"/>
      <w:r>
        <w:rPr>
          <w:color w:val="333333"/>
        </w:rPr>
        <w:t xml:space="preserve"> decades of data from millions of transactions. EXL’s analytics capabilities could complement Travelers’ internal efforts in risk modeling, predictive analytics, and data quality management.</w:t>
      </w:r>
    </w:p>
    <w:p w14:paraId="6DBC3551" w14:textId="77777777" w:rsidR="00C879BF" w:rsidRDefault="00000000">
      <w:pPr>
        <w:spacing w:after="160" w:line="276" w:lineRule="auto"/>
      </w:pPr>
      <w:r>
        <w:rPr>
          <w:b/>
          <w:bCs/>
          <w:color w:val="333333"/>
        </w:rPr>
        <w:t xml:space="preserve">Underwriting Process Modernization: </w:t>
      </w:r>
      <w:r>
        <w:rPr>
          <w:color w:val="333333"/>
        </w:rPr>
        <w:t>The deployment of AI-powered decision support tools and the new product rollouts create opportunities for process consulting, system integration, and change management support.</w:t>
      </w:r>
    </w:p>
    <w:p w14:paraId="6856654D" w14:textId="77777777" w:rsidR="00C879BF" w:rsidRDefault="00000000">
      <w:pPr>
        <w:spacing w:after="160" w:line="276" w:lineRule="auto"/>
      </w:pPr>
      <w:r>
        <w:rPr>
          <w:b/>
          <w:bCs/>
          <w:color w:val="333333"/>
        </w:rPr>
        <w:t xml:space="preserve">Digital Customer and Agent Experience: </w:t>
      </w:r>
      <w:r>
        <w:rPr>
          <w:color w:val="333333"/>
        </w:rPr>
        <w:t>With over 12,700 independent agents and brokers, the distribution ecosystem represents a rich target for digital experience enhancement, self-service portals, and omnichannel engagement.</w:t>
      </w:r>
    </w:p>
    <w:p w14:paraId="55793089" w14:textId="77777777" w:rsidR="00C879BF" w:rsidRDefault="00000000">
      <w:pPr>
        <w:spacing w:after="160" w:line="276" w:lineRule="auto"/>
      </w:pPr>
      <w:r>
        <w:rPr>
          <w:b/>
          <w:bCs/>
          <w:color w:val="333333"/>
        </w:rPr>
        <w:t xml:space="preserve">Regulatory and Compliance Support: </w:t>
      </w:r>
      <w:r>
        <w:rPr>
          <w:color w:val="333333"/>
        </w:rPr>
        <w:t>The evolving regulatory landscape around AI, data privacy, and climate disclosure creates demand for compliance analytics and risk management advisory services.</w:t>
      </w:r>
    </w:p>
    <w:p w14:paraId="2547D163" w14:textId="77777777" w:rsidR="00C879BF" w:rsidRDefault="00000000">
      <w:pPr>
        <w:spacing w:after="160" w:line="276" w:lineRule="auto"/>
      </w:pPr>
      <w:r>
        <w:rPr>
          <w:b/>
          <w:bCs/>
          <w:color w:val="333333"/>
        </w:rPr>
        <w:lastRenderedPageBreak/>
        <w:t xml:space="preserve">Legacy Modernization: </w:t>
      </w:r>
      <w:r>
        <w:rPr>
          <w:color w:val="333333"/>
        </w:rPr>
        <w:t>The sale of Canadian operations and ongoing platform investments suggest a carrier in active portfolio and technology modernization, where EXL’s transformation expertise could add value.</w:t>
      </w:r>
    </w:p>
    <w:p w14:paraId="4F387FBB" w14:textId="77777777" w:rsidR="00C879BF" w:rsidRDefault="00000000">
      <w:pPr>
        <w:spacing w:after="80" w:line="260" w:lineRule="auto"/>
      </w:pPr>
      <w:r>
        <w:rPr>
          <w:i/>
          <w:iCs/>
          <w:color w:val="666666"/>
          <w:sz w:val="18"/>
          <w:szCs w:val="18"/>
        </w:rPr>
        <w:t>Note: These opportunity areas are identified based on analysis of public documents. A targeted discovery session with Travelers stakeholders is recommended.</w:t>
      </w:r>
    </w:p>
    <w:p w14:paraId="45890EB0" w14:textId="77777777" w:rsidR="00C879BF" w:rsidRDefault="00000000">
      <w:r>
        <w:br w:type="page"/>
      </w:r>
    </w:p>
    <w:p w14:paraId="3605430A" w14:textId="77777777" w:rsidR="00C879BF" w:rsidRDefault="00000000">
      <w:pPr>
        <w:pStyle w:val="Heading1"/>
        <w:pBdr>
          <w:bottom w:val="single" w:sz="4" w:space="8" w:color="E8712B"/>
        </w:pBdr>
      </w:pPr>
      <w:r>
        <w:lastRenderedPageBreak/>
        <w:t>Appendix: Source Document Index</w:t>
      </w:r>
    </w:p>
    <w:p w14:paraId="02E9ACF4" w14:textId="77777777" w:rsidR="00C879BF" w:rsidRDefault="00000000">
      <w:pPr>
        <w:spacing w:after="160" w:line="276" w:lineRule="auto"/>
      </w:pPr>
      <w:r>
        <w:rPr>
          <w:color w:val="333333"/>
        </w:rPr>
        <w:t>The following source documents were analyzed in the preparation of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00"/>
        <w:gridCol w:w="4960"/>
      </w:tblGrid>
      <w:tr w:rsidR="00C879BF" w14:paraId="76A8FE6F" w14:textId="77777777">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9CC9B5" w14:textId="77777777" w:rsidR="00C879BF" w:rsidRDefault="00000000">
            <w:r>
              <w:rPr>
                <w:b/>
                <w:bCs/>
                <w:color w:val="FFFFFF"/>
                <w:sz w:val="19"/>
                <w:szCs w:val="19"/>
              </w:rPr>
              <w:t>#</w:t>
            </w:r>
          </w:p>
        </w:tc>
        <w:tc>
          <w:tcPr>
            <w:tcW w:w="3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F30004" w14:textId="77777777" w:rsidR="00C879BF" w:rsidRDefault="00000000">
            <w:r>
              <w:rPr>
                <w:b/>
                <w:bCs/>
                <w:color w:val="FFFFFF"/>
                <w:sz w:val="19"/>
                <w:szCs w:val="19"/>
              </w:rPr>
              <w:t>Document</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54936F" w14:textId="77777777" w:rsidR="00C879BF" w:rsidRDefault="00000000">
            <w:r>
              <w:rPr>
                <w:b/>
                <w:bCs/>
                <w:color w:val="FFFFFF"/>
                <w:sz w:val="19"/>
                <w:szCs w:val="19"/>
              </w:rPr>
              <w:t>Description</w:t>
            </w:r>
          </w:p>
        </w:tc>
      </w:tr>
      <w:tr w:rsidR="00C879BF" w14:paraId="3C209E65" w14:textId="77777777">
        <w:tc>
          <w:tcPr>
            <w:tcW w:w="7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C35E4EE" w14:textId="77777777" w:rsidR="00C879BF" w:rsidRDefault="00000000">
            <w:r>
              <w:rPr>
                <w:color w:val="333333"/>
                <w:sz w:val="19"/>
                <w:szCs w:val="19"/>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A9C5AFF" w14:textId="77777777" w:rsidR="00C879BF" w:rsidRDefault="00000000">
            <w:r>
              <w:rPr>
                <w:color w:val="333333"/>
                <w:sz w:val="19"/>
                <w:szCs w:val="19"/>
              </w:rPr>
              <w:t>TRV-12-31-2025-10K-Web-Version.pdf</w:t>
            </w:r>
          </w:p>
        </w:tc>
        <w:tc>
          <w:tcPr>
            <w:tcW w:w="49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B5BCEFD" w14:textId="77777777" w:rsidR="00C879BF" w:rsidRDefault="00000000">
            <w:r>
              <w:rPr>
                <w:color w:val="333333"/>
                <w:sz w:val="19"/>
                <w:szCs w:val="19"/>
              </w:rPr>
              <w:t>Annual Report on Form 10-K for year ended December 31, 2025</w:t>
            </w:r>
          </w:p>
        </w:tc>
      </w:tr>
      <w:tr w:rsidR="00C879BF" w14:paraId="0B0E8D8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9647A" w14:textId="77777777" w:rsidR="00C879BF" w:rsidRDefault="00000000">
            <w:r>
              <w:rPr>
                <w:color w:val="333333"/>
                <w:sz w:val="19"/>
                <w:szCs w:val="19"/>
              </w:rPr>
              <w:t>2</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089B7" w14:textId="77777777" w:rsidR="00C879BF" w:rsidRDefault="00000000">
            <w:r>
              <w:rPr>
                <w:color w:val="333333"/>
                <w:sz w:val="19"/>
                <w:szCs w:val="19"/>
              </w:rPr>
              <w:t>4Q25PressReleaseFINAL.pdf</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012CF" w14:textId="77777777" w:rsidR="00C879BF" w:rsidRDefault="00000000">
            <w:r>
              <w:rPr>
                <w:color w:val="333333"/>
                <w:sz w:val="19"/>
                <w:szCs w:val="19"/>
              </w:rPr>
              <w:t>Q4 2025 Earnings Press Release (January 21, 2026)</w:t>
            </w:r>
          </w:p>
        </w:tc>
      </w:tr>
      <w:tr w:rsidR="00C879BF" w14:paraId="2C2D6AF9" w14:textId="77777777">
        <w:tc>
          <w:tcPr>
            <w:tcW w:w="7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48585779" w14:textId="77777777" w:rsidR="00C879BF" w:rsidRDefault="00000000">
            <w:r>
              <w:rPr>
                <w:color w:val="333333"/>
                <w:sz w:val="19"/>
                <w:szCs w:val="19"/>
              </w:rPr>
              <w:t>3</w:t>
            </w:r>
          </w:p>
        </w:tc>
        <w:tc>
          <w:tcPr>
            <w:tcW w:w="37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0209839" w14:textId="77777777" w:rsidR="00C879BF" w:rsidRDefault="00000000">
            <w:r>
              <w:rPr>
                <w:color w:val="333333"/>
                <w:sz w:val="19"/>
                <w:szCs w:val="19"/>
              </w:rPr>
              <w:t>4Q25TRVTranscript.pdf</w:t>
            </w:r>
          </w:p>
        </w:tc>
        <w:tc>
          <w:tcPr>
            <w:tcW w:w="49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7D7C7F52" w14:textId="77777777" w:rsidR="00C879BF" w:rsidRDefault="00000000">
            <w:r>
              <w:rPr>
                <w:color w:val="333333"/>
                <w:sz w:val="19"/>
                <w:szCs w:val="19"/>
              </w:rPr>
              <w:t>Q4 2025 Earnings Call Transcript (January 21, 2026)</w:t>
            </w:r>
          </w:p>
        </w:tc>
      </w:tr>
      <w:tr w:rsidR="00C879BF" w14:paraId="2D49EC09"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D8FD2" w14:textId="77777777" w:rsidR="00C879BF" w:rsidRDefault="00000000">
            <w:r>
              <w:rPr>
                <w:color w:val="333333"/>
                <w:sz w:val="19"/>
                <w:szCs w:val="19"/>
              </w:rPr>
              <w:t>4</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3626D" w14:textId="77777777" w:rsidR="00C879BF" w:rsidRDefault="00000000">
            <w:r>
              <w:rPr>
                <w:color w:val="333333"/>
                <w:sz w:val="19"/>
                <w:szCs w:val="19"/>
              </w:rPr>
              <w:t>4Q25AnalystSupplementFINAL.pdf</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3C218" w14:textId="77777777" w:rsidR="00C879BF" w:rsidRDefault="00000000">
            <w:r>
              <w:rPr>
                <w:color w:val="333333"/>
                <w:sz w:val="19"/>
                <w:szCs w:val="19"/>
              </w:rPr>
              <w:t>Q4 2025 Analyst Financial Supplement</w:t>
            </w:r>
          </w:p>
        </w:tc>
      </w:tr>
      <w:tr w:rsidR="00C879BF" w14:paraId="6AD614DC" w14:textId="77777777">
        <w:tc>
          <w:tcPr>
            <w:tcW w:w="7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7F0DC88" w14:textId="77777777" w:rsidR="00C879BF" w:rsidRDefault="00000000">
            <w:r>
              <w:rPr>
                <w:color w:val="333333"/>
                <w:sz w:val="19"/>
                <w:szCs w:val="19"/>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3E48F6EB" w14:textId="77777777" w:rsidR="00C879BF" w:rsidRDefault="00000000">
            <w:r>
              <w:rPr>
                <w:color w:val="333333"/>
                <w:sz w:val="19"/>
                <w:szCs w:val="19"/>
              </w:rPr>
              <w:t>4Q25WebcastFINAL.pdf</w:t>
            </w:r>
          </w:p>
        </w:tc>
        <w:tc>
          <w:tcPr>
            <w:tcW w:w="4960" w:type="dxa"/>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03560FA" w14:textId="77777777" w:rsidR="00C879BF" w:rsidRDefault="00000000">
            <w:r>
              <w:rPr>
                <w:color w:val="333333"/>
                <w:sz w:val="19"/>
                <w:szCs w:val="19"/>
              </w:rPr>
              <w:t>Q4 2025 Webcast Presentation Slides</w:t>
            </w:r>
          </w:p>
        </w:tc>
      </w:tr>
    </w:tbl>
    <w:p w14:paraId="31EB250C" w14:textId="77777777" w:rsidR="007135C1" w:rsidRDefault="007135C1"/>
    <w:sectPr w:rsidR="007135C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1BB09" w14:textId="77777777" w:rsidR="00C501E1" w:rsidRDefault="00C501E1">
      <w:r>
        <w:separator/>
      </w:r>
    </w:p>
  </w:endnote>
  <w:endnote w:type="continuationSeparator" w:id="0">
    <w:p w14:paraId="43A4FD96" w14:textId="77777777" w:rsidR="00C501E1" w:rsidRDefault="00C50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9CAE" w14:textId="738F8D18" w:rsidR="00C879BF" w:rsidRDefault="00000000">
    <w:pPr>
      <w:pBdr>
        <w:top w:val="single" w:sz="2" w:space="4" w:color="CCCCCC"/>
      </w:pBdr>
      <w:jc w:val="right"/>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B670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55B" w14:textId="77777777" w:rsidR="00C501E1" w:rsidRDefault="00C501E1">
      <w:r>
        <w:separator/>
      </w:r>
    </w:p>
  </w:footnote>
  <w:footnote w:type="continuationSeparator" w:id="0">
    <w:p w14:paraId="6131696E" w14:textId="77777777" w:rsidR="00C501E1" w:rsidRDefault="00C50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46D2" w14:textId="77777777" w:rsidR="00C879BF" w:rsidRDefault="00000000">
    <w:pPr>
      <w:pBdr>
        <w:bottom w:val="single" w:sz="2" w:space="4" w:color="1B3A5C"/>
      </w:pBdr>
      <w:tabs>
        <w:tab w:val="right" w:pos="9026"/>
      </w:tabs>
    </w:pPr>
    <w:r>
      <w:rPr>
        <w:color w:val="666666"/>
        <w:sz w:val="16"/>
        <w:szCs w:val="16"/>
      </w:rPr>
      <w:t>Travelers Companies, Inc. — Research Report</w:t>
    </w:r>
    <w:r>
      <w:rPr>
        <w:color w:val="666666"/>
        <w:sz w:val="16"/>
        <w:szCs w:val="16"/>
      </w:rPr>
      <w:tab/>
      <w:t>EXL Service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954"/>
    <w:multiLevelType w:val="hybridMultilevel"/>
    <w:tmpl w:val="D7D45B50"/>
    <w:lvl w:ilvl="0" w:tplc="A8AEAACA">
      <w:start w:val="1"/>
      <w:numFmt w:val="decimal"/>
      <w:lvlText w:val="%1."/>
      <w:lvlJc w:val="left"/>
      <w:pPr>
        <w:ind w:left="720" w:hanging="360"/>
      </w:pPr>
    </w:lvl>
    <w:lvl w:ilvl="1" w:tplc="B76AED68">
      <w:numFmt w:val="decimal"/>
      <w:lvlText w:val=""/>
      <w:lvlJc w:val="left"/>
    </w:lvl>
    <w:lvl w:ilvl="2" w:tplc="438A762C">
      <w:numFmt w:val="decimal"/>
      <w:lvlText w:val=""/>
      <w:lvlJc w:val="left"/>
    </w:lvl>
    <w:lvl w:ilvl="3" w:tplc="02A0FDF8">
      <w:numFmt w:val="decimal"/>
      <w:lvlText w:val=""/>
      <w:lvlJc w:val="left"/>
    </w:lvl>
    <w:lvl w:ilvl="4" w:tplc="B7F0E43C">
      <w:numFmt w:val="decimal"/>
      <w:lvlText w:val=""/>
      <w:lvlJc w:val="left"/>
    </w:lvl>
    <w:lvl w:ilvl="5" w:tplc="64045B72">
      <w:numFmt w:val="decimal"/>
      <w:lvlText w:val=""/>
      <w:lvlJc w:val="left"/>
    </w:lvl>
    <w:lvl w:ilvl="6" w:tplc="82628E96">
      <w:numFmt w:val="decimal"/>
      <w:lvlText w:val=""/>
      <w:lvlJc w:val="left"/>
    </w:lvl>
    <w:lvl w:ilvl="7" w:tplc="B8D8CBC8">
      <w:numFmt w:val="decimal"/>
      <w:lvlText w:val=""/>
      <w:lvlJc w:val="left"/>
    </w:lvl>
    <w:lvl w:ilvl="8" w:tplc="586ED10C">
      <w:numFmt w:val="decimal"/>
      <w:lvlText w:val=""/>
      <w:lvlJc w:val="left"/>
    </w:lvl>
  </w:abstractNum>
  <w:abstractNum w:abstractNumId="1" w15:restartNumberingAfterBreak="0">
    <w:nsid w:val="26DF74BB"/>
    <w:multiLevelType w:val="hybridMultilevel"/>
    <w:tmpl w:val="E408AD3C"/>
    <w:lvl w:ilvl="0" w:tplc="71BCDC7C">
      <w:start w:val="1"/>
      <w:numFmt w:val="bullet"/>
      <w:lvlText w:val="•"/>
      <w:lvlJc w:val="left"/>
      <w:pPr>
        <w:ind w:left="720" w:hanging="360"/>
      </w:pPr>
    </w:lvl>
    <w:lvl w:ilvl="1" w:tplc="16120F4C">
      <w:numFmt w:val="decimal"/>
      <w:lvlText w:val=""/>
      <w:lvlJc w:val="left"/>
    </w:lvl>
    <w:lvl w:ilvl="2" w:tplc="14CE60B2">
      <w:numFmt w:val="decimal"/>
      <w:lvlText w:val=""/>
      <w:lvlJc w:val="left"/>
    </w:lvl>
    <w:lvl w:ilvl="3" w:tplc="F718D83E">
      <w:numFmt w:val="decimal"/>
      <w:lvlText w:val=""/>
      <w:lvlJc w:val="left"/>
    </w:lvl>
    <w:lvl w:ilvl="4" w:tplc="590EFCA0">
      <w:numFmt w:val="decimal"/>
      <w:lvlText w:val=""/>
      <w:lvlJc w:val="left"/>
    </w:lvl>
    <w:lvl w:ilvl="5" w:tplc="28A843DE">
      <w:numFmt w:val="decimal"/>
      <w:lvlText w:val=""/>
      <w:lvlJc w:val="left"/>
    </w:lvl>
    <w:lvl w:ilvl="6" w:tplc="F0A44B3C">
      <w:numFmt w:val="decimal"/>
      <w:lvlText w:val=""/>
      <w:lvlJc w:val="left"/>
    </w:lvl>
    <w:lvl w:ilvl="7" w:tplc="B1A0DFF2">
      <w:numFmt w:val="decimal"/>
      <w:lvlText w:val=""/>
      <w:lvlJc w:val="left"/>
    </w:lvl>
    <w:lvl w:ilvl="8" w:tplc="F9BAD7CE">
      <w:numFmt w:val="decimal"/>
      <w:lvlText w:val=""/>
      <w:lvlJc w:val="left"/>
    </w:lvl>
  </w:abstractNum>
  <w:abstractNum w:abstractNumId="2" w15:restartNumberingAfterBreak="0">
    <w:nsid w:val="3ABC7FDA"/>
    <w:multiLevelType w:val="hybridMultilevel"/>
    <w:tmpl w:val="2BC48B26"/>
    <w:lvl w:ilvl="0" w:tplc="918C3D10">
      <w:start w:val="1"/>
      <w:numFmt w:val="bullet"/>
      <w:lvlText w:val="●"/>
      <w:lvlJc w:val="left"/>
      <w:pPr>
        <w:ind w:left="720" w:hanging="360"/>
      </w:pPr>
    </w:lvl>
    <w:lvl w:ilvl="1" w:tplc="E0FEEE7E">
      <w:start w:val="1"/>
      <w:numFmt w:val="bullet"/>
      <w:lvlText w:val="○"/>
      <w:lvlJc w:val="left"/>
      <w:pPr>
        <w:ind w:left="1440" w:hanging="360"/>
      </w:pPr>
    </w:lvl>
    <w:lvl w:ilvl="2" w:tplc="1EBC90A2">
      <w:start w:val="1"/>
      <w:numFmt w:val="bullet"/>
      <w:lvlText w:val="■"/>
      <w:lvlJc w:val="left"/>
      <w:pPr>
        <w:ind w:left="2160" w:hanging="360"/>
      </w:pPr>
    </w:lvl>
    <w:lvl w:ilvl="3" w:tplc="33362230">
      <w:start w:val="1"/>
      <w:numFmt w:val="bullet"/>
      <w:lvlText w:val="●"/>
      <w:lvlJc w:val="left"/>
      <w:pPr>
        <w:ind w:left="2880" w:hanging="360"/>
      </w:pPr>
    </w:lvl>
    <w:lvl w:ilvl="4" w:tplc="D04C8E4E">
      <w:start w:val="1"/>
      <w:numFmt w:val="bullet"/>
      <w:lvlText w:val="○"/>
      <w:lvlJc w:val="left"/>
      <w:pPr>
        <w:ind w:left="3600" w:hanging="360"/>
      </w:pPr>
    </w:lvl>
    <w:lvl w:ilvl="5" w:tplc="A824137E">
      <w:start w:val="1"/>
      <w:numFmt w:val="bullet"/>
      <w:lvlText w:val="■"/>
      <w:lvlJc w:val="left"/>
      <w:pPr>
        <w:ind w:left="4320" w:hanging="360"/>
      </w:pPr>
    </w:lvl>
    <w:lvl w:ilvl="6" w:tplc="118EE6D2">
      <w:start w:val="1"/>
      <w:numFmt w:val="bullet"/>
      <w:lvlText w:val="●"/>
      <w:lvlJc w:val="left"/>
      <w:pPr>
        <w:ind w:left="5040" w:hanging="360"/>
      </w:pPr>
    </w:lvl>
    <w:lvl w:ilvl="7" w:tplc="B1C8DA94">
      <w:start w:val="1"/>
      <w:numFmt w:val="bullet"/>
      <w:lvlText w:val="●"/>
      <w:lvlJc w:val="left"/>
      <w:pPr>
        <w:ind w:left="5760" w:hanging="360"/>
      </w:pPr>
    </w:lvl>
    <w:lvl w:ilvl="8" w:tplc="0CB60134">
      <w:start w:val="1"/>
      <w:numFmt w:val="bullet"/>
      <w:lvlText w:val="●"/>
      <w:lvlJc w:val="left"/>
      <w:pPr>
        <w:ind w:left="6480" w:hanging="360"/>
      </w:pPr>
    </w:lvl>
  </w:abstractNum>
  <w:num w:numId="1" w16cid:durableId="7974509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9BF"/>
    <w:rsid w:val="001D4938"/>
    <w:rsid w:val="00635703"/>
    <w:rsid w:val="007135C1"/>
    <w:rsid w:val="00731E40"/>
    <w:rsid w:val="0088390F"/>
    <w:rsid w:val="00933E19"/>
    <w:rsid w:val="00991954"/>
    <w:rsid w:val="00C501E1"/>
    <w:rsid w:val="00C879BF"/>
    <w:rsid w:val="00E3278B"/>
    <w:rsid w:val="00FB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D4AB"/>
  <w15:docId w15:val="{86CBD96B-4502-4037-8076-C453C519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F4DF23ED6664419D4A06703766999F" ma:contentTypeVersion="3" ma:contentTypeDescription="Create a new document." ma:contentTypeScope="" ma:versionID="885aa60399e06c9c482266b1a816d0aa">
  <xsd:schema xmlns:xsd="http://www.w3.org/2001/XMLSchema" xmlns:xs="http://www.w3.org/2001/XMLSchema" xmlns:p="http://schemas.microsoft.com/office/2006/metadata/properties" xmlns:ns2="84c0c7ce-dece-4871-95a7-43a70fb39fa1" targetNamespace="http://schemas.microsoft.com/office/2006/metadata/properties" ma:root="true" ma:fieldsID="3ac5a563cad32b3f441f831b8f27327e" ns2:_="">
    <xsd:import namespace="84c0c7ce-dece-4871-95a7-43a70fb39f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0c7ce-dece-4871-95a7-43a70fb39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83F166-266A-40B0-B0E7-34F7A2864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0c7ce-dece-4871-95a7-43a70fb39f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CF7363-AEFC-4ED2-875F-ECF693A5EB40}">
  <ds:schemaRefs>
    <ds:schemaRef ds:uri="http://schemas.microsoft.com/sharepoint/v3/contenttype/forms"/>
  </ds:schemaRefs>
</ds:datastoreItem>
</file>

<file path=customXml/itemProps3.xml><?xml version="1.0" encoding="utf-8"?>
<ds:datastoreItem xmlns:ds="http://schemas.openxmlformats.org/officeDocument/2006/customXml" ds:itemID="{B21130B6-2F6E-4D56-BD64-8386F32168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3762</Words>
  <Characters>22925</Characters>
  <Application>Microsoft Office Word</Application>
  <DocSecurity>0</DocSecurity>
  <Lines>399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Vohra</cp:lastModifiedBy>
  <cp:revision>4</cp:revision>
  <dcterms:created xsi:type="dcterms:W3CDTF">2026-02-15T12:57:00Z</dcterms:created>
  <dcterms:modified xsi:type="dcterms:W3CDTF">2026-04-21T17:26:00Z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0x01010023F4DF23ED6664419D4A06703766999F</vt:lpwstr>
  </property>
</Properties>
</file>