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/>
          <w:b/>
          <w:color w:val="C8102E"/>
          <w:sz w:val="22"/>
        </w:rPr>
        <w:t>EXL Sales Lead Brief</w:t>
      </w:r>
    </w:p>
    <w:p>
      <w:pPr>
        <w:spacing w:after="40"/>
      </w:pPr>
      <w:r>
        <w:rPr>
          <w:rFonts w:ascii="Arial" w:hAnsi="Arial"/>
          <w:b/>
          <w:color w:val="0B2C4E"/>
          <w:sz w:val="56"/>
        </w:rPr>
        <w:t>Travelers Group</w:t>
      </w:r>
    </w:p>
    <w:p>
      <w:pPr>
        <w:spacing w:after="280"/>
      </w:pPr>
      <w:r>
        <w:rPr>
          <w:rFonts w:ascii="Arial" w:hAnsi="Arial"/>
          <w:i/>
          <w:color w:val="555555"/>
          <w:sz w:val="20"/>
        </w:rPr>
        <w:t>Lead #1 of 236  •  Score 89.3 / 100  •  Confidence: Very High  •  17 triggers fired (9 unique types)</w:t>
      </w:r>
    </w:p>
    <w:p>
      <w:pPr>
        <w:pBdr>
          <w:bottom w:val="single" w:sz="12" w:color="C8102E"/>
        </w:pBdr>
        <w:spacing w:after="160"/>
      </w:pPr>
    </w:p>
    <w:p>
      <w:pPr>
        <w:spacing w:before="240" w:after="120"/>
      </w:pPr>
      <w:r>
        <w:rPr>
          <w:rFonts w:ascii="Arial" w:hAnsi="Arial"/>
          <w:b/>
          <w:color w:val="0B2C4E"/>
          <w:sz w:val="32"/>
        </w:rPr>
        <w:t>Executive Summary</w:t>
      </w:r>
    </w:p>
    <w:p>
      <w:pPr>
        <w:spacing w:after="160"/>
      </w:pPr>
      <w:r>
        <w:rPr>
          <w:rFonts w:ascii="Arial" w:hAnsi="Arial"/>
          <w:b w:val="0"/>
          <w:i w:val="0"/>
          <w:sz w:val="21"/>
        </w:rPr>
        <w:t>Travelers Group is the highest-scoring account in the TAM corpus by a wide margin (next account scores 64.5). The lead is driven by a rare alignment of three displacement signals at a single account: a mass renewal of ~1,000 Cognizant FTEs in &lt;6 months, three incumbents simultaneously in champion-challenger friction, and a combined competitor footprint of ~1,210 FTEs across 9 engagements. A sequenced displacement could move multiple scopes within 12-18 months.</w:t>
      </w: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Account Snapshot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Account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Travelers Group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Type / Geography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Carrier / US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Size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$27.2B NWP 2019 (+5.5% YoY)  |  $29B GWP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Rank by NWP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#6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Combined ratio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96.5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EXL relationship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Named  (EXL Client column: blank — verify)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Outsources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EXL Growth Leader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Sean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EXL Client Exec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Sean</w:t>
            </w:r>
          </w:p>
        </w:tc>
      </w:tr>
      <w:tr>
        <w:tc>
          <w:tcPr>
            <w:tcW w:type="dxa" w:w="2880"/>
            <w:shd w:val="clear" w:color="auto" w:fill="F5F7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b/>
                <w:color w:val="0B2C4E"/>
                <w:sz w:val="20"/>
              </w:rPr>
              <w:t>Displacement owner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Saju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Score Breakdown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472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440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Score (0–1)</w:t>
            </w:r>
          </w:p>
        </w:tc>
        <w:tc>
          <w:tcPr>
            <w:tcW w:type="dxa" w:w="1296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1728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Contribution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Account fit (NWP rank, Strategic/Named, growth)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0.85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30%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0.255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Signal strength (trigger sum + diversity)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1.00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40%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0.400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Solution match (triggers → EXL solutions)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0.79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20%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0.158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Relationship warmth (CE / Growth Leader)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0.80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10%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0.080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0.893  (89.3 / 100)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Triggers Firing (17 total)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1008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6192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renewal_le_6mo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1.00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Cognizant contract renews in &lt;6 months (~1000 FTEs across 5 scopes: Claims, UW, F&amp;A)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mass_renewal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1.00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Single-vendor displacement window: Cognizant holds 5 concurrent scopes (~1000 FTEs) all renewing in &lt;6 months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multi_competitor_friction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1.00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3 concurrent incumbents in friction: Cognizant, Genpact (terminating), WNS (given notice)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active_friction (Cognizant)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0.90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Champion-challenger across Personal Insurance, Commercial Insurance, claims settlement, Bill/Utilization Review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active_friction (Genpact)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0.90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Champion-challenger, terminating — Policy Maintenance, Claims, Invoicing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active_friction (WNS)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0.90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Given notice, exploring new champion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function_headroom (Cognizant)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0.73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Parked at Policy Servicing (~1000 FTEs); EXL retention 35% at this function → ~2,857 FTE TAM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8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function_headroom (Genpact)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0.73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Parked at Policy Servicing (~210 FTEs); ~600 FTE TAM at this function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9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high_competitor_ftes (Cognizant)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0.70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~1000 FTEs at a Named account — large displacement target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10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high_competitor_ftes (Genpact)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0.70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~210 FTEs at a Named account — large displacement target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11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unaddressed_voc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VOC: Optimizing Operating Leverage → 2 components mapped to EXL Int_Col, status Not Initiated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12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unaddressed_voc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VOC: Strong Top Line Performance → 3 components for EXL NB_PaaS, Not Initiated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13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strategic_low_wallet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Named account but EXL share-of-wallet = blank / EXL Client = blank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14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unaddressed_voc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VOC: Optimizing Operating Leverage → 4 components for EXL FNOL, Not Initiated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competitor_concentration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Aggregate competitor footprint ~1,210 FTEs (3 competitors, 9 engagements)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16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unaddressed_voc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VOC: Optimizing Operating Leverage → 1 component for EXL E_E2E, Not Initiated</w:t>
            </w:r>
          </w:p>
        </w:tc>
      </w:tr>
      <w:tr>
        <w:tc>
          <w:tcPr>
            <w:tcW w:type="dxa" w:w="4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17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unaddressed_voc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0.60</w:t>
            </w:r>
          </w:p>
        </w:tc>
        <w:tc>
          <w:tcPr>
            <w:tcW w:type="dxa" w:w="61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VOC: Strong Top Line Performance → 1 component for EXL FNOL, Not Initiated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Recommended EXL Play</w:t>
      </w:r>
    </w:p>
    <w:p>
      <w:pPr>
        <w:spacing w:after="120"/>
      </w:pPr>
      <w:r>
        <w:rPr>
          <w:rFonts w:ascii="Arial" w:hAnsi="Arial"/>
          <w:b/>
          <w:i w:val="0"/>
          <w:sz w:val="21"/>
        </w:rPr>
        <w:t>Anchor stack (most-cited across this account's triggers):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EXL Product</w:t>
            </w:r>
          </w:p>
        </w:tc>
        <w:tc>
          <w:tcPr>
            <w:tcW w:type="dxa" w:w="4896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2736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Typical outcome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EXL XTRAKTO.AI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Intelligent document processing — automated data extraction from forms, ACORD, mail, email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25-30% cost-of-operations reduction; 30% cycle-time improvement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EXL EXELIA.AI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Conversational AI — voicebot/chatbot for self-service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AHT reduction; 5-10 pt NPS lift; higher First Call Resolution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EXL NerveHub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Workflow orchestration — connects intake, decisioning, ops across the value chain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Cross-process efficiency; integrated end-to-end visibility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EXL Paymentor</w:t>
            </w:r>
          </w:p>
        </w:tc>
        <w:tc>
          <w:tcPr>
            <w:tcW w:type="dxa" w:w="48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Payment automation — AP, payment processing, leakage detection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100% payment-leakage reduction; 40-60% F&amp;A cost reduction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Arial" w:hAnsi="Arial"/>
          <w:b/>
          <w:i w:val="0"/>
          <w:sz w:val="21"/>
        </w:rPr>
        <w:t>Primary trigger driving the pitch: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Incumbent renewal within 6 months. Solution mapping basis: functions Claims, UW, F&amp;A in evidence.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Secondary trigger:</w:t>
      </w:r>
    </w:p>
    <w:p>
      <w:pPr>
        <w:spacing w:after="120"/>
      </w:pPr>
      <w:r>
        <w:rPr>
          <w:rFonts w:ascii="Arial" w:hAnsi="Arial"/>
          <w:b w:val="0"/>
          <w:i w:val="0"/>
          <w:sz w:val="21"/>
        </w:rPr>
        <w:t>Active competitor friction (free-text signal) — function Claims in evidence.</w:t>
      </w:r>
    </w:p>
    <w:p>
      <w:pPr>
        <w:spacing w:after="40"/>
      </w:pPr>
      <w:r>
        <w:rPr>
          <w:rFonts w:ascii="Arial" w:hAnsi="Arial"/>
          <w:b/>
          <w:i w:val="0"/>
          <w:sz w:val="21"/>
        </w:rPr>
        <w:t>All matched solutions for this account:</w:t>
      </w:r>
    </w:p>
    <w:p>
      <w:pPr>
        <w:spacing w:after="160"/>
      </w:pPr>
      <w:r>
        <w:rPr>
          <w:rFonts w:ascii="Arial" w:hAnsi="Arial"/>
          <w:b w:val="0"/>
          <w:i w:val="0"/>
          <w:sz w:val="21"/>
        </w:rPr>
        <w:t>EXL XTRAKTO.AI (5)  •  EXL Paymentor (4)  •  EXL EXELIA.AI (4)  •  EXL Subrosource (3)  •  EXL MedConnection (3)</w:t>
      </w: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Pitch Hook</w:t>
      </w:r>
    </w:p>
    <w:p>
      <w:pPr>
        <w:pBdr>
          <w:left w:val="single" w:sz="24" w:space="8" w:color="C8102E"/>
        </w:pBdr>
        <w:spacing w:after="200"/>
        <w:ind w:left="216"/>
      </w:pPr>
      <w:r>
        <w:rPr>
          <w:rFonts w:ascii="Arial" w:hAnsi="Arial"/>
          <w:i/>
          <w:color w:val="0B2C4E"/>
          <w:sz w:val="22"/>
        </w:rPr>
        <w:t>Sequenced displacement vehicle for Cognizant's 1,000+ FTE footprint as multiple concurrent scopes approach renewal. Lead with EXL XTRAKTO.AI + EXL EXELIA.AI — typical outcome: 25-30% reduction in cost of operations, 30% improvement in cycle time. Anchor the narrative on Travelers' stated operating-leverage commitments, with EXL's solution mapping to their VOC already complete.</w:t>
      </w: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Stakeholder Map (Client Side)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7200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CEO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Alan Schnitzer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CFO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Dan Frey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CRO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Bruce Jones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CCO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Nicolas Seminara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COO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Mojgan Lefebvre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CIO / CTO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Mojgan Lefebvre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CUO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Rick Schug</w:t>
            </w:r>
          </w:p>
        </w:tc>
      </w:tr>
    </w:tbl>
    <w:p>
      <w:pPr>
        <w:spacing w:after="200"/>
      </w:pPr>
      <w:r>
        <w:rPr>
          <w:rFonts w:ascii="Arial" w:hAnsi="Arial"/>
          <w:b w:val="0"/>
          <w:i/>
          <w:color w:val="555555"/>
          <w:sz w:val="19"/>
        </w:rPr>
        <w:t>Note: COO and CIO/CTO listed under the same name — possible dual role or data-entry artifact. Verify before outreach.</w:t>
      </w: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Risks &amp; Disqualifiers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EXL Client column is blank — confirm whether EXL has any current scope at this account before pitching.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Data vintage 2020-2021 (~4-5 years old). CxO names and renewal windows may be stale — verify externally.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Large incumbent footprint = high switching cost. Plan for a sequenced / phased displacement, not big-bang.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Three parallel champion-challenger threads — coordinate internally to avoid fragmented or conflicting pitches.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Unaddressed VOC items present but no documented current EXL scope — we are pitching from outside the wallet.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COO and CIO/CTO show the same name — could be a real dual role or a source-data artifact. Verify.</w:t>
      </w:r>
    </w:p>
    <w:p>
      <w:pPr>
        <w:spacing w:after="80"/>
      </w:pP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Next 3 Steps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76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1296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7920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Saju</w:t>
            </w:r>
          </w:p>
        </w:tc>
        <w:tc>
          <w:tcPr>
            <w:tcW w:type="dxa" w:w="79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Engage primary client contact on champion-challenger discussions; bring case studies for the largest incumbent's scope.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Saju</w:t>
            </w:r>
          </w:p>
        </w:tc>
        <w:tc>
          <w:tcPr>
            <w:tcW w:type="dxa" w:w="79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Sequence the displacement timeline — smallest scope as fast-pilot, anchor scope as headline.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Sean</w:t>
            </w:r>
          </w:p>
        </w:tc>
        <w:tc>
          <w:tcPr>
            <w:tcW w:type="dxa" w:w="79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Schedule meeting with client CxO to walk through the EXL solution components already mapped to their stated priorities.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B2C4E"/>
          <w:sz w:val="28"/>
        </w:rPr>
        <w:t>Evidence Pack — Source Citations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>Every trigger above is sourced from rows in the consolidated TAM corpus: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5760"/>
            <w:shd w:val="clear" w:color="auto" w:fill="0B2C4E"/>
            <w:tcBorders>
              <w:top w:val="single" w:sz="4" w:color="0B2C4E"/>
              <w:left w:val="single" w:sz="4" w:color="0B2C4E"/>
              <w:bottom w:val="single" w:sz="4" w:color="0B2C4E"/>
              <w:right w:val="single" w:sz="4" w:color="0B2C4E"/>
            </w:tcBorders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What it provides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F5 / Competitor Analysis / R8–R12</w:t>
            </w:r>
          </w:p>
        </w:tc>
        <w:tc>
          <w:tcPr>
            <w:tcW w:type="dxa" w:w="57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Cognizant footprint, scopes, renewal window, FTEs (5 rows)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F5 / Competitor Analysis / R39–R41</w:t>
            </w:r>
          </w:p>
        </w:tc>
        <w:tc>
          <w:tcPr>
            <w:tcW w:type="dxa" w:w="57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Genpact footprint, terminating signal, Policy Maintenance/Claims/Invoicing (3 rows)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F5 / Competitor Analysis / R65</w:t>
            </w:r>
          </w:p>
        </w:tc>
        <w:tc>
          <w:tcPr>
            <w:tcW w:type="dxa" w:w="57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WNS — given notice, exploring new champion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F1 / Buyer Priorities / R9, R11–R20</w:t>
            </w:r>
          </w:p>
        </w:tc>
        <w:tc>
          <w:tcPr>
            <w:tcW w:type="dxa" w:w="57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VOC priorities mapped to EXL solutions, status Not Initiated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F1 / Top Insurers and Brokers</w:t>
            </w:r>
          </w:p>
        </w:tc>
        <w:tc>
          <w:tcPr>
            <w:tcW w:type="dxa" w:w="57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19"/>
              </w:rPr>
              <w:t>Client profile, NWP, EXL relationship type, share-of-wallet flag</w:t>
            </w:r>
          </w:p>
        </w:tc>
      </w:tr>
      <w:tr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Derived: F4 + F5</w:t>
            </w:r>
          </w:p>
        </w:tc>
        <w:tc>
          <w:tcPr>
            <w:tcW w:type="dxa" w:w="57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5F7FA"/>
          </w:tcPr>
          <w:p>
            <w:r>
              <w:rPr>
                <w:rFonts w:ascii="Arial" w:hAnsi="Arial"/>
                <w:sz w:val="19"/>
              </w:rPr>
              <w:t>Aggregate competitor footprint summary (~1,210 FTEs, 3 competitors, 9 engagements)</w:t>
            </w:r>
          </w:p>
        </w:tc>
      </w:tr>
    </w:tbl>
    <w:p>
      <w:pPr>
        <w:spacing w:after="120"/>
      </w:pPr>
    </w:p>
    <w:p>
      <w:pPr>
        <w:spacing w:before="240"/>
        <w:jc w:val="left"/>
      </w:pPr>
      <w:r>
        <w:rPr>
          <w:rFonts w:ascii="Arial" w:hAnsi="Arial"/>
          <w:i/>
          <w:color w:val="555555"/>
          <w:sz w:val="17"/>
        </w:rPr>
        <w:t>Generated 2026-05-27 from data vintages 2020-08-03 and 2021-02-21. Source-cited to TAM corpus (5 internal EXL spreadsheets). Re-run pipeline/synthesize.py to refresh.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