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A8FB" w14:textId="3E995129" w:rsidR="00E936D5" w:rsidRDefault="00D94C38" w:rsidP="00D94C38">
      <w:pPr>
        <w:shd w:val="clear" w:color="auto" w:fill="FFFFFF" w:themeFill="background1"/>
        <w:rPr>
          <w:rFonts w:cstheme="minorHAnsi"/>
          <w:b/>
          <w:bCs/>
          <w:color w:val="000000" w:themeColor="text1"/>
          <w:sz w:val="32"/>
          <w:szCs w:val="32"/>
          <w:lang w:val="en-US"/>
        </w:rPr>
      </w:pPr>
      <w:bookmarkStart w:id="0" w:name="_Hlk145676456"/>
      <w:bookmarkEnd w:id="0"/>
      <w:r>
        <w:rPr>
          <w:rFonts w:cstheme="minorHAnsi"/>
          <w:b/>
          <w:bCs/>
          <w:color w:val="000000" w:themeColor="text1"/>
          <w:sz w:val="32"/>
          <w:szCs w:val="32"/>
          <w:lang w:val="en-US"/>
        </w:rPr>
        <w:t xml:space="preserve"> </w:t>
      </w:r>
      <w:r>
        <w:rPr>
          <w:rFonts w:cstheme="minorHAnsi"/>
          <w:noProof/>
          <w:color w:val="000000" w:themeColor="text1"/>
          <w:lang w:val="en-US"/>
        </w:rPr>
        <w:drawing>
          <wp:inline distT="0" distB="0" distL="0" distR="0" wp14:anchorId="10A08C95" wp14:editId="7A3DEDB7">
            <wp:extent cx="1477108" cy="1477108"/>
            <wp:effectExtent l="0" t="0" r="8890" b="8890"/>
            <wp:docPr id="1531944956" name="Picture 5" descr="A logo with a hand pointing at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44956" name="Picture 5" descr="A logo with a hand pointing at a circuit 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8194" cy="1478194"/>
                    </a:xfrm>
                    <a:prstGeom prst="rect">
                      <a:avLst/>
                    </a:prstGeom>
                  </pic:spPr>
                </pic:pic>
              </a:graphicData>
            </a:graphic>
          </wp:inline>
        </w:drawing>
      </w:r>
      <w:r>
        <w:rPr>
          <w:rFonts w:cstheme="minorHAnsi"/>
          <w:b/>
          <w:bCs/>
          <w:color w:val="000000" w:themeColor="text1"/>
          <w:sz w:val="32"/>
          <w:szCs w:val="32"/>
          <w:lang w:val="en-US"/>
        </w:rPr>
        <w:t xml:space="preserve">   </w:t>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noProof/>
          <w:color w:val="000000" w:themeColor="text1"/>
          <w:lang w:val="en-US"/>
        </w:rPr>
        <w:drawing>
          <wp:inline distT="0" distB="0" distL="0" distR="0" wp14:anchorId="2CAF07AB" wp14:editId="51C5EC4F">
            <wp:extent cx="1705170" cy="1705170"/>
            <wp:effectExtent l="0" t="0" r="0" b="0"/>
            <wp:docPr id="759203465" name="Picture 6"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03465" name="Picture 6" descr="A red and black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3978" cy="1713978"/>
                    </a:xfrm>
                    <a:prstGeom prst="rect">
                      <a:avLst/>
                    </a:prstGeom>
                  </pic:spPr>
                </pic:pic>
              </a:graphicData>
            </a:graphic>
          </wp:inline>
        </w:drawing>
      </w:r>
    </w:p>
    <w:p w14:paraId="2B9B8D6D" w14:textId="77777777" w:rsidR="00D94C38" w:rsidRDefault="00D94C38" w:rsidP="003B4AD3">
      <w:pPr>
        <w:shd w:val="clear" w:color="auto" w:fill="FFFFFF" w:themeFill="background1"/>
        <w:jc w:val="center"/>
        <w:rPr>
          <w:rFonts w:cstheme="minorHAnsi"/>
          <w:b/>
          <w:bCs/>
          <w:color w:val="000000" w:themeColor="text1"/>
          <w:sz w:val="32"/>
          <w:szCs w:val="32"/>
          <w:lang w:val="en-US"/>
        </w:rPr>
      </w:pPr>
    </w:p>
    <w:p w14:paraId="0D6E6A95" w14:textId="77777777" w:rsidR="00D94C38" w:rsidRDefault="00D94C38" w:rsidP="003B4AD3">
      <w:pPr>
        <w:shd w:val="clear" w:color="auto" w:fill="FFFFFF" w:themeFill="background1"/>
        <w:jc w:val="center"/>
        <w:rPr>
          <w:rFonts w:cstheme="minorHAnsi"/>
          <w:b/>
          <w:bCs/>
          <w:color w:val="000000" w:themeColor="text1"/>
          <w:sz w:val="32"/>
          <w:szCs w:val="32"/>
          <w:lang w:val="en-US"/>
        </w:rPr>
      </w:pPr>
    </w:p>
    <w:p w14:paraId="522256BA" w14:textId="77777777" w:rsidR="00D94C38" w:rsidRDefault="00D94C38" w:rsidP="003B4AD3">
      <w:pPr>
        <w:shd w:val="clear" w:color="auto" w:fill="FFFFFF" w:themeFill="background1"/>
        <w:jc w:val="center"/>
        <w:rPr>
          <w:rFonts w:cstheme="minorHAnsi"/>
          <w:b/>
          <w:bCs/>
          <w:color w:val="000000" w:themeColor="text1"/>
          <w:sz w:val="32"/>
          <w:szCs w:val="32"/>
          <w:lang w:val="en-US"/>
        </w:rPr>
      </w:pPr>
    </w:p>
    <w:p w14:paraId="05DC9CCB" w14:textId="77777777" w:rsidR="00D94C38" w:rsidRPr="003B4AD3" w:rsidRDefault="00D94C38" w:rsidP="003B4AD3">
      <w:pPr>
        <w:shd w:val="clear" w:color="auto" w:fill="FFFFFF" w:themeFill="background1"/>
        <w:jc w:val="center"/>
        <w:rPr>
          <w:rFonts w:cstheme="minorHAnsi"/>
          <w:b/>
          <w:bCs/>
          <w:color w:val="000000" w:themeColor="text1"/>
          <w:sz w:val="32"/>
          <w:szCs w:val="32"/>
          <w:lang w:val="en-US"/>
        </w:rPr>
      </w:pPr>
    </w:p>
    <w:p w14:paraId="08CBFA13" w14:textId="0A7D35AB" w:rsidR="00890C02" w:rsidRPr="003B4AD3" w:rsidRDefault="000265DD" w:rsidP="003B4AD3">
      <w:pPr>
        <w:shd w:val="clear" w:color="auto" w:fill="FFFFFF" w:themeFill="background1"/>
        <w:ind w:left="360"/>
        <w:jc w:val="center"/>
        <w:rPr>
          <w:rFonts w:cstheme="minorHAnsi"/>
          <w:b/>
          <w:bCs/>
          <w:color w:val="000000" w:themeColor="text1"/>
          <w:sz w:val="32"/>
          <w:szCs w:val="32"/>
          <w:lang w:val="en-US"/>
        </w:rPr>
      </w:pPr>
      <w:r w:rsidRPr="003B4AD3">
        <w:rPr>
          <w:rFonts w:cstheme="minorHAnsi"/>
          <w:b/>
          <w:bCs/>
          <w:color w:val="000000" w:themeColor="text1"/>
          <w:sz w:val="32"/>
          <w:szCs w:val="32"/>
          <w:lang w:val="en-US"/>
        </w:rPr>
        <w:t>Consultancy Name: RevolEdge Solutions</w:t>
      </w:r>
    </w:p>
    <w:p w14:paraId="31CC5CCC" w14:textId="3D93B86D" w:rsidR="000265DD" w:rsidRDefault="000265DD" w:rsidP="003B4AD3">
      <w:pPr>
        <w:shd w:val="clear" w:color="auto" w:fill="FFFFFF" w:themeFill="background1"/>
        <w:ind w:left="360"/>
        <w:jc w:val="center"/>
        <w:rPr>
          <w:rFonts w:cstheme="minorHAnsi"/>
          <w:b/>
          <w:bCs/>
          <w:color w:val="000000" w:themeColor="text1"/>
          <w:sz w:val="32"/>
          <w:szCs w:val="32"/>
          <w:lang w:val="en-US"/>
        </w:rPr>
      </w:pPr>
      <w:r w:rsidRPr="003B4AD3">
        <w:rPr>
          <w:rFonts w:cstheme="minorHAnsi"/>
          <w:b/>
          <w:bCs/>
          <w:color w:val="000000" w:themeColor="text1"/>
          <w:sz w:val="32"/>
          <w:szCs w:val="32"/>
          <w:lang w:val="en-US"/>
        </w:rPr>
        <w:t>Client Company: The Bank of Nova Scotia (Scotiabank)</w:t>
      </w:r>
    </w:p>
    <w:p w14:paraId="0A11F25E" w14:textId="77777777" w:rsidR="003B4AD3" w:rsidRDefault="003B4AD3" w:rsidP="003B4AD3">
      <w:pPr>
        <w:shd w:val="clear" w:color="auto" w:fill="FFFFFF" w:themeFill="background1"/>
        <w:ind w:left="360"/>
        <w:jc w:val="center"/>
        <w:rPr>
          <w:rFonts w:cstheme="minorHAnsi"/>
          <w:b/>
          <w:bCs/>
          <w:color w:val="000000" w:themeColor="text1"/>
          <w:sz w:val="32"/>
          <w:szCs w:val="32"/>
          <w:lang w:val="en-US"/>
        </w:rPr>
      </w:pPr>
    </w:p>
    <w:p w14:paraId="225FFF58" w14:textId="77777777" w:rsidR="003B4AD3" w:rsidRPr="003B4AD3" w:rsidRDefault="003B4AD3" w:rsidP="003B4AD3">
      <w:pPr>
        <w:shd w:val="clear" w:color="auto" w:fill="FFFFFF" w:themeFill="background1"/>
        <w:ind w:left="360"/>
        <w:jc w:val="center"/>
        <w:rPr>
          <w:rFonts w:cstheme="minorHAnsi"/>
          <w:b/>
          <w:bCs/>
          <w:color w:val="000000" w:themeColor="text1"/>
          <w:sz w:val="32"/>
          <w:szCs w:val="32"/>
          <w:lang w:val="en-US"/>
        </w:rPr>
      </w:pPr>
    </w:p>
    <w:p w14:paraId="2528109A" w14:textId="0A7101CA" w:rsidR="00C31E5D" w:rsidRDefault="000265DD" w:rsidP="00D111FD">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Team:</w:t>
      </w:r>
    </w:p>
    <w:p w14:paraId="0FA8F730" w14:textId="4FA0EA1E" w:rsidR="000265DD" w:rsidRDefault="00C31E5D" w:rsidP="00D111FD">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 xml:space="preserve">Amaan Shaikh </w:t>
      </w:r>
      <w:r w:rsidR="00424E12">
        <w:rPr>
          <w:rFonts w:cstheme="minorHAnsi"/>
          <w:b/>
          <w:bCs/>
          <w:color w:val="000000" w:themeColor="text1"/>
          <w:lang w:val="en-US"/>
        </w:rPr>
        <w:t>-</w:t>
      </w:r>
      <w:r>
        <w:rPr>
          <w:rFonts w:cstheme="minorHAnsi"/>
          <w:b/>
          <w:bCs/>
          <w:color w:val="000000" w:themeColor="text1"/>
          <w:lang w:val="en-US"/>
        </w:rPr>
        <w:t xml:space="preserve"> Project Manager</w:t>
      </w:r>
      <w:r w:rsidR="00C84911">
        <w:rPr>
          <w:rFonts w:cstheme="minorHAnsi"/>
          <w:b/>
          <w:bCs/>
          <w:color w:val="000000" w:themeColor="text1"/>
          <w:lang w:val="en-US"/>
        </w:rPr>
        <w:t xml:space="preserve"> </w:t>
      </w:r>
      <w:r>
        <w:rPr>
          <w:rFonts w:cstheme="minorHAnsi"/>
          <w:b/>
          <w:bCs/>
          <w:color w:val="000000" w:themeColor="text1"/>
          <w:lang w:val="en-US"/>
        </w:rPr>
        <w:t>(Phase 1)</w:t>
      </w:r>
    </w:p>
    <w:p w14:paraId="656826C3" w14:textId="0A96A0BB" w:rsidR="00C31E5D" w:rsidRDefault="00C31E5D" w:rsidP="00D111FD">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 xml:space="preserve">Reeny Susan Roy </w:t>
      </w:r>
      <w:r w:rsidR="00424E12">
        <w:rPr>
          <w:rFonts w:cstheme="minorHAnsi"/>
          <w:b/>
          <w:bCs/>
          <w:color w:val="000000" w:themeColor="text1"/>
          <w:lang w:val="en-US"/>
        </w:rPr>
        <w:t>-</w:t>
      </w:r>
      <w:r>
        <w:rPr>
          <w:rFonts w:cstheme="minorHAnsi"/>
          <w:b/>
          <w:bCs/>
          <w:color w:val="000000" w:themeColor="text1"/>
          <w:lang w:val="en-US"/>
        </w:rPr>
        <w:t xml:space="preserve"> Team </w:t>
      </w:r>
      <w:r w:rsidR="00C84911">
        <w:rPr>
          <w:rFonts w:cstheme="minorHAnsi"/>
          <w:b/>
          <w:bCs/>
          <w:color w:val="000000" w:themeColor="text1"/>
          <w:lang w:val="en-US"/>
        </w:rPr>
        <w:t>Leader (</w:t>
      </w:r>
      <w:r>
        <w:rPr>
          <w:rFonts w:cstheme="minorHAnsi"/>
          <w:b/>
          <w:bCs/>
          <w:color w:val="000000" w:themeColor="text1"/>
          <w:lang w:val="en-US"/>
        </w:rPr>
        <w:t>Phase 1)</w:t>
      </w:r>
    </w:p>
    <w:p w14:paraId="35E9269C" w14:textId="3D6D6C4B" w:rsidR="00C31E5D" w:rsidRDefault="00C31E5D" w:rsidP="00D111FD">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 xml:space="preserve">Bhavya Jain </w:t>
      </w:r>
      <w:r w:rsidR="00424E12">
        <w:rPr>
          <w:rFonts w:cstheme="minorHAnsi"/>
          <w:b/>
          <w:bCs/>
          <w:color w:val="000000" w:themeColor="text1"/>
          <w:lang w:val="en-US"/>
        </w:rPr>
        <w:t xml:space="preserve">- Business Analyst </w:t>
      </w:r>
    </w:p>
    <w:p w14:paraId="591F9EC7" w14:textId="57B86CC2" w:rsidR="00C31E5D" w:rsidRDefault="00C31E5D" w:rsidP="00D111FD">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Jainam Shah</w:t>
      </w:r>
      <w:r w:rsidR="00424E12">
        <w:rPr>
          <w:rFonts w:cstheme="minorHAnsi"/>
          <w:b/>
          <w:bCs/>
          <w:color w:val="000000" w:themeColor="text1"/>
          <w:lang w:val="en-US"/>
        </w:rPr>
        <w:t xml:space="preserve"> - Business Analyst</w:t>
      </w:r>
    </w:p>
    <w:p w14:paraId="75EA5DD4" w14:textId="7508D3B4" w:rsidR="00C31E5D" w:rsidRDefault="00C31E5D" w:rsidP="00D111FD">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Dinesh Kumar</w:t>
      </w:r>
      <w:r w:rsidR="00424E12">
        <w:rPr>
          <w:rFonts w:cstheme="minorHAnsi"/>
          <w:b/>
          <w:bCs/>
          <w:color w:val="000000" w:themeColor="text1"/>
          <w:lang w:val="en-US"/>
        </w:rPr>
        <w:t xml:space="preserve"> - Business Analyst</w:t>
      </w:r>
    </w:p>
    <w:p w14:paraId="7B09192C" w14:textId="34FA1ECE" w:rsidR="006C35A2" w:rsidRDefault="006C35A2" w:rsidP="00D111FD">
      <w:pPr>
        <w:shd w:val="clear" w:color="auto" w:fill="FFFFFF" w:themeFill="background1"/>
        <w:ind w:left="360"/>
        <w:rPr>
          <w:rFonts w:cstheme="minorHAnsi"/>
          <w:b/>
          <w:bCs/>
          <w:color w:val="000000" w:themeColor="text1"/>
          <w:lang w:val="en-US"/>
        </w:rPr>
      </w:pPr>
    </w:p>
    <w:p w14:paraId="433FCC8D" w14:textId="77777777" w:rsidR="00890C02" w:rsidRDefault="00890C02" w:rsidP="00D111FD">
      <w:pPr>
        <w:shd w:val="clear" w:color="auto" w:fill="FFFFFF" w:themeFill="background1"/>
        <w:ind w:left="360"/>
        <w:rPr>
          <w:rFonts w:cstheme="minorHAnsi"/>
          <w:b/>
          <w:bCs/>
          <w:color w:val="000000" w:themeColor="text1"/>
          <w:lang w:val="en-US"/>
        </w:rPr>
      </w:pPr>
    </w:p>
    <w:p w14:paraId="2A2C8164" w14:textId="77777777" w:rsidR="00D111FD" w:rsidRDefault="00D111FD" w:rsidP="00D111FD">
      <w:pPr>
        <w:shd w:val="clear" w:color="auto" w:fill="FFFFFF" w:themeFill="background1"/>
        <w:ind w:left="360"/>
        <w:rPr>
          <w:rFonts w:cstheme="minorHAnsi"/>
          <w:color w:val="000000" w:themeColor="text1"/>
          <w:lang w:val="en-US"/>
        </w:rPr>
      </w:pPr>
    </w:p>
    <w:p w14:paraId="491498FB" w14:textId="77777777" w:rsidR="00D111FD" w:rsidRDefault="00D111FD" w:rsidP="00D111FD">
      <w:pPr>
        <w:shd w:val="clear" w:color="auto" w:fill="FFFFFF" w:themeFill="background1"/>
        <w:ind w:left="360"/>
        <w:rPr>
          <w:rFonts w:cstheme="minorHAnsi"/>
          <w:color w:val="000000" w:themeColor="text1"/>
          <w:lang w:val="en-US"/>
        </w:rPr>
      </w:pPr>
    </w:p>
    <w:p w14:paraId="761A3A3D" w14:textId="77777777" w:rsidR="00D111FD" w:rsidRDefault="00D111FD" w:rsidP="00D111FD">
      <w:pPr>
        <w:shd w:val="clear" w:color="auto" w:fill="FFFFFF" w:themeFill="background1"/>
        <w:ind w:left="360"/>
        <w:rPr>
          <w:rFonts w:cstheme="minorHAnsi"/>
          <w:color w:val="000000" w:themeColor="text1"/>
          <w:lang w:val="en-US"/>
        </w:rPr>
      </w:pPr>
    </w:p>
    <w:p w14:paraId="17970EBE" w14:textId="77777777" w:rsidR="00D111FD" w:rsidRDefault="00D111FD" w:rsidP="00D111FD">
      <w:pPr>
        <w:shd w:val="clear" w:color="auto" w:fill="FFFFFF" w:themeFill="background1"/>
        <w:ind w:left="360"/>
        <w:rPr>
          <w:rFonts w:cstheme="minorHAnsi"/>
          <w:color w:val="000000" w:themeColor="text1"/>
          <w:lang w:val="en-US"/>
        </w:rPr>
      </w:pPr>
    </w:p>
    <w:p w14:paraId="12171F7A" w14:textId="77777777" w:rsidR="00D111FD" w:rsidRDefault="00D111FD" w:rsidP="00D111FD">
      <w:pPr>
        <w:shd w:val="clear" w:color="auto" w:fill="FFFFFF" w:themeFill="background1"/>
        <w:ind w:left="360"/>
        <w:rPr>
          <w:rFonts w:cstheme="minorHAnsi"/>
          <w:color w:val="000000" w:themeColor="text1"/>
          <w:lang w:val="en-US"/>
        </w:rPr>
      </w:pPr>
    </w:p>
    <w:p w14:paraId="18DA904A" w14:textId="77777777" w:rsidR="006C35A2" w:rsidRDefault="006C35A2" w:rsidP="00D111FD">
      <w:pPr>
        <w:shd w:val="clear" w:color="auto" w:fill="FFFFFF" w:themeFill="background1"/>
        <w:ind w:left="360"/>
        <w:rPr>
          <w:rFonts w:cstheme="minorHAnsi"/>
          <w:color w:val="000000" w:themeColor="text1"/>
          <w:lang w:val="en-US"/>
        </w:rPr>
      </w:pPr>
    </w:p>
    <w:p w14:paraId="4F0CDA66" w14:textId="77777777" w:rsidR="006C35A2" w:rsidRDefault="006C35A2" w:rsidP="00D111FD">
      <w:pPr>
        <w:shd w:val="clear" w:color="auto" w:fill="FFFFFF" w:themeFill="background1"/>
        <w:ind w:left="360"/>
        <w:rPr>
          <w:rFonts w:cstheme="minorHAnsi"/>
          <w:color w:val="000000" w:themeColor="text1"/>
          <w:lang w:val="en-US"/>
        </w:rPr>
      </w:pPr>
    </w:p>
    <w:p w14:paraId="1A7D3A7E" w14:textId="223C47BE" w:rsidR="00943913" w:rsidRDefault="006C35A2" w:rsidP="006630C0">
      <w:pPr>
        <w:shd w:val="clear" w:color="auto" w:fill="FFFFFF" w:themeFill="background1"/>
        <w:rPr>
          <w:rFonts w:cstheme="minorHAnsi"/>
          <w:color w:val="000000" w:themeColor="text1"/>
          <w:lang w:val="en-US"/>
        </w:rPr>
      </w:pPr>
      <w:r>
        <w:rPr>
          <w:rFonts w:cstheme="minorHAnsi"/>
          <w:noProof/>
          <w:color w:val="000000" w:themeColor="text1"/>
          <w:lang w:val="en-US"/>
        </w:rPr>
        <w:t xml:space="preserve">                                                        </w:t>
      </w:r>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r>
        <w:rPr>
          <w:rFonts w:cstheme="minorHAnsi"/>
          <w:color w:val="000000" w:themeColor="text1"/>
          <w:lang w:val="en-US"/>
        </w:rPr>
        <w:tab/>
      </w:r>
    </w:p>
    <w:sdt>
      <w:sdtPr>
        <w:rPr>
          <w:rFonts w:asciiTheme="minorHAnsi" w:eastAsiaTheme="minorHAnsi" w:hAnsiTheme="minorHAnsi" w:cstheme="minorBidi"/>
          <w:color w:val="auto"/>
          <w:sz w:val="22"/>
          <w:szCs w:val="22"/>
          <w:lang w:val="en-IN"/>
        </w:rPr>
        <w:id w:val="-1531259233"/>
        <w:docPartObj>
          <w:docPartGallery w:val="Table of Contents"/>
          <w:docPartUnique/>
        </w:docPartObj>
      </w:sdtPr>
      <w:sdtEndPr>
        <w:rPr>
          <w:b/>
          <w:bCs/>
          <w:noProof/>
        </w:rPr>
      </w:sdtEndPr>
      <w:sdtContent>
        <w:p w14:paraId="0379B34C" w14:textId="359C906E" w:rsidR="004730B6" w:rsidRDefault="004730B6">
          <w:pPr>
            <w:pStyle w:val="TOCHeading"/>
          </w:pPr>
          <w:r>
            <w:t>Table of Contents</w:t>
          </w:r>
        </w:p>
        <w:p w14:paraId="61FB5761" w14:textId="15ADE5DA" w:rsidR="003B4EAB" w:rsidRDefault="004730B6" w:rsidP="00E350BB">
          <w:pPr>
            <w:pStyle w:val="TOC1"/>
            <w:rPr>
              <w:rFonts w:eastAsiaTheme="minorEastAsia"/>
              <w:kern w:val="2"/>
              <w:lang w:val="en-CA" w:eastAsia="en-CA"/>
              <w14:ligatures w14:val="standardContextual"/>
            </w:rPr>
          </w:pPr>
          <w:r>
            <w:fldChar w:fldCharType="begin"/>
          </w:r>
          <w:r>
            <w:instrText xml:space="preserve"> TOC \o "1-3" \h \z \u </w:instrText>
          </w:r>
          <w:r>
            <w:fldChar w:fldCharType="separate"/>
          </w:r>
          <w:hyperlink w:anchor="_Toc145702352" w:history="1">
            <w:r w:rsidR="003B4EAB" w:rsidRPr="00950800">
              <w:rPr>
                <w:rStyle w:val="Hyperlink"/>
              </w:rPr>
              <w:t>RACI Matrix for the Initial Phase (before the first deliverable)</w:t>
            </w:r>
            <w:r w:rsidR="003B4EAB">
              <w:rPr>
                <w:webHidden/>
              </w:rPr>
              <w:tab/>
            </w:r>
            <w:r w:rsidR="003B4EAB">
              <w:rPr>
                <w:webHidden/>
              </w:rPr>
              <w:fldChar w:fldCharType="begin"/>
            </w:r>
            <w:r w:rsidR="003B4EAB">
              <w:rPr>
                <w:webHidden/>
              </w:rPr>
              <w:instrText xml:space="preserve"> PAGEREF _Toc145702352 \h </w:instrText>
            </w:r>
            <w:r w:rsidR="003B4EAB">
              <w:rPr>
                <w:webHidden/>
              </w:rPr>
            </w:r>
            <w:r w:rsidR="003B4EAB">
              <w:rPr>
                <w:webHidden/>
              </w:rPr>
              <w:fldChar w:fldCharType="separate"/>
            </w:r>
            <w:r w:rsidR="003B4EAB">
              <w:rPr>
                <w:webHidden/>
              </w:rPr>
              <w:t>3</w:t>
            </w:r>
            <w:r w:rsidR="003B4EAB">
              <w:rPr>
                <w:webHidden/>
              </w:rPr>
              <w:fldChar w:fldCharType="end"/>
            </w:r>
          </w:hyperlink>
        </w:p>
        <w:p w14:paraId="025417A2" w14:textId="5B666AB7" w:rsidR="003B4EAB" w:rsidRDefault="003B4EAB" w:rsidP="00E350BB">
          <w:pPr>
            <w:pStyle w:val="TOC1"/>
            <w:rPr>
              <w:rFonts w:eastAsiaTheme="minorEastAsia"/>
              <w:kern w:val="2"/>
              <w:lang w:val="en-CA" w:eastAsia="en-CA"/>
              <w14:ligatures w14:val="standardContextual"/>
            </w:rPr>
          </w:pPr>
          <w:hyperlink w:anchor="_Toc145702353" w:history="1">
            <w:r w:rsidRPr="00950800">
              <w:rPr>
                <w:rStyle w:val="Hyperlink"/>
              </w:rPr>
              <w:t>Team Roles and Responsibilities</w:t>
            </w:r>
            <w:r>
              <w:rPr>
                <w:webHidden/>
              </w:rPr>
              <w:tab/>
            </w:r>
            <w:r>
              <w:rPr>
                <w:webHidden/>
              </w:rPr>
              <w:fldChar w:fldCharType="begin"/>
            </w:r>
            <w:r>
              <w:rPr>
                <w:webHidden/>
              </w:rPr>
              <w:instrText xml:space="preserve"> PAGEREF _Toc145702353 \h </w:instrText>
            </w:r>
            <w:r>
              <w:rPr>
                <w:webHidden/>
              </w:rPr>
            </w:r>
            <w:r>
              <w:rPr>
                <w:webHidden/>
              </w:rPr>
              <w:fldChar w:fldCharType="separate"/>
            </w:r>
            <w:r>
              <w:rPr>
                <w:webHidden/>
              </w:rPr>
              <w:t>3</w:t>
            </w:r>
            <w:r>
              <w:rPr>
                <w:webHidden/>
              </w:rPr>
              <w:fldChar w:fldCharType="end"/>
            </w:r>
          </w:hyperlink>
        </w:p>
        <w:p w14:paraId="6F1B4AD6" w14:textId="40AA6D33" w:rsidR="003B4EAB" w:rsidRDefault="003B4EAB" w:rsidP="00E350BB">
          <w:pPr>
            <w:pStyle w:val="TOC1"/>
            <w:rPr>
              <w:rFonts w:eastAsiaTheme="minorEastAsia"/>
              <w:kern w:val="2"/>
              <w:lang w:val="en-CA" w:eastAsia="en-CA"/>
              <w14:ligatures w14:val="standardContextual"/>
            </w:rPr>
          </w:pPr>
          <w:hyperlink w:anchor="_Toc145702354" w:history="1">
            <w:r w:rsidRPr="00950800">
              <w:rPr>
                <w:rStyle w:val="Hyperlink"/>
              </w:rPr>
              <w:t>Team Contract</w:t>
            </w:r>
            <w:r>
              <w:rPr>
                <w:webHidden/>
              </w:rPr>
              <w:tab/>
            </w:r>
            <w:r>
              <w:rPr>
                <w:webHidden/>
              </w:rPr>
              <w:fldChar w:fldCharType="begin"/>
            </w:r>
            <w:r>
              <w:rPr>
                <w:webHidden/>
              </w:rPr>
              <w:instrText xml:space="preserve"> PAGEREF _Toc145702354 \h </w:instrText>
            </w:r>
            <w:r>
              <w:rPr>
                <w:webHidden/>
              </w:rPr>
            </w:r>
            <w:r>
              <w:rPr>
                <w:webHidden/>
              </w:rPr>
              <w:fldChar w:fldCharType="separate"/>
            </w:r>
            <w:r>
              <w:rPr>
                <w:webHidden/>
              </w:rPr>
              <w:t>4</w:t>
            </w:r>
            <w:r>
              <w:rPr>
                <w:webHidden/>
              </w:rPr>
              <w:fldChar w:fldCharType="end"/>
            </w:r>
          </w:hyperlink>
        </w:p>
        <w:p w14:paraId="0512DB4D" w14:textId="2B56A8BF" w:rsidR="003B4EAB" w:rsidRDefault="003B4EAB" w:rsidP="00E350BB">
          <w:pPr>
            <w:pStyle w:val="TOC1"/>
            <w:rPr>
              <w:rFonts w:eastAsiaTheme="minorEastAsia"/>
              <w:kern w:val="2"/>
              <w:lang w:val="en-CA" w:eastAsia="en-CA"/>
              <w14:ligatures w14:val="standardContextual"/>
            </w:rPr>
          </w:pPr>
          <w:hyperlink w:anchor="_Toc145702355" w:history="1">
            <w:r w:rsidRPr="00950800">
              <w:rPr>
                <w:rStyle w:val="Hyperlink"/>
              </w:rPr>
              <w:t>Overview</w:t>
            </w:r>
            <w:r>
              <w:rPr>
                <w:webHidden/>
              </w:rPr>
              <w:tab/>
            </w:r>
            <w:r>
              <w:rPr>
                <w:webHidden/>
              </w:rPr>
              <w:fldChar w:fldCharType="begin"/>
            </w:r>
            <w:r>
              <w:rPr>
                <w:webHidden/>
              </w:rPr>
              <w:instrText xml:space="preserve"> PAGEREF _Toc145702355 \h </w:instrText>
            </w:r>
            <w:r>
              <w:rPr>
                <w:webHidden/>
              </w:rPr>
            </w:r>
            <w:r>
              <w:rPr>
                <w:webHidden/>
              </w:rPr>
              <w:fldChar w:fldCharType="separate"/>
            </w:r>
            <w:r>
              <w:rPr>
                <w:webHidden/>
              </w:rPr>
              <w:t>6</w:t>
            </w:r>
            <w:r>
              <w:rPr>
                <w:webHidden/>
              </w:rPr>
              <w:fldChar w:fldCharType="end"/>
            </w:r>
          </w:hyperlink>
        </w:p>
        <w:p w14:paraId="3F73BE36" w14:textId="702CC1AB" w:rsidR="003B4EAB" w:rsidRPr="00E350BB" w:rsidRDefault="003B4EAB" w:rsidP="00E350BB">
          <w:pPr>
            <w:pStyle w:val="TOC1"/>
            <w:rPr>
              <w:rFonts w:eastAsiaTheme="minorEastAsia"/>
              <w:kern w:val="2"/>
              <w:lang w:val="en-CA" w:eastAsia="en-CA"/>
              <w14:ligatures w14:val="standardContextual"/>
            </w:rPr>
          </w:pPr>
          <w:hyperlink w:anchor="_Toc145702356" w:history="1">
            <w:r w:rsidRPr="00E350BB">
              <w:rPr>
                <w:rStyle w:val="Hyperlink"/>
                <w:u w:val="none"/>
              </w:rPr>
              <w:t>Timelines and Milestones</w:t>
            </w:r>
            <w:r w:rsidRPr="00E350BB">
              <w:rPr>
                <w:webHidden/>
              </w:rPr>
              <w:tab/>
            </w:r>
            <w:r w:rsidRPr="00E350BB">
              <w:rPr>
                <w:webHidden/>
              </w:rPr>
              <w:fldChar w:fldCharType="begin"/>
            </w:r>
            <w:r w:rsidRPr="00E350BB">
              <w:rPr>
                <w:webHidden/>
              </w:rPr>
              <w:instrText xml:space="preserve"> PAGEREF _Toc145702356 \h </w:instrText>
            </w:r>
            <w:r w:rsidRPr="00E350BB">
              <w:rPr>
                <w:webHidden/>
              </w:rPr>
            </w:r>
            <w:r w:rsidRPr="00E350BB">
              <w:rPr>
                <w:webHidden/>
              </w:rPr>
              <w:fldChar w:fldCharType="separate"/>
            </w:r>
            <w:r w:rsidRPr="00E350BB">
              <w:rPr>
                <w:webHidden/>
              </w:rPr>
              <w:t>7</w:t>
            </w:r>
            <w:r w:rsidRPr="00E350BB">
              <w:rPr>
                <w:webHidden/>
              </w:rPr>
              <w:fldChar w:fldCharType="end"/>
            </w:r>
          </w:hyperlink>
        </w:p>
        <w:p w14:paraId="56550205" w14:textId="25043DFB" w:rsidR="003B4EAB" w:rsidRDefault="003B4EAB" w:rsidP="00E350BB">
          <w:pPr>
            <w:pStyle w:val="TOC1"/>
            <w:rPr>
              <w:rFonts w:eastAsiaTheme="minorEastAsia"/>
              <w:kern w:val="2"/>
              <w:lang w:val="en-CA" w:eastAsia="en-CA"/>
              <w14:ligatures w14:val="standardContextual"/>
            </w:rPr>
          </w:pPr>
          <w:hyperlink w:anchor="_Toc145702357" w:history="1">
            <w:r w:rsidRPr="00950800">
              <w:rPr>
                <w:rStyle w:val="Hyperlink"/>
              </w:rPr>
              <w:t>Financial Status Report</w:t>
            </w:r>
            <w:r>
              <w:rPr>
                <w:webHidden/>
              </w:rPr>
              <w:tab/>
            </w:r>
            <w:r>
              <w:rPr>
                <w:webHidden/>
              </w:rPr>
              <w:fldChar w:fldCharType="begin"/>
            </w:r>
            <w:r>
              <w:rPr>
                <w:webHidden/>
              </w:rPr>
              <w:instrText xml:space="preserve"> PAGEREF _Toc145702357 \h </w:instrText>
            </w:r>
            <w:r>
              <w:rPr>
                <w:webHidden/>
              </w:rPr>
            </w:r>
            <w:r>
              <w:rPr>
                <w:webHidden/>
              </w:rPr>
              <w:fldChar w:fldCharType="separate"/>
            </w:r>
            <w:r>
              <w:rPr>
                <w:webHidden/>
              </w:rPr>
              <w:t>8</w:t>
            </w:r>
            <w:r>
              <w:rPr>
                <w:webHidden/>
              </w:rPr>
              <w:fldChar w:fldCharType="end"/>
            </w:r>
          </w:hyperlink>
        </w:p>
        <w:p w14:paraId="163B62F2" w14:textId="1A85B6F3" w:rsidR="003B4EAB" w:rsidRPr="00796256" w:rsidRDefault="003B4EAB">
          <w:pPr>
            <w:pStyle w:val="TOC3"/>
            <w:tabs>
              <w:tab w:val="right" w:leader="dot" w:pos="10456"/>
            </w:tabs>
            <w:rPr>
              <w:rFonts w:eastAsiaTheme="minorEastAsia"/>
              <w:b/>
              <w:bCs/>
              <w:noProof/>
              <w:kern w:val="2"/>
              <w:lang w:val="en-CA" w:eastAsia="en-CA"/>
              <w14:ligatures w14:val="standardContextual"/>
            </w:rPr>
          </w:pPr>
          <w:hyperlink w:anchor="_Toc145702358" w:history="1">
            <w:r w:rsidRPr="00796256">
              <w:rPr>
                <w:rStyle w:val="Hyperlink"/>
                <w:b/>
                <w:bCs/>
                <w:noProof/>
              </w:rPr>
              <w:t>Key Takeaways from FY2022</w:t>
            </w:r>
            <w:r w:rsidRPr="00796256">
              <w:rPr>
                <w:b/>
                <w:bCs/>
                <w:noProof/>
                <w:webHidden/>
              </w:rPr>
              <w:tab/>
            </w:r>
            <w:r w:rsidRPr="00796256">
              <w:rPr>
                <w:b/>
                <w:bCs/>
                <w:noProof/>
                <w:webHidden/>
              </w:rPr>
              <w:fldChar w:fldCharType="begin"/>
            </w:r>
            <w:r w:rsidRPr="00796256">
              <w:rPr>
                <w:b/>
                <w:bCs/>
                <w:noProof/>
                <w:webHidden/>
              </w:rPr>
              <w:instrText xml:space="preserve"> PAGEREF _Toc145702358 \h </w:instrText>
            </w:r>
            <w:r w:rsidRPr="00796256">
              <w:rPr>
                <w:b/>
                <w:bCs/>
                <w:noProof/>
                <w:webHidden/>
              </w:rPr>
            </w:r>
            <w:r w:rsidRPr="00796256">
              <w:rPr>
                <w:b/>
                <w:bCs/>
                <w:noProof/>
                <w:webHidden/>
              </w:rPr>
              <w:fldChar w:fldCharType="separate"/>
            </w:r>
            <w:r w:rsidRPr="00796256">
              <w:rPr>
                <w:b/>
                <w:bCs/>
                <w:noProof/>
                <w:webHidden/>
              </w:rPr>
              <w:t>8</w:t>
            </w:r>
            <w:r w:rsidRPr="00796256">
              <w:rPr>
                <w:b/>
                <w:bCs/>
                <w:noProof/>
                <w:webHidden/>
              </w:rPr>
              <w:fldChar w:fldCharType="end"/>
            </w:r>
          </w:hyperlink>
        </w:p>
        <w:p w14:paraId="7F4F8B51" w14:textId="76BC6C3D" w:rsidR="003B4EAB" w:rsidRPr="00796256" w:rsidRDefault="003B4EAB">
          <w:pPr>
            <w:pStyle w:val="TOC3"/>
            <w:tabs>
              <w:tab w:val="right" w:leader="dot" w:pos="10456"/>
            </w:tabs>
            <w:rPr>
              <w:rFonts w:eastAsiaTheme="minorEastAsia"/>
              <w:b/>
              <w:bCs/>
              <w:noProof/>
              <w:kern w:val="2"/>
              <w:lang w:val="en-CA" w:eastAsia="en-CA"/>
              <w14:ligatures w14:val="standardContextual"/>
            </w:rPr>
          </w:pPr>
          <w:hyperlink w:anchor="_Toc145702359" w:history="1">
            <w:r w:rsidRPr="00796256">
              <w:rPr>
                <w:rStyle w:val="Hyperlink"/>
                <w:b/>
                <w:bCs/>
                <w:noProof/>
              </w:rPr>
              <w:t>Market Attitude (Through Q3 2023)</w:t>
            </w:r>
            <w:r w:rsidRPr="00796256">
              <w:rPr>
                <w:b/>
                <w:bCs/>
                <w:noProof/>
                <w:webHidden/>
              </w:rPr>
              <w:tab/>
            </w:r>
            <w:r w:rsidRPr="00796256">
              <w:rPr>
                <w:b/>
                <w:bCs/>
                <w:noProof/>
                <w:webHidden/>
              </w:rPr>
              <w:fldChar w:fldCharType="begin"/>
            </w:r>
            <w:r w:rsidRPr="00796256">
              <w:rPr>
                <w:b/>
                <w:bCs/>
                <w:noProof/>
                <w:webHidden/>
              </w:rPr>
              <w:instrText xml:space="preserve"> PAGEREF _Toc145702359 \h </w:instrText>
            </w:r>
            <w:r w:rsidRPr="00796256">
              <w:rPr>
                <w:b/>
                <w:bCs/>
                <w:noProof/>
                <w:webHidden/>
              </w:rPr>
            </w:r>
            <w:r w:rsidRPr="00796256">
              <w:rPr>
                <w:b/>
                <w:bCs/>
                <w:noProof/>
                <w:webHidden/>
              </w:rPr>
              <w:fldChar w:fldCharType="separate"/>
            </w:r>
            <w:r w:rsidRPr="00796256">
              <w:rPr>
                <w:b/>
                <w:bCs/>
                <w:noProof/>
                <w:webHidden/>
              </w:rPr>
              <w:t>8</w:t>
            </w:r>
            <w:r w:rsidRPr="00796256">
              <w:rPr>
                <w:b/>
                <w:bCs/>
                <w:noProof/>
                <w:webHidden/>
              </w:rPr>
              <w:fldChar w:fldCharType="end"/>
            </w:r>
          </w:hyperlink>
        </w:p>
        <w:p w14:paraId="29A0A57A" w14:textId="6BF430D9" w:rsidR="003B4EAB" w:rsidRPr="00796256" w:rsidRDefault="003B4EAB">
          <w:pPr>
            <w:pStyle w:val="TOC3"/>
            <w:tabs>
              <w:tab w:val="right" w:leader="dot" w:pos="10456"/>
            </w:tabs>
            <w:rPr>
              <w:rFonts w:eastAsiaTheme="minorEastAsia"/>
              <w:b/>
              <w:bCs/>
              <w:noProof/>
              <w:kern w:val="2"/>
              <w:lang w:val="en-CA" w:eastAsia="en-CA"/>
              <w14:ligatures w14:val="standardContextual"/>
            </w:rPr>
          </w:pPr>
          <w:hyperlink w:anchor="_Toc145702360" w:history="1">
            <w:r w:rsidRPr="00796256">
              <w:rPr>
                <w:rStyle w:val="Hyperlink"/>
                <w:b/>
                <w:bCs/>
                <w:noProof/>
              </w:rPr>
              <w:t>Financial Highlights for the FY22 and FY2021:</w:t>
            </w:r>
            <w:r w:rsidRPr="00796256">
              <w:rPr>
                <w:b/>
                <w:bCs/>
                <w:noProof/>
                <w:webHidden/>
              </w:rPr>
              <w:tab/>
            </w:r>
            <w:r w:rsidRPr="00796256">
              <w:rPr>
                <w:b/>
                <w:bCs/>
                <w:noProof/>
                <w:webHidden/>
              </w:rPr>
              <w:fldChar w:fldCharType="begin"/>
            </w:r>
            <w:r w:rsidRPr="00796256">
              <w:rPr>
                <w:b/>
                <w:bCs/>
                <w:noProof/>
                <w:webHidden/>
              </w:rPr>
              <w:instrText xml:space="preserve"> PAGEREF _Toc145702360 \h </w:instrText>
            </w:r>
            <w:r w:rsidRPr="00796256">
              <w:rPr>
                <w:b/>
                <w:bCs/>
                <w:noProof/>
                <w:webHidden/>
              </w:rPr>
            </w:r>
            <w:r w:rsidRPr="00796256">
              <w:rPr>
                <w:b/>
                <w:bCs/>
                <w:noProof/>
                <w:webHidden/>
              </w:rPr>
              <w:fldChar w:fldCharType="separate"/>
            </w:r>
            <w:r w:rsidRPr="00796256">
              <w:rPr>
                <w:b/>
                <w:bCs/>
                <w:noProof/>
                <w:webHidden/>
              </w:rPr>
              <w:t>9</w:t>
            </w:r>
            <w:r w:rsidRPr="00796256">
              <w:rPr>
                <w:b/>
                <w:bCs/>
                <w:noProof/>
                <w:webHidden/>
              </w:rPr>
              <w:fldChar w:fldCharType="end"/>
            </w:r>
          </w:hyperlink>
        </w:p>
        <w:p w14:paraId="12F90753" w14:textId="39DF633E" w:rsidR="003B4EAB" w:rsidRPr="00796256" w:rsidRDefault="003B4EAB">
          <w:pPr>
            <w:pStyle w:val="TOC3"/>
            <w:tabs>
              <w:tab w:val="right" w:leader="dot" w:pos="10456"/>
            </w:tabs>
            <w:rPr>
              <w:rFonts w:eastAsiaTheme="minorEastAsia"/>
              <w:b/>
              <w:bCs/>
              <w:noProof/>
              <w:kern w:val="2"/>
              <w:lang w:val="en-CA" w:eastAsia="en-CA"/>
              <w14:ligatures w14:val="standardContextual"/>
            </w:rPr>
          </w:pPr>
          <w:hyperlink w:anchor="_Toc145702361" w:history="1">
            <w:r w:rsidRPr="00796256">
              <w:rPr>
                <w:rStyle w:val="Hyperlink"/>
                <w:b/>
                <w:bCs/>
                <w:noProof/>
              </w:rPr>
              <w:t xml:space="preserve">FY2022 Earnings classification: </w:t>
            </w:r>
            <w:r w:rsidRPr="00796256">
              <w:rPr>
                <w:b/>
                <w:bCs/>
                <w:noProof/>
                <w:webHidden/>
              </w:rPr>
              <w:tab/>
            </w:r>
            <w:r w:rsidRPr="00796256">
              <w:rPr>
                <w:b/>
                <w:bCs/>
                <w:noProof/>
                <w:webHidden/>
              </w:rPr>
              <w:fldChar w:fldCharType="begin"/>
            </w:r>
            <w:r w:rsidRPr="00796256">
              <w:rPr>
                <w:b/>
                <w:bCs/>
                <w:noProof/>
                <w:webHidden/>
              </w:rPr>
              <w:instrText xml:space="preserve"> PAGEREF _Toc145702361 \h </w:instrText>
            </w:r>
            <w:r w:rsidRPr="00796256">
              <w:rPr>
                <w:b/>
                <w:bCs/>
                <w:noProof/>
                <w:webHidden/>
              </w:rPr>
            </w:r>
            <w:r w:rsidRPr="00796256">
              <w:rPr>
                <w:b/>
                <w:bCs/>
                <w:noProof/>
                <w:webHidden/>
              </w:rPr>
              <w:fldChar w:fldCharType="separate"/>
            </w:r>
            <w:r w:rsidRPr="00796256">
              <w:rPr>
                <w:b/>
                <w:bCs/>
                <w:noProof/>
                <w:webHidden/>
              </w:rPr>
              <w:t>10</w:t>
            </w:r>
            <w:r w:rsidRPr="00796256">
              <w:rPr>
                <w:b/>
                <w:bCs/>
                <w:noProof/>
                <w:webHidden/>
              </w:rPr>
              <w:fldChar w:fldCharType="end"/>
            </w:r>
          </w:hyperlink>
        </w:p>
        <w:p w14:paraId="769AB1FF" w14:textId="237F080C" w:rsidR="003B4EAB" w:rsidRPr="00796256" w:rsidRDefault="003B4EAB">
          <w:pPr>
            <w:pStyle w:val="TOC3"/>
            <w:tabs>
              <w:tab w:val="right" w:leader="dot" w:pos="10456"/>
            </w:tabs>
            <w:rPr>
              <w:rFonts w:eastAsiaTheme="minorEastAsia"/>
              <w:b/>
              <w:bCs/>
              <w:noProof/>
              <w:kern w:val="2"/>
              <w:lang w:val="en-CA" w:eastAsia="en-CA"/>
              <w14:ligatures w14:val="standardContextual"/>
            </w:rPr>
          </w:pPr>
          <w:hyperlink w:anchor="_Toc145702362" w:history="1">
            <w:r w:rsidRPr="00796256">
              <w:rPr>
                <w:rStyle w:val="Hyperlink"/>
                <w:b/>
                <w:bCs/>
                <w:noProof/>
              </w:rPr>
              <w:t xml:space="preserve">Effective Tax Rate: </w:t>
            </w:r>
            <w:r w:rsidRPr="00796256">
              <w:rPr>
                <w:b/>
                <w:bCs/>
                <w:noProof/>
                <w:webHidden/>
              </w:rPr>
              <w:tab/>
            </w:r>
            <w:r w:rsidRPr="00796256">
              <w:rPr>
                <w:b/>
                <w:bCs/>
                <w:noProof/>
                <w:webHidden/>
              </w:rPr>
              <w:fldChar w:fldCharType="begin"/>
            </w:r>
            <w:r w:rsidRPr="00796256">
              <w:rPr>
                <w:b/>
                <w:bCs/>
                <w:noProof/>
                <w:webHidden/>
              </w:rPr>
              <w:instrText xml:space="preserve"> PAGEREF _Toc145702362 \h </w:instrText>
            </w:r>
            <w:r w:rsidRPr="00796256">
              <w:rPr>
                <w:b/>
                <w:bCs/>
                <w:noProof/>
                <w:webHidden/>
              </w:rPr>
            </w:r>
            <w:r w:rsidRPr="00796256">
              <w:rPr>
                <w:b/>
                <w:bCs/>
                <w:noProof/>
                <w:webHidden/>
              </w:rPr>
              <w:fldChar w:fldCharType="separate"/>
            </w:r>
            <w:r w:rsidRPr="00796256">
              <w:rPr>
                <w:b/>
                <w:bCs/>
                <w:noProof/>
                <w:webHidden/>
              </w:rPr>
              <w:t>10</w:t>
            </w:r>
            <w:r w:rsidRPr="00796256">
              <w:rPr>
                <w:b/>
                <w:bCs/>
                <w:noProof/>
                <w:webHidden/>
              </w:rPr>
              <w:fldChar w:fldCharType="end"/>
            </w:r>
          </w:hyperlink>
        </w:p>
        <w:p w14:paraId="27AB8258" w14:textId="54FF9824" w:rsidR="003B4EAB" w:rsidRPr="00796256" w:rsidRDefault="00E350BB" w:rsidP="00C90A75">
          <w:pPr>
            <w:pStyle w:val="TOC2"/>
            <w:rPr>
              <w:rFonts w:eastAsiaTheme="minorEastAsia"/>
              <w:b/>
              <w:bCs/>
              <w:noProof/>
              <w:kern w:val="2"/>
              <w:lang w:val="en-CA" w:eastAsia="en-CA"/>
              <w14:ligatures w14:val="standardContextual"/>
            </w:rPr>
          </w:pPr>
          <w:r w:rsidRPr="00796256">
            <w:rPr>
              <w:rStyle w:val="Hyperlink"/>
              <w:b/>
              <w:bCs/>
              <w:noProof/>
              <w:u w:val="none"/>
            </w:rPr>
            <w:t xml:space="preserve">    </w:t>
          </w:r>
          <w:r w:rsidR="00712BFE" w:rsidRPr="00796256">
            <w:rPr>
              <w:rStyle w:val="Hyperlink"/>
              <w:b/>
              <w:bCs/>
              <w:noProof/>
              <w:u w:val="none"/>
            </w:rPr>
            <w:t xml:space="preserve">    </w:t>
          </w:r>
          <w:hyperlink w:anchor="_Toc145702363" w:history="1">
            <w:r w:rsidR="003B4EAB" w:rsidRPr="00796256">
              <w:rPr>
                <w:rStyle w:val="Hyperlink"/>
                <w:b/>
                <w:bCs/>
                <w:noProof/>
              </w:rPr>
              <w:t>Financial Performance for International Banking (Adjusted):</w:t>
            </w:r>
            <w:r w:rsidR="003B4EAB" w:rsidRPr="00796256">
              <w:rPr>
                <w:b/>
                <w:bCs/>
                <w:noProof/>
                <w:webHidden/>
              </w:rPr>
              <w:tab/>
            </w:r>
            <w:r w:rsidR="003B4EAB" w:rsidRPr="00796256">
              <w:rPr>
                <w:b/>
                <w:bCs/>
                <w:noProof/>
                <w:webHidden/>
              </w:rPr>
              <w:fldChar w:fldCharType="begin"/>
            </w:r>
            <w:r w:rsidR="003B4EAB" w:rsidRPr="00796256">
              <w:rPr>
                <w:b/>
                <w:bCs/>
                <w:noProof/>
                <w:webHidden/>
              </w:rPr>
              <w:instrText xml:space="preserve"> PAGEREF _Toc145702363 \h </w:instrText>
            </w:r>
            <w:r w:rsidR="003B4EAB" w:rsidRPr="00796256">
              <w:rPr>
                <w:b/>
                <w:bCs/>
                <w:noProof/>
                <w:webHidden/>
              </w:rPr>
            </w:r>
            <w:r w:rsidR="003B4EAB" w:rsidRPr="00796256">
              <w:rPr>
                <w:b/>
                <w:bCs/>
                <w:noProof/>
                <w:webHidden/>
              </w:rPr>
              <w:fldChar w:fldCharType="separate"/>
            </w:r>
            <w:r w:rsidR="003B4EAB" w:rsidRPr="00796256">
              <w:rPr>
                <w:b/>
                <w:bCs/>
                <w:noProof/>
                <w:webHidden/>
              </w:rPr>
              <w:t>11</w:t>
            </w:r>
            <w:r w:rsidR="003B4EAB" w:rsidRPr="00796256">
              <w:rPr>
                <w:b/>
                <w:bCs/>
                <w:noProof/>
                <w:webHidden/>
              </w:rPr>
              <w:fldChar w:fldCharType="end"/>
            </w:r>
          </w:hyperlink>
        </w:p>
        <w:p w14:paraId="79B42370" w14:textId="6EFFB260" w:rsidR="003B4EAB" w:rsidRPr="00796256" w:rsidRDefault="003B4EAB">
          <w:pPr>
            <w:pStyle w:val="TOC3"/>
            <w:tabs>
              <w:tab w:val="right" w:leader="dot" w:pos="10456"/>
            </w:tabs>
            <w:rPr>
              <w:rFonts w:eastAsiaTheme="minorEastAsia"/>
              <w:b/>
              <w:bCs/>
              <w:noProof/>
              <w:kern w:val="2"/>
              <w:lang w:val="en-CA" w:eastAsia="en-CA"/>
              <w14:ligatures w14:val="standardContextual"/>
            </w:rPr>
          </w:pPr>
          <w:hyperlink w:anchor="_Toc145702364" w:history="1">
            <w:r w:rsidRPr="00796256">
              <w:rPr>
                <w:rStyle w:val="Hyperlink"/>
                <w:b/>
                <w:bCs/>
                <w:noProof/>
              </w:rPr>
              <w:t>Analysis of AUA and AUM:</w:t>
            </w:r>
            <w:r w:rsidRPr="00796256">
              <w:rPr>
                <w:b/>
                <w:bCs/>
                <w:noProof/>
                <w:webHidden/>
              </w:rPr>
              <w:tab/>
            </w:r>
            <w:r w:rsidRPr="00796256">
              <w:rPr>
                <w:b/>
                <w:bCs/>
                <w:noProof/>
                <w:webHidden/>
              </w:rPr>
              <w:fldChar w:fldCharType="begin"/>
            </w:r>
            <w:r w:rsidRPr="00796256">
              <w:rPr>
                <w:b/>
                <w:bCs/>
                <w:noProof/>
                <w:webHidden/>
              </w:rPr>
              <w:instrText xml:space="preserve"> PAGEREF _Toc145702364 \h </w:instrText>
            </w:r>
            <w:r w:rsidRPr="00796256">
              <w:rPr>
                <w:b/>
                <w:bCs/>
                <w:noProof/>
                <w:webHidden/>
              </w:rPr>
            </w:r>
            <w:r w:rsidRPr="00796256">
              <w:rPr>
                <w:b/>
                <w:bCs/>
                <w:noProof/>
                <w:webHidden/>
              </w:rPr>
              <w:fldChar w:fldCharType="separate"/>
            </w:r>
            <w:r w:rsidRPr="00796256">
              <w:rPr>
                <w:b/>
                <w:bCs/>
                <w:noProof/>
                <w:webHidden/>
              </w:rPr>
              <w:t>11</w:t>
            </w:r>
            <w:r w:rsidRPr="00796256">
              <w:rPr>
                <w:b/>
                <w:bCs/>
                <w:noProof/>
                <w:webHidden/>
              </w:rPr>
              <w:fldChar w:fldCharType="end"/>
            </w:r>
          </w:hyperlink>
        </w:p>
        <w:p w14:paraId="0EC065BE" w14:textId="71B969CB" w:rsidR="003B4EAB" w:rsidRPr="00796256" w:rsidRDefault="003B4EAB">
          <w:pPr>
            <w:pStyle w:val="TOC3"/>
            <w:tabs>
              <w:tab w:val="right" w:leader="dot" w:pos="10456"/>
            </w:tabs>
            <w:rPr>
              <w:rFonts w:eastAsiaTheme="minorEastAsia"/>
              <w:b/>
              <w:bCs/>
              <w:noProof/>
              <w:kern w:val="2"/>
              <w:lang w:val="en-CA" w:eastAsia="en-CA"/>
              <w14:ligatures w14:val="standardContextual"/>
            </w:rPr>
          </w:pPr>
          <w:hyperlink w:anchor="_Toc145702365" w:history="1">
            <w:r w:rsidRPr="00796256">
              <w:rPr>
                <w:rStyle w:val="Hyperlink"/>
                <w:b/>
                <w:bCs/>
                <w:noProof/>
              </w:rPr>
              <w:t>Expenditure classification:</w:t>
            </w:r>
            <w:r w:rsidRPr="00796256">
              <w:rPr>
                <w:b/>
                <w:bCs/>
                <w:noProof/>
                <w:webHidden/>
              </w:rPr>
              <w:tab/>
            </w:r>
            <w:r w:rsidRPr="00796256">
              <w:rPr>
                <w:b/>
                <w:bCs/>
                <w:noProof/>
                <w:webHidden/>
              </w:rPr>
              <w:fldChar w:fldCharType="begin"/>
            </w:r>
            <w:r w:rsidRPr="00796256">
              <w:rPr>
                <w:b/>
                <w:bCs/>
                <w:noProof/>
                <w:webHidden/>
              </w:rPr>
              <w:instrText xml:space="preserve"> PAGEREF _Toc145702365 \h </w:instrText>
            </w:r>
            <w:r w:rsidRPr="00796256">
              <w:rPr>
                <w:b/>
                <w:bCs/>
                <w:noProof/>
                <w:webHidden/>
              </w:rPr>
            </w:r>
            <w:r w:rsidRPr="00796256">
              <w:rPr>
                <w:b/>
                <w:bCs/>
                <w:noProof/>
                <w:webHidden/>
              </w:rPr>
              <w:fldChar w:fldCharType="separate"/>
            </w:r>
            <w:r w:rsidRPr="00796256">
              <w:rPr>
                <w:b/>
                <w:bCs/>
                <w:noProof/>
                <w:webHidden/>
              </w:rPr>
              <w:t>12</w:t>
            </w:r>
            <w:r w:rsidRPr="00796256">
              <w:rPr>
                <w:b/>
                <w:bCs/>
                <w:noProof/>
                <w:webHidden/>
              </w:rPr>
              <w:fldChar w:fldCharType="end"/>
            </w:r>
          </w:hyperlink>
        </w:p>
        <w:p w14:paraId="060BECCA" w14:textId="6243C349" w:rsidR="003B4EAB" w:rsidRPr="00796256" w:rsidRDefault="003B4EAB" w:rsidP="00E350BB">
          <w:pPr>
            <w:pStyle w:val="TOC1"/>
            <w:rPr>
              <w:rFonts w:eastAsiaTheme="minorEastAsia"/>
              <w:kern w:val="2"/>
              <w:lang w:val="en-CA" w:eastAsia="en-CA"/>
              <w14:ligatures w14:val="standardContextual"/>
            </w:rPr>
          </w:pPr>
          <w:hyperlink w:anchor="_Toc145702366" w:history="1">
            <w:r w:rsidRPr="00796256">
              <w:rPr>
                <w:rStyle w:val="Hyperlink"/>
              </w:rPr>
              <w:t>Organizational Structure and Head Office Structure</w:t>
            </w:r>
            <w:r w:rsidRPr="00796256">
              <w:rPr>
                <w:webHidden/>
              </w:rPr>
              <w:tab/>
            </w:r>
            <w:r w:rsidRPr="00796256">
              <w:rPr>
                <w:webHidden/>
              </w:rPr>
              <w:fldChar w:fldCharType="begin"/>
            </w:r>
            <w:r w:rsidRPr="00796256">
              <w:rPr>
                <w:webHidden/>
              </w:rPr>
              <w:instrText xml:space="preserve"> PAGEREF _Toc145702366 \h </w:instrText>
            </w:r>
            <w:r w:rsidRPr="00796256">
              <w:rPr>
                <w:webHidden/>
              </w:rPr>
            </w:r>
            <w:r w:rsidRPr="00796256">
              <w:rPr>
                <w:webHidden/>
              </w:rPr>
              <w:fldChar w:fldCharType="separate"/>
            </w:r>
            <w:r w:rsidRPr="00796256">
              <w:rPr>
                <w:webHidden/>
              </w:rPr>
              <w:t>13</w:t>
            </w:r>
            <w:r w:rsidRPr="00796256">
              <w:rPr>
                <w:webHidden/>
              </w:rPr>
              <w:fldChar w:fldCharType="end"/>
            </w:r>
          </w:hyperlink>
        </w:p>
        <w:p w14:paraId="1287AECB" w14:textId="0B04F23D" w:rsidR="003B4EAB" w:rsidRPr="00796256" w:rsidRDefault="003B4EAB" w:rsidP="00E350BB">
          <w:pPr>
            <w:pStyle w:val="TOC1"/>
            <w:rPr>
              <w:rFonts w:eastAsiaTheme="minorEastAsia"/>
              <w:kern w:val="2"/>
              <w:lang w:val="en-CA" w:eastAsia="en-CA"/>
              <w14:ligatures w14:val="standardContextual"/>
            </w:rPr>
          </w:pPr>
          <w:hyperlink w:anchor="_Toc145702367" w:history="1">
            <w:r w:rsidRPr="00796256">
              <w:rPr>
                <w:rStyle w:val="Hyperlink"/>
              </w:rPr>
              <w:t>Executive Team</w:t>
            </w:r>
            <w:r w:rsidRPr="00796256">
              <w:rPr>
                <w:webHidden/>
              </w:rPr>
              <w:tab/>
            </w:r>
            <w:r w:rsidRPr="00796256">
              <w:rPr>
                <w:webHidden/>
              </w:rPr>
              <w:fldChar w:fldCharType="begin"/>
            </w:r>
            <w:r w:rsidRPr="00796256">
              <w:rPr>
                <w:webHidden/>
              </w:rPr>
              <w:instrText xml:space="preserve"> PAGEREF _Toc145702367 \h </w:instrText>
            </w:r>
            <w:r w:rsidRPr="00796256">
              <w:rPr>
                <w:webHidden/>
              </w:rPr>
            </w:r>
            <w:r w:rsidRPr="00796256">
              <w:rPr>
                <w:webHidden/>
              </w:rPr>
              <w:fldChar w:fldCharType="separate"/>
            </w:r>
            <w:r w:rsidRPr="00796256">
              <w:rPr>
                <w:webHidden/>
              </w:rPr>
              <w:t>15</w:t>
            </w:r>
            <w:r w:rsidRPr="00796256">
              <w:rPr>
                <w:webHidden/>
              </w:rPr>
              <w:fldChar w:fldCharType="end"/>
            </w:r>
          </w:hyperlink>
        </w:p>
        <w:p w14:paraId="7A495811" w14:textId="2456B871" w:rsidR="003B4EAB" w:rsidRPr="00796256" w:rsidRDefault="003B4EAB" w:rsidP="00E350BB">
          <w:pPr>
            <w:pStyle w:val="TOC1"/>
            <w:rPr>
              <w:rFonts w:eastAsiaTheme="minorEastAsia"/>
              <w:kern w:val="2"/>
              <w:lang w:val="en-CA" w:eastAsia="en-CA"/>
              <w14:ligatures w14:val="standardContextual"/>
            </w:rPr>
          </w:pPr>
          <w:hyperlink w:anchor="_Toc145702368" w:history="1">
            <w:r w:rsidRPr="00796256">
              <w:rPr>
                <w:rStyle w:val="Hyperlink"/>
              </w:rPr>
              <w:t>Overall Corporate and the IT &amp; Operations (IT &amp; Ops) Mission Statement</w:t>
            </w:r>
            <w:r w:rsidRPr="00796256">
              <w:rPr>
                <w:webHidden/>
              </w:rPr>
              <w:tab/>
            </w:r>
            <w:r w:rsidRPr="00796256">
              <w:rPr>
                <w:webHidden/>
              </w:rPr>
              <w:fldChar w:fldCharType="begin"/>
            </w:r>
            <w:r w:rsidRPr="00796256">
              <w:rPr>
                <w:webHidden/>
              </w:rPr>
              <w:instrText xml:space="preserve"> PAGEREF _Toc145702368 \h </w:instrText>
            </w:r>
            <w:r w:rsidRPr="00796256">
              <w:rPr>
                <w:webHidden/>
              </w:rPr>
            </w:r>
            <w:r w:rsidRPr="00796256">
              <w:rPr>
                <w:webHidden/>
              </w:rPr>
              <w:fldChar w:fldCharType="separate"/>
            </w:r>
            <w:r w:rsidRPr="00796256">
              <w:rPr>
                <w:webHidden/>
              </w:rPr>
              <w:t>17</w:t>
            </w:r>
            <w:r w:rsidRPr="00796256">
              <w:rPr>
                <w:webHidden/>
              </w:rPr>
              <w:fldChar w:fldCharType="end"/>
            </w:r>
          </w:hyperlink>
        </w:p>
        <w:p w14:paraId="6AC47876" w14:textId="3AB980BA" w:rsidR="003B4EAB" w:rsidRPr="00796256" w:rsidRDefault="003B4EAB" w:rsidP="00E350BB">
          <w:pPr>
            <w:pStyle w:val="TOC1"/>
            <w:rPr>
              <w:rFonts w:eastAsiaTheme="minorEastAsia"/>
              <w:kern w:val="2"/>
              <w:lang w:val="en-CA" w:eastAsia="en-CA"/>
              <w14:ligatures w14:val="standardContextual"/>
            </w:rPr>
          </w:pPr>
          <w:hyperlink w:anchor="_Toc145702369" w:history="1">
            <w:r w:rsidRPr="00796256">
              <w:rPr>
                <w:rStyle w:val="Hyperlink"/>
              </w:rPr>
              <w:t>Overall Corporate and the IT &amp; Operations Vision</w:t>
            </w:r>
            <w:r w:rsidRPr="00796256">
              <w:rPr>
                <w:webHidden/>
              </w:rPr>
              <w:tab/>
            </w:r>
            <w:r w:rsidRPr="00796256">
              <w:rPr>
                <w:webHidden/>
              </w:rPr>
              <w:fldChar w:fldCharType="begin"/>
            </w:r>
            <w:r w:rsidRPr="00796256">
              <w:rPr>
                <w:webHidden/>
              </w:rPr>
              <w:instrText xml:space="preserve"> PAGEREF _Toc145702369 \h </w:instrText>
            </w:r>
            <w:r w:rsidRPr="00796256">
              <w:rPr>
                <w:webHidden/>
              </w:rPr>
            </w:r>
            <w:r w:rsidRPr="00796256">
              <w:rPr>
                <w:webHidden/>
              </w:rPr>
              <w:fldChar w:fldCharType="separate"/>
            </w:r>
            <w:r w:rsidRPr="00796256">
              <w:rPr>
                <w:webHidden/>
              </w:rPr>
              <w:t>17</w:t>
            </w:r>
            <w:r w:rsidRPr="00796256">
              <w:rPr>
                <w:webHidden/>
              </w:rPr>
              <w:fldChar w:fldCharType="end"/>
            </w:r>
          </w:hyperlink>
        </w:p>
        <w:p w14:paraId="0E4E437A" w14:textId="52E21891" w:rsidR="003B4EAB" w:rsidRPr="00796256" w:rsidRDefault="003B4EAB" w:rsidP="00E350BB">
          <w:pPr>
            <w:pStyle w:val="TOC1"/>
            <w:rPr>
              <w:rFonts w:eastAsiaTheme="minorEastAsia"/>
              <w:kern w:val="2"/>
              <w:lang w:val="en-CA" w:eastAsia="en-CA"/>
              <w14:ligatures w14:val="standardContextual"/>
            </w:rPr>
          </w:pPr>
          <w:hyperlink w:anchor="_Toc145702370" w:history="1">
            <w:r w:rsidRPr="00796256">
              <w:rPr>
                <w:rStyle w:val="Hyperlink"/>
              </w:rPr>
              <w:t>Major Strategic Initiatives</w:t>
            </w:r>
            <w:r w:rsidRPr="00796256">
              <w:rPr>
                <w:webHidden/>
              </w:rPr>
              <w:tab/>
            </w:r>
            <w:r w:rsidRPr="00796256">
              <w:rPr>
                <w:webHidden/>
              </w:rPr>
              <w:fldChar w:fldCharType="begin"/>
            </w:r>
            <w:r w:rsidRPr="00796256">
              <w:rPr>
                <w:webHidden/>
              </w:rPr>
              <w:instrText xml:space="preserve"> PAGEREF _Toc145702370 \h </w:instrText>
            </w:r>
            <w:r w:rsidRPr="00796256">
              <w:rPr>
                <w:webHidden/>
              </w:rPr>
            </w:r>
            <w:r w:rsidRPr="00796256">
              <w:rPr>
                <w:webHidden/>
              </w:rPr>
              <w:fldChar w:fldCharType="separate"/>
            </w:r>
            <w:r w:rsidRPr="00796256">
              <w:rPr>
                <w:webHidden/>
              </w:rPr>
              <w:t>17</w:t>
            </w:r>
            <w:r w:rsidRPr="00796256">
              <w:rPr>
                <w:webHidden/>
              </w:rPr>
              <w:fldChar w:fldCharType="end"/>
            </w:r>
          </w:hyperlink>
        </w:p>
        <w:p w14:paraId="6B7F557E" w14:textId="0F8C6728" w:rsidR="003B4EAB" w:rsidRPr="00796256" w:rsidRDefault="003B4EAB" w:rsidP="00E350BB">
          <w:pPr>
            <w:pStyle w:val="TOC1"/>
            <w:rPr>
              <w:rFonts w:eastAsiaTheme="minorEastAsia"/>
              <w:kern w:val="2"/>
              <w:lang w:val="en-CA" w:eastAsia="en-CA"/>
              <w14:ligatures w14:val="standardContextual"/>
            </w:rPr>
          </w:pPr>
          <w:hyperlink w:anchor="_Toc145702371" w:history="1">
            <w:r w:rsidRPr="00796256">
              <w:rPr>
                <w:rStyle w:val="Hyperlink"/>
              </w:rPr>
              <w:t>Competitive Analysis</w:t>
            </w:r>
            <w:r w:rsidRPr="00796256">
              <w:rPr>
                <w:webHidden/>
              </w:rPr>
              <w:tab/>
            </w:r>
            <w:r w:rsidRPr="00796256">
              <w:rPr>
                <w:webHidden/>
              </w:rPr>
              <w:fldChar w:fldCharType="begin"/>
            </w:r>
            <w:r w:rsidRPr="00796256">
              <w:rPr>
                <w:webHidden/>
              </w:rPr>
              <w:instrText xml:space="preserve"> PAGEREF _Toc145702371 \h </w:instrText>
            </w:r>
            <w:r w:rsidRPr="00796256">
              <w:rPr>
                <w:webHidden/>
              </w:rPr>
            </w:r>
            <w:r w:rsidRPr="00796256">
              <w:rPr>
                <w:webHidden/>
              </w:rPr>
              <w:fldChar w:fldCharType="separate"/>
            </w:r>
            <w:r w:rsidRPr="00796256">
              <w:rPr>
                <w:webHidden/>
              </w:rPr>
              <w:t>20</w:t>
            </w:r>
            <w:r w:rsidRPr="00796256">
              <w:rPr>
                <w:webHidden/>
              </w:rPr>
              <w:fldChar w:fldCharType="end"/>
            </w:r>
          </w:hyperlink>
        </w:p>
        <w:p w14:paraId="0EFFA921" w14:textId="1FBAE962" w:rsidR="003B4EAB" w:rsidRPr="00796256" w:rsidRDefault="003B4EAB" w:rsidP="00C90A75">
          <w:pPr>
            <w:pStyle w:val="TOC2"/>
            <w:rPr>
              <w:rFonts w:eastAsiaTheme="minorEastAsia"/>
              <w:b/>
              <w:bCs/>
              <w:noProof/>
              <w:kern w:val="2"/>
              <w:lang w:val="en-CA" w:eastAsia="en-CA"/>
              <w14:ligatures w14:val="standardContextual"/>
            </w:rPr>
          </w:pPr>
          <w:hyperlink w:anchor="_Toc145702372" w:history="1">
            <w:r w:rsidRPr="00796256">
              <w:rPr>
                <w:rStyle w:val="Hyperlink"/>
                <w:b/>
                <w:bCs/>
                <w:noProof/>
              </w:rPr>
              <w:t>SWOT Analysis of Scotiabank, TD, CIBC &amp; BMO</w:t>
            </w:r>
            <w:r w:rsidRPr="00796256">
              <w:rPr>
                <w:b/>
                <w:bCs/>
                <w:noProof/>
                <w:webHidden/>
              </w:rPr>
              <w:tab/>
            </w:r>
            <w:r w:rsidRPr="00796256">
              <w:rPr>
                <w:b/>
                <w:bCs/>
                <w:noProof/>
                <w:webHidden/>
              </w:rPr>
              <w:fldChar w:fldCharType="begin"/>
            </w:r>
            <w:r w:rsidRPr="00796256">
              <w:rPr>
                <w:b/>
                <w:bCs/>
                <w:noProof/>
                <w:webHidden/>
              </w:rPr>
              <w:instrText xml:space="preserve"> PAGEREF _Toc145702372 \h </w:instrText>
            </w:r>
            <w:r w:rsidRPr="00796256">
              <w:rPr>
                <w:b/>
                <w:bCs/>
                <w:noProof/>
                <w:webHidden/>
              </w:rPr>
            </w:r>
            <w:r w:rsidRPr="00796256">
              <w:rPr>
                <w:b/>
                <w:bCs/>
                <w:noProof/>
                <w:webHidden/>
              </w:rPr>
              <w:fldChar w:fldCharType="separate"/>
            </w:r>
            <w:r w:rsidRPr="00796256">
              <w:rPr>
                <w:b/>
                <w:bCs/>
                <w:noProof/>
                <w:webHidden/>
              </w:rPr>
              <w:t>20</w:t>
            </w:r>
            <w:r w:rsidRPr="00796256">
              <w:rPr>
                <w:b/>
                <w:bCs/>
                <w:noProof/>
                <w:webHidden/>
              </w:rPr>
              <w:fldChar w:fldCharType="end"/>
            </w:r>
          </w:hyperlink>
        </w:p>
        <w:p w14:paraId="01080F43" w14:textId="030B491E" w:rsidR="003B4EAB" w:rsidRPr="00796256" w:rsidRDefault="003B4EAB" w:rsidP="00E350BB">
          <w:pPr>
            <w:pStyle w:val="TOC1"/>
            <w:rPr>
              <w:rFonts w:eastAsiaTheme="minorEastAsia"/>
              <w:kern w:val="2"/>
              <w:lang w:val="en-CA" w:eastAsia="en-CA"/>
              <w14:ligatures w14:val="standardContextual"/>
            </w:rPr>
          </w:pPr>
          <w:hyperlink w:anchor="_Toc145702373" w:history="1">
            <w:r w:rsidRPr="00796256">
              <w:rPr>
                <w:rStyle w:val="Hyperlink"/>
              </w:rPr>
              <w:t>PESTEL Analysis of Scotiabank and the banking sector in Canada:</w:t>
            </w:r>
            <w:r w:rsidRPr="00796256">
              <w:rPr>
                <w:webHidden/>
              </w:rPr>
              <w:tab/>
            </w:r>
            <w:r w:rsidRPr="00796256">
              <w:rPr>
                <w:webHidden/>
              </w:rPr>
              <w:fldChar w:fldCharType="begin"/>
            </w:r>
            <w:r w:rsidRPr="00796256">
              <w:rPr>
                <w:webHidden/>
              </w:rPr>
              <w:instrText xml:space="preserve"> PAGEREF _Toc145702373 \h </w:instrText>
            </w:r>
            <w:r w:rsidRPr="00796256">
              <w:rPr>
                <w:webHidden/>
              </w:rPr>
            </w:r>
            <w:r w:rsidRPr="00796256">
              <w:rPr>
                <w:webHidden/>
              </w:rPr>
              <w:fldChar w:fldCharType="separate"/>
            </w:r>
            <w:r w:rsidRPr="00796256">
              <w:rPr>
                <w:webHidden/>
              </w:rPr>
              <w:t>23</w:t>
            </w:r>
            <w:r w:rsidRPr="00796256">
              <w:rPr>
                <w:webHidden/>
              </w:rPr>
              <w:fldChar w:fldCharType="end"/>
            </w:r>
          </w:hyperlink>
        </w:p>
        <w:p w14:paraId="2D3E40A0" w14:textId="58BCBBDE" w:rsidR="003B4EAB" w:rsidRPr="00796256" w:rsidRDefault="003B4EAB" w:rsidP="00E350BB">
          <w:pPr>
            <w:pStyle w:val="TOC1"/>
            <w:rPr>
              <w:rFonts w:eastAsiaTheme="minorEastAsia"/>
              <w:kern w:val="2"/>
              <w:lang w:val="en-CA" w:eastAsia="en-CA"/>
              <w14:ligatures w14:val="standardContextual"/>
            </w:rPr>
          </w:pPr>
          <w:hyperlink w:anchor="_Toc145702374" w:history="1">
            <w:r w:rsidRPr="00796256">
              <w:rPr>
                <w:rStyle w:val="Hyperlink"/>
              </w:rPr>
              <w:t>BALANCED SCORECARD for Scotiabank, TD, CIBC &amp; BMO</w:t>
            </w:r>
            <w:r w:rsidRPr="00796256">
              <w:rPr>
                <w:webHidden/>
              </w:rPr>
              <w:tab/>
            </w:r>
            <w:r w:rsidRPr="00796256">
              <w:rPr>
                <w:webHidden/>
              </w:rPr>
              <w:fldChar w:fldCharType="begin"/>
            </w:r>
            <w:r w:rsidRPr="00796256">
              <w:rPr>
                <w:webHidden/>
              </w:rPr>
              <w:instrText xml:space="preserve"> PAGEREF _Toc145702374 \h </w:instrText>
            </w:r>
            <w:r w:rsidRPr="00796256">
              <w:rPr>
                <w:webHidden/>
              </w:rPr>
            </w:r>
            <w:r w:rsidRPr="00796256">
              <w:rPr>
                <w:webHidden/>
              </w:rPr>
              <w:fldChar w:fldCharType="separate"/>
            </w:r>
            <w:r w:rsidRPr="00796256">
              <w:rPr>
                <w:webHidden/>
              </w:rPr>
              <w:t>25</w:t>
            </w:r>
            <w:r w:rsidRPr="00796256">
              <w:rPr>
                <w:webHidden/>
              </w:rPr>
              <w:fldChar w:fldCharType="end"/>
            </w:r>
          </w:hyperlink>
        </w:p>
        <w:p w14:paraId="48421850" w14:textId="1488AF45" w:rsidR="003B4EAB" w:rsidRPr="00796256" w:rsidRDefault="003B4EAB" w:rsidP="00E350BB">
          <w:pPr>
            <w:pStyle w:val="TOC1"/>
            <w:rPr>
              <w:rFonts w:eastAsiaTheme="minorEastAsia"/>
              <w:kern w:val="2"/>
              <w:lang w:val="en-CA" w:eastAsia="en-CA"/>
              <w14:ligatures w14:val="standardContextual"/>
            </w:rPr>
          </w:pPr>
          <w:hyperlink w:anchor="_Toc145702375" w:history="1">
            <w:r w:rsidRPr="00796256">
              <w:rPr>
                <w:rStyle w:val="Hyperlink"/>
              </w:rPr>
              <w:t>Conclusion</w:t>
            </w:r>
            <w:r w:rsidRPr="00796256">
              <w:rPr>
                <w:webHidden/>
              </w:rPr>
              <w:tab/>
            </w:r>
            <w:r w:rsidRPr="00796256">
              <w:rPr>
                <w:webHidden/>
              </w:rPr>
              <w:fldChar w:fldCharType="begin"/>
            </w:r>
            <w:r w:rsidRPr="00796256">
              <w:rPr>
                <w:webHidden/>
              </w:rPr>
              <w:instrText xml:space="preserve"> PAGEREF _Toc145702375 \h </w:instrText>
            </w:r>
            <w:r w:rsidRPr="00796256">
              <w:rPr>
                <w:webHidden/>
              </w:rPr>
            </w:r>
            <w:r w:rsidRPr="00796256">
              <w:rPr>
                <w:webHidden/>
              </w:rPr>
              <w:fldChar w:fldCharType="separate"/>
            </w:r>
            <w:r w:rsidRPr="00796256">
              <w:rPr>
                <w:webHidden/>
              </w:rPr>
              <w:t>28</w:t>
            </w:r>
            <w:r w:rsidRPr="00796256">
              <w:rPr>
                <w:webHidden/>
              </w:rPr>
              <w:fldChar w:fldCharType="end"/>
            </w:r>
          </w:hyperlink>
        </w:p>
        <w:p w14:paraId="2AAB8068" w14:textId="7F65B421" w:rsidR="003B4EAB" w:rsidRPr="00796256" w:rsidRDefault="003B4EAB" w:rsidP="00E350BB">
          <w:pPr>
            <w:pStyle w:val="TOC1"/>
            <w:rPr>
              <w:rFonts w:eastAsiaTheme="minorEastAsia"/>
              <w:kern w:val="2"/>
              <w:lang w:val="en-CA" w:eastAsia="en-CA"/>
              <w14:ligatures w14:val="standardContextual"/>
            </w:rPr>
          </w:pPr>
          <w:hyperlink w:anchor="_Toc145702376" w:history="1">
            <w:r w:rsidRPr="00796256">
              <w:rPr>
                <w:rStyle w:val="Hyperlink"/>
              </w:rPr>
              <w:t>Call to Action</w:t>
            </w:r>
            <w:r w:rsidRPr="00796256">
              <w:rPr>
                <w:webHidden/>
              </w:rPr>
              <w:tab/>
            </w:r>
            <w:r w:rsidRPr="00796256">
              <w:rPr>
                <w:webHidden/>
              </w:rPr>
              <w:fldChar w:fldCharType="begin"/>
            </w:r>
            <w:r w:rsidRPr="00796256">
              <w:rPr>
                <w:webHidden/>
              </w:rPr>
              <w:instrText xml:space="preserve"> PAGEREF _Toc145702376 \h </w:instrText>
            </w:r>
            <w:r w:rsidRPr="00796256">
              <w:rPr>
                <w:webHidden/>
              </w:rPr>
            </w:r>
            <w:r w:rsidRPr="00796256">
              <w:rPr>
                <w:webHidden/>
              </w:rPr>
              <w:fldChar w:fldCharType="separate"/>
            </w:r>
            <w:r w:rsidRPr="00796256">
              <w:rPr>
                <w:webHidden/>
              </w:rPr>
              <w:t>28</w:t>
            </w:r>
            <w:r w:rsidRPr="00796256">
              <w:rPr>
                <w:webHidden/>
              </w:rPr>
              <w:fldChar w:fldCharType="end"/>
            </w:r>
          </w:hyperlink>
        </w:p>
        <w:p w14:paraId="1069CE95" w14:textId="655C89C3" w:rsidR="003B4EAB" w:rsidRPr="00796256" w:rsidRDefault="003B4EAB" w:rsidP="00E350BB">
          <w:pPr>
            <w:pStyle w:val="TOC1"/>
            <w:rPr>
              <w:rFonts w:eastAsiaTheme="minorEastAsia"/>
              <w:kern w:val="2"/>
              <w:lang w:val="en-CA" w:eastAsia="en-CA"/>
              <w14:ligatures w14:val="standardContextual"/>
            </w:rPr>
          </w:pPr>
          <w:hyperlink w:anchor="_Toc145702377" w:history="1">
            <w:r w:rsidRPr="00796256">
              <w:rPr>
                <w:rStyle w:val="Hyperlink"/>
              </w:rPr>
              <w:t>References</w:t>
            </w:r>
            <w:r w:rsidRPr="00796256">
              <w:rPr>
                <w:webHidden/>
              </w:rPr>
              <w:tab/>
            </w:r>
            <w:r w:rsidRPr="00796256">
              <w:rPr>
                <w:webHidden/>
              </w:rPr>
              <w:fldChar w:fldCharType="begin"/>
            </w:r>
            <w:r w:rsidRPr="00796256">
              <w:rPr>
                <w:webHidden/>
              </w:rPr>
              <w:instrText xml:space="preserve"> PAGEREF _Toc145702377 \h </w:instrText>
            </w:r>
            <w:r w:rsidRPr="00796256">
              <w:rPr>
                <w:webHidden/>
              </w:rPr>
            </w:r>
            <w:r w:rsidRPr="00796256">
              <w:rPr>
                <w:webHidden/>
              </w:rPr>
              <w:fldChar w:fldCharType="separate"/>
            </w:r>
            <w:r w:rsidRPr="00796256">
              <w:rPr>
                <w:webHidden/>
              </w:rPr>
              <w:t>29</w:t>
            </w:r>
            <w:r w:rsidRPr="00796256">
              <w:rPr>
                <w:webHidden/>
              </w:rPr>
              <w:fldChar w:fldCharType="end"/>
            </w:r>
          </w:hyperlink>
        </w:p>
        <w:p w14:paraId="6EE01564" w14:textId="4626D177" w:rsidR="004730B6" w:rsidRDefault="004730B6">
          <w:r>
            <w:rPr>
              <w:b/>
              <w:bCs/>
              <w:noProof/>
            </w:rPr>
            <w:fldChar w:fldCharType="end"/>
          </w:r>
        </w:p>
      </w:sdtContent>
    </w:sdt>
    <w:p w14:paraId="1E13AA9A" w14:textId="77777777" w:rsidR="004730B6" w:rsidRDefault="004730B6" w:rsidP="00D111FD">
      <w:pPr>
        <w:shd w:val="clear" w:color="auto" w:fill="FFFFFF" w:themeFill="background1"/>
        <w:ind w:left="360"/>
        <w:rPr>
          <w:rFonts w:cstheme="minorHAnsi"/>
          <w:b/>
          <w:bCs/>
          <w:color w:val="000000" w:themeColor="text1"/>
          <w:sz w:val="32"/>
          <w:szCs w:val="32"/>
          <w:lang w:val="en-US"/>
        </w:rPr>
      </w:pPr>
    </w:p>
    <w:p w14:paraId="43A36BD7" w14:textId="77777777" w:rsidR="004730B6" w:rsidRDefault="004730B6" w:rsidP="00D111FD">
      <w:pPr>
        <w:shd w:val="clear" w:color="auto" w:fill="FFFFFF" w:themeFill="background1"/>
        <w:ind w:left="360"/>
        <w:rPr>
          <w:rFonts w:cstheme="minorHAnsi"/>
          <w:b/>
          <w:bCs/>
          <w:color w:val="000000" w:themeColor="text1"/>
          <w:sz w:val="32"/>
          <w:szCs w:val="32"/>
          <w:lang w:val="en-US"/>
        </w:rPr>
      </w:pPr>
    </w:p>
    <w:p w14:paraId="3FFFD59F" w14:textId="77777777" w:rsidR="004730B6" w:rsidRDefault="004730B6" w:rsidP="00D111FD">
      <w:pPr>
        <w:shd w:val="clear" w:color="auto" w:fill="FFFFFF" w:themeFill="background1"/>
        <w:ind w:left="360"/>
        <w:rPr>
          <w:rFonts w:cstheme="minorHAnsi"/>
          <w:b/>
          <w:bCs/>
          <w:color w:val="000000" w:themeColor="text1"/>
          <w:sz w:val="32"/>
          <w:szCs w:val="32"/>
          <w:lang w:val="en-US"/>
        </w:rPr>
      </w:pPr>
    </w:p>
    <w:p w14:paraId="760FE6EC" w14:textId="77777777" w:rsidR="004730B6" w:rsidRDefault="004730B6" w:rsidP="00D111FD">
      <w:pPr>
        <w:shd w:val="clear" w:color="auto" w:fill="FFFFFF" w:themeFill="background1"/>
        <w:ind w:left="360"/>
        <w:rPr>
          <w:rFonts w:cstheme="minorHAnsi"/>
          <w:b/>
          <w:bCs/>
          <w:color w:val="000000" w:themeColor="text1"/>
          <w:sz w:val="32"/>
          <w:szCs w:val="32"/>
          <w:lang w:val="en-US"/>
        </w:rPr>
      </w:pPr>
    </w:p>
    <w:p w14:paraId="068F12C2" w14:textId="6DF7F351" w:rsidR="00E474B5" w:rsidRPr="0094756A" w:rsidRDefault="006A75D3" w:rsidP="00477228">
      <w:pPr>
        <w:pStyle w:val="Heading1"/>
        <w:ind w:left="1440"/>
        <w:rPr>
          <w:b/>
          <w:bCs/>
        </w:rPr>
      </w:pPr>
      <w:bookmarkStart w:id="1" w:name="RACI"/>
      <w:bookmarkStart w:id="2" w:name="_Toc145702352"/>
      <w:r w:rsidRPr="0094756A">
        <w:rPr>
          <w:b/>
          <w:bCs/>
        </w:rPr>
        <w:lastRenderedPageBreak/>
        <w:t xml:space="preserve">RACI </w:t>
      </w:r>
      <w:bookmarkEnd w:id="1"/>
      <w:r w:rsidRPr="0094756A">
        <w:rPr>
          <w:b/>
          <w:bCs/>
        </w:rPr>
        <w:t>Matrix for the Initial Phase (before the first deliverable)</w:t>
      </w:r>
      <w:bookmarkEnd w:id="2"/>
    </w:p>
    <w:p w14:paraId="0F42D60C" w14:textId="77777777" w:rsidR="00D7316F" w:rsidRPr="00D7316F" w:rsidRDefault="00D7316F" w:rsidP="00D7316F">
      <w:pPr>
        <w:rPr>
          <w:lang w:val="en-US"/>
        </w:rPr>
      </w:pPr>
    </w:p>
    <w:p w14:paraId="53F0961A" w14:textId="06F96D32" w:rsidR="006A75D3" w:rsidRPr="006A75D3" w:rsidRDefault="007F183D" w:rsidP="00D111FD">
      <w:pPr>
        <w:shd w:val="clear" w:color="auto" w:fill="FFFFFF" w:themeFill="background1"/>
        <w:ind w:left="360"/>
        <w:rPr>
          <w:rFonts w:cstheme="minorHAnsi"/>
          <w:b/>
          <w:bCs/>
          <w:color w:val="000000" w:themeColor="text1"/>
          <w:lang w:val="en-US"/>
        </w:rPr>
      </w:pPr>
      <w:r w:rsidRPr="007F183D">
        <w:rPr>
          <w:rFonts w:cstheme="minorHAnsi"/>
          <w:b/>
          <w:bCs/>
          <w:noProof/>
          <w:color w:val="000000" w:themeColor="text1"/>
          <w:lang w:val="en-US"/>
        </w:rPr>
        <w:drawing>
          <wp:inline distT="0" distB="0" distL="0" distR="0" wp14:anchorId="29DEDC53" wp14:editId="64000E0D">
            <wp:extent cx="6353810" cy="2574925"/>
            <wp:effectExtent l="0" t="0" r="8890" b="0"/>
            <wp:docPr id="1860150969" name="Picture 1" descr="A table with multiple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50969" name="Picture 1" descr="A table with multiple names&#10;&#10;Description automatically generated with medium confidence"/>
                    <pic:cNvPicPr/>
                  </pic:nvPicPr>
                  <pic:blipFill>
                    <a:blip r:embed="rId10"/>
                    <a:stretch>
                      <a:fillRect/>
                    </a:stretch>
                  </pic:blipFill>
                  <pic:spPr>
                    <a:xfrm>
                      <a:off x="0" y="0"/>
                      <a:ext cx="6358286" cy="2576739"/>
                    </a:xfrm>
                    <a:prstGeom prst="rect">
                      <a:avLst/>
                    </a:prstGeom>
                  </pic:spPr>
                </pic:pic>
              </a:graphicData>
            </a:graphic>
          </wp:inline>
        </w:drawing>
      </w:r>
    </w:p>
    <w:p w14:paraId="70A30196" w14:textId="77777777" w:rsidR="00D111FD" w:rsidRDefault="00D111FD" w:rsidP="00D7316F">
      <w:pPr>
        <w:pStyle w:val="Heading1"/>
      </w:pPr>
    </w:p>
    <w:p w14:paraId="1F609BC3" w14:textId="77777777" w:rsidR="00CB0DE3" w:rsidRPr="0094756A" w:rsidRDefault="00CB0DE3" w:rsidP="0094756A">
      <w:pPr>
        <w:pStyle w:val="Heading1"/>
        <w:jc w:val="center"/>
        <w:rPr>
          <w:b/>
          <w:bCs/>
        </w:rPr>
      </w:pPr>
      <w:bookmarkStart w:id="3" w:name="TeamRole"/>
      <w:bookmarkStart w:id="4" w:name="_Toc145702353"/>
      <w:r w:rsidRPr="0094756A">
        <w:rPr>
          <w:b/>
          <w:bCs/>
        </w:rPr>
        <w:t xml:space="preserve">Team Roles </w:t>
      </w:r>
      <w:bookmarkEnd w:id="3"/>
      <w:r w:rsidRPr="0094756A">
        <w:rPr>
          <w:b/>
          <w:bCs/>
        </w:rPr>
        <w:t>and Responsibilities</w:t>
      </w:r>
      <w:bookmarkEnd w:id="4"/>
    </w:p>
    <w:p w14:paraId="30375EB0" w14:textId="77777777" w:rsidR="00D7316F" w:rsidRPr="00D7316F" w:rsidRDefault="00D7316F" w:rsidP="00D7316F">
      <w:pPr>
        <w:rPr>
          <w:lang w:val="en-US"/>
        </w:rPr>
      </w:pPr>
    </w:p>
    <w:tbl>
      <w:tblPr>
        <w:tblStyle w:val="GridTable4-Accent1"/>
        <w:tblW w:w="0" w:type="auto"/>
        <w:tblLook w:val="04A0" w:firstRow="1" w:lastRow="0" w:firstColumn="1" w:lastColumn="0" w:noHBand="0" w:noVBand="1"/>
      </w:tblPr>
      <w:tblGrid>
        <w:gridCol w:w="3116"/>
        <w:gridCol w:w="1829"/>
        <w:gridCol w:w="4405"/>
      </w:tblGrid>
      <w:tr w:rsidR="00AA3A5E" w14:paraId="327C1D06" w14:textId="77777777" w:rsidTr="00D73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873055" w14:textId="77777777" w:rsidR="00AA3A5E" w:rsidRPr="00670FEA" w:rsidRDefault="00AA3A5E" w:rsidP="00AF1377">
            <w:pPr>
              <w:rPr>
                <w:b w:val="0"/>
                <w:bCs w:val="0"/>
              </w:rPr>
            </w:pPr>
            <w:r w:rsidRPr="00670FEA">
              <w:t>Team Member Name</w:t>
            </w:r>
          </w:p>
        </w:tc>
        <w:tc>
          <w:tcPr>
            <w:tcW w:w="1829" w:type="dxa"/>
          </w:tcPr>
          <w:p w14:paraId="525624EA" w14:textId="77777777" w:rsidR="00AA3A5E" w:rsidRPr="00670FEA" w:rsidRDefault="00AA3A5E" w:rsidP="00AF1377">
            <w:pPr>
              <w:cnfStyle w:val="100000000000" w:firstRow="1" w:lastRow="0" w:firstColumn="0" w:lastColumn="0" w:oddVBand="0" w:evenVBand="0" w:oddHBand="0" w:evenHBand="0" w:firstRowFirstColumn="0" w:firstRowLastColumn="0" w:lastRowFirstColumn="0" w:lastRowLastColumn="0"/>
              <w:rPr>
                <w:b w:val="0"/>
                <w:bCs w:val="0"/>
              </w:rPr>
            </w:pPr>
            <w:r w:rsidRPr="00670FEA">
              <w:t>Role</w:t>
            </w:r>
          </w:p>
        </w:tc>
        <w:tc>
          <w:tcPr>
            <w:tcW w:w="4405" w:type="dxa"/>
          </w:tcPr>
          <w:p w14:paraId="4DD2FE8C" w14:textId="77777777" w:rsidR="00AA3A5E" w:rsidRPr="00670FEA" w:rsidRDefault="00AA3A5E" w:rsidP="00AF1377">
            <w:pPr>
              <w:cnfStyle w:val="100000000000" w:firstRow="1" w:lastRow="0" w:firstColumn="0" w:lastColumn="0" w:oddVBand="0" w:evenVBand="0" w:oddHBand="0" w:evenHBand="0" w:firstRowFirstColumn="0" w:firstRowLastColumn="0" w:lastRowFirstColumn="0" w:lastRowLastColumn="0"/>
              <w:rPr>
                <w:b w:val="0"/>
                <w:bCs w:val="0"/>
              </w:rPr>
            </w:pPr>
            <w:r w:rsidRPr="00670FEA">
              <w:t>Responsibilit</w:t>
            </w:r>
            <w:r>
              <w:t>ies</w:t>
            </w:r>
          </w:p>
        </w:tc>
      </w:tr>
      <w:tr w:rsidR="00AA3A5E" w:rsidRPr="002F7EA9" w14:paraId="0BBE3447" w14:textId="77777777" w:rsidTr="00D7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232B0" w14:textId="77777777" w:rsidR="00AA3A5E" w:rsidRPr="002F7EA9" w:rsidRDefault="00AA3A5E" w:rsidP="00AF1377">
            <w:pPr>
              <w:rPr>
                <w:sz w:val="24"/>
                <w:szCs w:val="24"/>
              </w:rPr>
            </w:pPr>
            <w:r w:rsidRPr="002F7EA9">
              <w:rPr>
                <w:sz w:val="24"/>
                <w:szCs w:val="24"/>
              </w:rPr>
              <w:t>Amaan Ishtiyaque Shaikh</w:t>
            </w:r>
          </w:p>
        </w:tc>
        <w:tc>
          <w:tcPr>
            <w:tcW w:w="1829" w:type="dxa"/>
          </w:tcPr>
          <w:p w14:paraId="5E0F7D07" w14:textId="77777777" w:rsidR="00AA3A5E" w:rsidRPr="002F7EA9" w:rsidRDefault="00AA3A5E" w:rsidP="00AF1377">
            <w:pPr>
              <w:cnfStyle w:val="000000100000" w:firstRow="0" w:lastRow="0" w:firstColumn="0" w:lastColumn="0" w:oddVBand="0" w:evenVBand="0" w:oddHBand="1" w:evenHBand="0" w:firstRowFirstColumn="0" w:firstRowLastColumn="0" w:lastRowFirstColumn="0" w:lastRowLastColumn="0"/>
              <w:rPr>
                <w:sz w:val="24"/>
                <w:szCs w:val="24"/>
              </w:rPr>
            </w:pPr>
            <w:r w:rsidRPr="002F7EA9">
              <w:rPr>
                <w:sz w:val="24"/>
                <w:szCs w:val="24"/>
              </w:rPr>
              <w:t>Project Manager</w:t>
            </w:r>
          </w:p>
        </w:tc>
        <w:tc>
          <w:tcPr>
            <w:tcW w:w="4405" w:type="dxa"/>
          </w:tcPr>
          <w:p w14:paraId="133C4F63" w14:textId="77777777" w:rsidR="00AA3A5E" w:rsidRPr="002F7EA9" w:rsidRDefault="00AA3A5E" w:rsidP="00AF1377">
            <w:pPr>
              <w:jc w:val="both"/>
              <w:cnfStyle w:val="000000100000" w:firstRow="0" w:lastRow="0" w:firstColumn="0" w:lastColumn="0" w:oddVBand="0" w:evenVBand="0" w:oddHBand="1" w:evenHBand="0" w:firstRowFirstColumn="0" w:firstRowLastColumn="0" w:lastRowFirstColumn="0" w:lastRowLastColumn="0"/>
              <w:rPr>
                <w:sz w:val="24"/>
                <w:szCs w:val="24"/>
              </w:rPr>
            </w:pPr>
            <w:r w:rsidRPr="002F7EA9">
              <w:rPr>
                <w:sz w:val="24"/>
                <w:szCs w:val="24"/>
              </w:rPr>
              <w:t>Supervising the project, ensuring completion of work by team members, resource allocation, and making decisions on project direction.</w:t>
            </w:r>
          </w:p>
        </w:tc>
      </w:tr>
      <w:tr w:rsidR="00AA3A5E" w:rsidRPr="002F7EA9" w14:paraId="4D196ABB" w14:textId="77777777" w:rsidTr="00D7316F">
        <w:tc>
          <w:tcPr>
            <w:cnfStyle w:val="001000000000" w:firstRow="0" w:lastRow="0" w:firstColumn="1" w:lastColumn="0" w:oddVBand="0" w:evenVBand="0" w:oddHBand="0" w:evenHBand="0" w:firstRowFirstColumn="0" w:firstRowLastColumn="0" w:lastRowFirstColumn="0" w:lastRowLastColumn="0"/>
            <w:tcW w:w="3116" w:type="dxa"/>
          </w:tcPr>
          <w:p w14:paraId="1AE83AD2" w14:textId="77777777" w:rsidR="00AA3A5E" w:rsidRPr="002F7EA9" w:rsidRDefault="00AA3A5E" w:rsidP="00AF1377">
            <w:pPr>
              <w:rPr>
                <w:sz w:val="24"/>
                <w:szCs w:val="24"/>
              </w:rPr>
            </w:pPr>
            <w:r w:rsidRPr="002F7EA9">
              <w:rPr>
                <w:sz w:val="24"/>
                <w:szCs w:val="24"/>
              </w:rPr>
              <w:t>Reeny Susan Roy</w:t>
            </w:r>
          </w:p>
        </w:tc>
        <w:tc>
          <w:tcPr>
            <w:tcW w:w="1829" w:type="dxa"/>
          </w:tcPr>
          <w:p w14:paraId="5A255883" w14:textId="77777777" w:rsidR="00AA3A5E" w:rsidRPr="002F7EA9" w:rsidRDefault="00AA3A5E" w:rsidP="00AF1377">
            <w:pPr>
              <w:cnfStyle w:val="000000000000" w:firstRow="0" w:lastRow="0" w:firstColumn="0" w:lastColumn="0" w:oddVBand="0" w:evenVBand="0" w:oddHBand="0" w:evenHBand="0" w:firstRowFirstColumn="0" w:firstRowLastColumn="0" w:lastRowFirstColumn="0" w:lastRowLastColumn="0"/>
              <w:rPr>
                <w:sz w:val="24"/>
                <w:szCs w:val="24"/>
              </w:rPr>
            </w:pPr>
            <w:r w:rsidRPr="002F7EA9">
              <w:rPr>
                <w:sz w:val="24"/>
                <w:szCs w:val="24"/>
              </w:rPr>
              <w:t>Team Lead</w:t>
            </w:r>
          </w:p>
        </w:tc>
        <w:tc>
          <w:tcPr>
            <w:tcW w:w="4405" w:type="dxa"/>
          </w:tcPr>
          <w:p w14:paraId="65C18BB4" w14:textId="77777777" w:rsidR="00AA3A5E" w:rsidRPr="002F7EA9" w:rsidRDefault="00AA3A5E" w:rsidP="00AF1377">
            <w:pPr>
              <w:cnfStyle w:val="000000000000" w:firstRow="0" w:lastRow="0" w:firstColumn="0" w:lastColumn="0" w:oddVBand="0" w:evenVBand="0" w:oddHBand="0" w:evenHBand="0" w:firstRowFirstColumn="0" w:firstRowLastColumn="0" w:lastRowFirstColumn="0" w:lastRowLastColumn="0"/>
              <w:rPr>
                <w:sz w:val="24"/>
                <w:szCs w:val="24"/>
              </w:rPr>
            </w:pPr>
            <w:r w:rsidRPr="002F7EA9">
              <w:rPr>
                <w:sz w:val="24"/>
                <w:szCs w:val="24"/>
              </w:rPr>
              <w:t>Setting the goals for the project, delegating tasks, planning the project timeline, and setting deadlines for tasks.</w:t>
            </w:r>
          </w:p>
        </w:tc>
      </w:tr>
      <w:tr w:rsidR="00AA3A5E" w:rsidRPr="002F7EA9" w14:paraId="2669479B" w14:textId="77777777" w:rsidTr="00D7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2068D0" w14:textId="77777777" w:rsidR="00AA3A5E" w:rsidRPr="002F7EA9" w:rsidRDefault="00AA3A5E" w:rsidP="00AF1377">
            <w:pPr>
              <w:rPr>
                <w:sz w:val="24"/>
                <w:szCs w:val="24"/>
              </w:rPr>
            </w:pPr>
            <w:r w:rsidRPr="002F7EA9">
              <w:rPr>
                <w:sz w:val="24"/>
                <w:szCs w:val="24"/>
              </w:rPr>
              <w:t>Jainam Saurin Shah</w:t>
            </w:r>
          </w:p>
        </w:tc>
        <w:tc>
          <w:tcPr>
            <w:tcW w:w="1829" w:type="dxa"/>
          </w:tcPr>
          <w:p w14:paraId="6D61EE71" w14:textId="77777777" w:rsidR="00AA3A5E" w:rsidRPr="002F7EA9" w:rsidRDefault="00AA3A5E" w:rsidP="00AF1377">
            <w:pPr>
              <w:cnfStyle w:val="000000100000" w:firstRow="0" w:lastRow="0" w:firstColumn="0" w:lastColumn="0" w:oddVBand="0" w:evenVBand="0" w:oddHBand="1" w:evenHBand="0" w:firstRowFirstColumn="0" w:firstRowLastColumn="0" w:lastRowFirstColumn="0" w:lastRowLastColumn="0"/>
              <w:rPr>
                <w:sz w:val="24"/>
                <w:szCs w:val="24"/>
              </w:rPr>
            </w:pPr>
            <w:r w:rsidRPr="002F7EA9">
              <w:rPr>
                <w:sz w:val="24"/>
                <w:szCs w:val="24"/>
              </w:rPr>
              <w:t>Business Analyst</w:t>
            </w:r>
          </w:p>
        </w:tc>
        <w:tc>
          <w:tcPr>
            <w:tcW w:w="4405" w:type="dxa"/>
          </w:tcPr>
          <w:p w14:paraId="6105610E" w14:textId="77777777" w:rsidR="00AA3A5E" w:rsidRPr="002F7EA9" w:rsidRDefault="00AA3A5E" w:rsidP="00AF1377">
            <w:pPr>
              <w:cnfStyle w:val="000000100000" w:firstRow="0" w:lastRow="0" w:firstColumn="0" w:lastColumn="0" w:oddVBand="0" w:evenVBand="0" w:oddHBand="1" w:evenHBand="0" w:firstRowFirstColumn="0" w:firstRowLastColumn="0" w:lastRowFirstColumn="0" w:lastRowLastColumn="0"/>
              <w:rPr>
                <w:sz w:val="24"/>
                <w:szCs w:val="24"/>
              </w:rPr>
            </w:pPr>
            <w:r w:rsidRPr="002F7EA9">
              <w:rPr>
                <w:sz w:val="24"/>
                <w:szCs w:val="24"/>
              </w:rPr>
              <w:t xml:space="preserve">Doing research, </w:t>
            </w:r>
            <w:proofErr w:type="spellStart"/>
            <w:r w:rsidRPr="002F7EA9">
              <w:rPr>
                <w:sz w:val="24"/>
                <w:szCs w:val="24"/>
              </w:rPr>
              <w:t>analyzing</w:t>
            </w:r>
            <w:proofErr w:type="spellEnd"/>
            <w:r w:rsidRPr="002F7EA9">
              <w:rPr>
                <w:sz w:val="24"/>
                <w:szCs w:val="24"/>
              </w:rPr>
              <w:t xml:space="preserve"> data, identifying pain points, developing solutions, and budgeting.</w:t>
            </w:r>
          </w:p>
        </w:tc>
      </w:tr>
      <w:tr w:rsidR="00AA3A5E" w:rsidRPr="002F7EA9" w14:paraId="2926A2CA" w14:textId="77777777" w:rsidTr="00D7316F">
        <w:tc>
          <w:tcPr>
            <w:cnfStyle w:val="001000000000" w:firstRow="0" w:lastRow="0" w:firstColumn="1" w:lastColumn="0" w:oddVBand="0" w:evenVBand="0" w:oddHBand="0" w:evenHBand="0" w:firstRowFirstColumn="0" w:firstRowLastColumn="0" w:lastRowFirstColumn="0" w:lastRowLastColumn="0"/>
            <w:tcW w:w="3116" w:type="dxa"/>
          </w:tcPr>
          <w:p w14:paraId="2FECBFE7" w14:textId="77777777" w:rsidR="00AA3A5E" w:rsidRPr="002F7EA9" w:rsidRDefault="00AA3A5E" w:rsidP="00AF1377">
            <w:pPr>
              <w:rPr>
                <w:sz w:val="24"/>
                <w:szCs w:val="24"/>
              </w:rPr>
            </w:pPr>
            <w:r w:rsidRPr="002F7EA9">
              <w:rPr>
                <w:sz w:val="24"/>
                <w:szCs w:val="24"/>
              </w:rPr>
              <w:t>Bhavya Jain</w:t>
            </w:r>
          </w:p>
        </w:tc>
        <w:tc>
          <w:tcPr>
            <w:tcW w:w="1829" w:type="dxa"/>
          </w:tcPr>
          <w:p w14:paraId="288ADC68" w14:textId="77777777" w:rsidR="00AA3A5E" w:rsidRPr="002F7EA9" w:rsidRDefault="00AA3A5E" w:rsidP="00AF1377">
            <w:pPr>
              <w:cnfStyle w:val="000000000000" w:firstRow="0" w:lastRow="0" w:firstColumn="0" w:lastColumn="0" w:oddVBand="0" w:evenVBand="0" w:oddHBand="0" w:evenHBand="0" w:firstRowFirstColumn="0" w:firstRowLastColumn="0" w:lastRowFirstColumn="0" w:lastRowLastColumn="0"/>
              <w:rPr>
                <w:sz w:val="24"/>
                <w:szCs w:val="24"/>
              </w:rPr>
            </w:pPr>
            <w:r w:rsidRPr="002F7EA9">
              <w:rPr>
                <w:sz w:val="24"/>
                <w:szCs w:val="24"/>
              </w:rPr>
              <w:t>Business Analyst</w:t>
            </w:r>
          </w:p>
        </w:tc>
        <w:tc>
          <w:tcPr>
            <w:tcW w:w="4405" w:type="dxa"/>
          </w:tcPr>
          <w:p w14:paraId="7236534D" w14:textId="77777777" w:rsidR="00AA3A5E" w:rsidRPr="002F7EA9" w:rsidRDefault="00AA3A5E" w:rsidP="00AF1377">
            <w:pPr>
              <w:cnfStyle w:val="000000000000" w:firstRow="0" w:lastRow="0" w:firstColumn="0" w:lastColumn="0" w:oddVBand="0" w:evenVBand="0" w:oddHBand="0" w:evenHBand="0" w:firstRowFirstColumn="0" w:firstRowLastColumn="0" w:lastRowFirstColumn="0" w:lastRowLastColumn="0"/>
              <w:rPr>
                <w:sz w:val="24"/>
                <w:szCs w:val="24"/>
              </w:rPr>
            </w:pPr>
            <w:r w:rsidRPr="002F7EA9">
              <w:rPr>
                <w:sz w:val="24"/>
                <w:szCs w:val="24"/>
              </w:rPr>
              <w:t xml:space="preserve">Doing research, </w:t>
            </w:r>
            <w:proofErr w:type="spellStart"/>
            <w:r w:rsidRPr="002F7EA9">
              <w:rPr>
                <w:sz w:val="24"/>
                <w:szCs w:val="24"/>
              </w:rPr>
              <w:t>analyzing</w:t>
            </w:r>
            <w:proofErr w:type="spellEnd"/>
            <w:r w:rsidRPr="002F7EA9">
              <w:rPr>
                <w:sz w:val="24"/>
                <w:szCs w:val="24"/>
              </w:rPr>
              <w:t xml:space="preserve"> data, identifying pain points, developing solutions, and budgeting.</w:t>
            </w:r>
          </w:p>
        </w:tc>
      </w:tr>
      <w:tr w:rsidR="00AA3A5E" w:rsidRPr="002F7EA9" w14:paraId="48FED8CB" w14:textId="77777777" w:rsidTr="00D7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3FF5ED" w14:textId="77777777" w:rsidR="00AA3A5E" w:rsidRPr="002F7EA9" w:rsidRDefault="00AA3A5E" w:rsidP="00AF1377">
            <w:pPr>
              <w:rPr>
                <w:sz w:val="24"/>
                <w:szCs w:val="24"/>
              </w:rPr>
            </w:pPr>
            <w:r w:rsidRPr="002F7EA9">
              <w:rPr>
                <w:sz w:val="24"/>
                <w:szCs w:val="24"/>
              </w:rPr>
              <w:t>Dinesh Kumar</w:t>
            </w:r>
          </w:p>
        </w:tc>
        <w:tc>
          <w:tcPr>
            <w:tcW w:w="1829" w:type="dxa"/>
          </w:tcPr>
          <w:p w14:paraId="12CA5713" w14:textId="77777777" w:rsidR="00AA3A5E" w:rsidRPr="002F7EA9" w:rsidRDefault="00AA3A5E" w:rsidP="00AF1377">
            <w:pPr>
              <w:cnfStyle w:val="000000100000" w:firstRow="0" w:lastRow="0" w:firstColumn="0" w:lastColumn="0" w:oddVBand="0" w:evenVBand="0" w:oddHBand="1" w:evenHBand="0" w:firstRowFirstColumn="0" w:firstRowLastColumn="0" w:lastRowFirstColumn="0" w:lastRowLastColumn="0"/>
              <w:rPr>
                <w:sz w:val="24"/>
                <w:szCs w:val="24"/>
              </w:rPr>
            </w:pPr>
            <w:r w:rsidRPr="002F7EA9">
              <w:rPr>
                <w:sz w:val="24"/>
                <w:szCs w:val="24"/>
              </w:rPr>
              <w:t>Business Analyst</w:t>
            </w:r>
          </w:p>
        </w:tc>
        <w:tc>
          <w:tcPr>
            <w:tcW w:w="4405" w:type="dxa"/>
          </w:tcPr>
          <w:p w14:paraId="777B1C6F" w14:textId="77777777" w:rsidR="00AA3A5E" w:rsidRPr="002F7EA9" w:rsidRDefault="00AA3A5E" w:rsidP="00AF1377">
            <w:pPr>
              <w:cnfStyle w:val="000000100000" w:firstRow="0" w:lastRow="0" w:firstColumn="0" w:lastColumn="0" w:oddVBand="0" w:evenVBand="0" w:oddHBand="1" w:evenHBand="0" w:firstRowFirstColumn="0" w:firstRowLastColumn="0" w:lastRowFirstColumn="0" w:lastRowLastColumn="0"/>
              <w:rPr>
                <w:sz w:val="24"/>
                <w:szCs w:val="24"/>
              </w:rPr>
            </w:pPr>
            <w:r w:rsidRPr="002F7EA9">
              <w:rPr>
                <w:sz w:val="24"/>
                <w:szCs w:val="24"/>
              </w:rPr>
              <w:t xml:space="preserve">Doing research, </w:t>
            </w:r>
            <w:proofErr w:type="spellStart"/>
            <w:r w:rsidRPr="002F7EA9">
              <w:rPr>
                <w:sz w:val="24"/>
                <w:szCs w:val="24"/>
              </w:rPr>
              <w:t>analyzing</w:t>
            </w:r>
            <w:proofErr w:type="spellEnd"/>
            <w:r w:rsidRPr="002F7EA9">
              <w:rPr>
                <w:sz w:val="24"/>
                <w:szCs w:val="24"/>
              </w:rPr>
              <w:t xml:space="preserve"> data, identifying pain points, developing solutions, and budgeting.</w:t>
            </w:r>
          </w:p>
        </w:tc>
      </w:tr>
    </w:tbl>
    <w:p w14:paraId="70A9E04B" w14:textId="77777777" w:rsidR="00D111FD" w:rsidRDefault="00D111FD" w:rsidP="00797A8F">
      <w:pPr>
        <w:shd w:val="clear" w:color="auto" w:fill="FFFFFF" w:themeFill="background1"/>
        <w:rPr>
          <w:rFonts w:cstheme="minorHAnsi"/>
          <w:color w:val="000000" w:themeColor="text1"/>
          <w:lang w:val="en-US"/>
        </w:rPr>
      </w:pPr>
    </w:p>
    <w:p w14:paraId="0707F967" w14:textId="77777777" w:rsidR="00797A8F" w:rsidRDefault="00797A8F" w:rsidP="00797A8F">
      <w:pPr>
        <w:shd w:val="clear" w:color="auto" w:fill="FFFFFF" w:themeFill="background1"/>
        <w:rPr>
          <w:rFonts w:cstheme="minorHAnsi"/>
          <w:color w:val="000000" w:themeColor="text1"/>
          <w:lang w:val="en-US"/>
        </w:rPr>
      </w:pPr>
    </w:p>
    <w:p w14:paraId="4F51ABF6" w14:textId="77777777" w:rsidR="00797A8F" w:rsidRDefault="00797A8F" w:rsidP="00797A8F">
      <w:pPr>
        <w:shd w:val="clear" w:color="auto" w:fill="FFFFFF" w:themeFill="background1"/>
        <w:rPr>
          <w:rFonts w:cstheme="minorHAnsi"/>
          <w:color w:val="000000" w:themeColor="text1"/>
          <w:lang w:val="en-US"/>
        </w:rPr>
      </w:pPr>
    </w:p>
    <w:p w14:paraId="031598A6" w14:textId="77777777" w:rsidR="00797A8F" w:rsidRDefault="00797A8F" w:rsidP="00797A8F">
      <w:pPr>
        <w:shd w:val="clear" w:color="auto" w:fill="FFFFFF" w:themeFill="background1"/>
        <w:rPr>
          <w:rFonts w:cstheme="minorHAnsi"/>
          <w:color w:val="000000" w:themeColor="text1"/>
          <w:lang w:val="en-US"/>
        </w:rPr>
      </w:pPr>
    </w:p>
    <w:p w14:paraId="5BF8AB46" w14:textId="77777777" w:rsidR="00204D61" w:rsidRPr="0094756A" w:rsidRDefault="00204D61" w:rsidP="00D7316F">
      <w:pPr>
        <w:pStyle w:val="Heading1"/>
        <w:jc w:val="center"/>
        <w:rPr>
          <w:b/>
          <w:bCs/>
        </w:rPr>
      </w:pPr>
      <w:bookmarkStart w:id="5" w:name="Contract"/>
      <w:bookmarkStart w:id="6" w:name="_Toc145702354"/>
      <w:r w:rsidRPr="0094756A">
        <w:rPr>
          <w:b/>
          <w:bCs/>
        </w:rPr>
        <w:lastRenderedPageBreak/>
        <w:t>Team Contract</w:t>
      </w:r>
      <w:bookmarkEnd w:id="6"/>
    </w:p>
    <w:bookmarkEnd w:id="5"/>
    <w:p w14:paraId="6DCF8FF7" w14:textId="40BFE6BC" w:rsidR="00204D61" w:rsidRPr="002F7EA9" w:rsidRDefault="00204D61" w:rsidP="0094756A">
      <w:pPr>
        <w:jc w:val="center"/>
        <w:rPr>
          <w:b/>
          <w:bCs/>
          <w:sz w:val="24"/>
          <w:szCs w:val="24"/>
        </w:rPr>
      </w:pPr>
      <w:r w:rsidRPr="002F7EA9">
        <w:rPr>
          <w:b/>
          <w:bCs/>
          <w:sz w:val="24"/>
          <w:szCs w:val="24"/>
        </w:rPr>
        <w:t>1</w:t>
      </w:r>
      <w:r w:rsidR="005C1C35" w:rsidRPr="002F7EA9">
        <w:rPr>
          <w:b/>
          <w:bCs/>
          <w:sz w:val="24"/>
          <w:szCs w:val="24"/>
        </w:rPr>
        <w:t>0</w:t>
      </w:r>
      <w:r w:rsidRPr="002F7EA9">
        <w:rPr>
          <w:b/>
          <w:bCs/>
          <w:sz w:val="24"/>
          <w:szCs w:val="24"/>
        </w:rPr>
        <w:t xml:space="preserve"> </w:t>
      </w:r>
      <w:r w:rsidR="00D7316F" w:rsidRPr="002F7EA9">
        <w:rPr>
          <w:b/>
          <w:bCs/>
          <w:sz w:val="24"/>
          <w:szCs w:val="24"/>
        </w:rPr>
        <w:t>September</w:t>
      </w:r>
      <w:r w:rsidRPr="002F7EA9">
        <w:rPr>
          <w:b/>
          <w:bCs/>
          <w:sz w:val="24"/>
          <w:szCs w:val="24"/>
        </w:rPr>
        <w:t xml:space="preserve"> 2023</w:t>
      </w:r>
    </w:p>
    <w:p w14:paraId="4ED2FA61" w14:textId="77777777" w:rsidR="00204D61" w:rsidRPr="00AB3B02" w:rsidRDefault="00204D61" w:rsidP="00204D61"/>
    <w:p w14:paraId="0EDC3AA0" w14:textId="77777777" w:rsidR="00204D61" w:rsidRDefault="00204D61" w:rsidP="00204D61">
      <w:pPr>
        <w:pStyle w:val="SHTB"/>
        <w:pBdr>
          <w:bottom w:val="none" w:sz="0" w:space="0" w:color="auto"/>
        </w:pBdr>
        <w:spacing w:line="240" w:lineRule="auto"/>
        <w:rPr>
          <w:rFonts w:asciiTheme="minorHAnsi" w:hAnsiTheme="minorHAnsi" w:cstheme="minorHAnsi"/>
          <w:b/>
          <w:bCs/>
          <w:sz w:val="24"/>
        </w:rPr>
      </w:pPr>
      <w:r w:rsidRPr="00D7316F">
        <w:rPr>
          <w:rFonts w:asciiTheme="minorHAnsi" w:hAnsiTheme="minorHAnsi" w:cstheme="minorHAnsi"/>
          <w:b/>
          <w:bCs/>
          <w:color w:val="4472C4" w:themeColor="accent1"/>
          <w:sz w:val="24"/>
        </w:rPr>
        <w:t xml:space="preserve">Project Name: </w:t>
      </w:r>
      <w:r w:rsidRPr="00BD05C1">
        <w:rPr>
          <w:rFonts w:asciiTheme="minorHAnsi" w:hAnsiTheme="minorHAnsi" w:cstheme="minorHAnsi"/>
          <w:b/>
          <w:bCs/>
          <w:sz w:val="24"/>
        </w:rPr>
        <w:t>Capstone</w:t>
      </w:r>
    </w:p>
    <w:p w14:paraId="2894C0EC" w14:textId="77777777" w:rsidR="00D7316F" w:rsidRPr="00D7316F" w:rsidRDefault="00D7316F" w:rsidP="00D7316F">
      <w:pPr>
        <w:rPr>
          <w:lang w:val="en-US"/>
        </w:rPr>
      </w:pPr>
    </w:p>
    <w:p w14:paraId="01AFED10" w14:textId="7D38E9EB" w:rsidR="00D7316F" w:rsidRPr="00D74235" w:rsidRDefault="00204D61" w:rsidP="008824DD">
      <w:pPr>
        <w:rPr>
          <w:rFonts w:asciiTheme="majorHAnsi" w:hAnsiTheme="majorHAnsi" w:cstheme="majorHAnsi"/>
          <w:b/>
          <w:bCs/>
          <w:sz w:val="24"/>
          <w:szCs w:val="24"/>
        </w:rPr>
      </w:pPr>
      <w:r w:rsidRPr="00D74235">
        <w:rPr>
          <w:rFonts w:asciiTheme="majorHAnsi" w:hAnsiTheme="majorHAnsi" w:cstheme="majorHAnsi"/>
          <w:b/>
          <w:bCs/>
          <w:sz w:val="24"/>
          <w:szCs w:val="24"/>
        </w:rPr>
        <w:t>Project Team Members</w:t>
      </w:r>
      <w:r w:rsidR="005C1C35" w:rsidRPr="00D74235">
        <w:rPr>
          <w:rFonts w:asciiTheme="majorHAnsi" w:hAnsiTheme="majorHAnsi" w:cstheme="majorHAnsi"/>
          <w:b/>
          <w:bCs/>
          <w:sz w:val="24"/>
          <w:szCs w:val="24"/>
        </w:rPr>
        <w:t>'</w:t>
      </w:r>
      <w:r w:rsidRPr="00D74235">
        <w:rPr>
          <w:rFonts w:asciiTheme="majorHAnsi" w:hAnsiTheme="majorHAnsi" w:cstheme="majorHAnsi"/>
          <w:b/>
          <w:bCs/>
          <w:sz w:val="24"/>
          <w:szCs w:val="24"/>
        </w:rPr>
        <w:t xml:space="preserve"> Names and Sign-off:</w:t>
      </w:r>
    </w:p>
    <w:p w14:paraId="33F83169" w14:textId="77777777" w:rsidR="002F7EA9" w:rsidRPr="002F7EA9" w:rsidRDefault="002F7EA9" w:rsidP="002F7EA9"/>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4"/>
        <w:gridCol w:w="2338"/>
        <w:gridCol w:w="2277"/>
        <w:gridCol w:w="2445"/>
      </w:tblGrid>
      <w:tr w:rsidR="00204D61" w:rsidRPr="00BD05C1" w14:paraId="7E64D668" w14:textId="77777777" w:rsidTr="0094756A">
        <w:trPr>
          <w:trHeight w:val="420"/>
        </w:trPr>
        <w:tc>
          <w:tcPr>
            <w:tcW w:w="2634" w:type="dxa"/>
            <w:shd w:val="clear" w:color="auto" w:fill="5B9BD5" w:themeFill="accent5"/>
            <w:vAlign w:val="center"/>
          </w:tcPr>
          <w:p w14:paraId="7230997C" w14:textId="77777777" w:rsidR="00204D61" w:rsidRPr="0094756A" w:rsidRDefault="00204D61" w:rsidP="0094756A">
            <w:pPr>
              <w:pStyle w:val="SHTB"/>
              <w:pBdr>
                <w:bottom w:val="none" w:sz="0" w:space="0" w:color="auto"/>
              </w:pBdr>
              <w:spacing w:line="240" w:lineRule="auto"/>
              <w:jc w:val="center"/>
              <w:rPr>
                <w:rFonts w:asciiTheme="minorHAnsi" w:hAnsiTheme="minorHAnsi" w:cstheme="minorHAnsi"/>
                <w:b/>
                <w:bCs/>
                <w:color w:val="FFFFFF" w:themeColor="background1"/>
                <w:sz w:val="24"/>
              </w:rPr>
            </w:pPr>
            <w:r w:rsidRPr="0094756A">
              <w:rPr>
                <w:rFonts w:asciiTheme="minorHAnsi" w:hAnsiTheme="minorHAnsi" w:cstheme="minorHAnsi"/>
                <w:b/>
                <w:bCs/>
                <w:color w:val="FFFFFF" w:themeColor="background1"/>
                <w:sz w:val="24"/>
              </w:rPr>
              <w:t>Name</w:t>
            </w:r>
          </w:p>
        </w:tc>
        <w:tc>
          <w:tcPr>
            <w:tcW w:w="2338" w:type="dxa"/>
            <w:shd w:val="clear" w:color="auto" w:fill="5B9BD5" w:themeFill="accent5"/>
            <w:vAlign w:val="center"/>
          </w:tcPr>
          <w:p w14:paraId="4D7D13FF" w14:textId="531DAA29" w:rsidR="00204D61" w:rsidRPr="0094756A" w:rsidRDefault="00204D61" w:rsidP="0094756A">
            <w:pPr>
              <w:pStyle w:val="SHTB"/>
              <w:pBdr>
                <w:bottom w:val="none" w:sz="0" w:space="0" w:color="auto"/>
              </w:pBdr>
              <w:spacing w:line="240" w:lineRule="auto"/>
              <w:jc w:val="center"/>
              <w:rPr>
                <w:rFonts w:asciiTheme="minorHAnsi" w:hAnsiTheme="minorHAnsi" w:cstheme="minorHAnsi"/>
                <w:b/>
                <w:bCs/>
                <w:color w:val="FFFFFF" w:themeColor="background1"/>
                <w:sz w:val="24"/>
              </w:rPr>
            </w:pPr>
            <w:r w:rsidRPr="0094756A">
              <w:rPr>
                <w:rFonts w:asciiTheme="minorHAnsi" w:hAnsiTheme="minorHAnsi" w:cstheme="minorHAnsi"/>
                <w:b/>
                <w:bCs/>
                <w:color w:val="FFFFFF" w:themeColor="background1"/>
                <w:sz w:val="24"/>
              </w:rPr>
              <w:t>Roles</w:t>
            </w:r>
          </w:p>
        </w:tc>
        <w:tc>
          <w:tcPr>
            <w:tcW w:w="2277" w:type="dxa"/>
            <w:shd w:val="clear" w:color="auto" w:fill="5B9BD5" w:themeFill="accent5"/>
            <w:vAlign w:val="center"/>
          </w:tcPr>
          <w:p w14:paraId="5274F17B" w14:textId="77777777" w:rsidR="00204D61" w:rsidRPr="0094756A" w:rsidRDefault="00204D61" w:rsidP="0094756A">
            <w:pPr>
              <w:pStyle w:val="SHTB"/>
              <w:pBdr>
                <w:bottom w:val="none" w:sz="0" w:space="0" w:color="auto"/>
              </w:pBdr>
              <w:spacing w:line="240" w:lineRule="auto"/>
              <w:jc w:val="center"/>
              <w:rPr>
                <w:rFonts w:asciiTheme="minorHAnsi" w:hAnsiTheme="minorHAnsi" w:cstheme="minorHAnsi"/>
                <w:b/>
                <w:bCs/>
                <w:color w:val="FFFFFF" w:themeColor="background1"/>
                <w:sz w:val="24"/>
              </w:rPr>
            </w:pPr>
            <w:r w:rsidRPr="0094756A">
              <w:rPr>
                <w:rFonts w:asciiTheme="minorHAnsi" w:hAnsiTheme="minorHAnsi" w:cstheme="minorHAnsi"/>
                <w:b/>
                <w:bCs/>
                <w:color w:val="FFFFFF" w:themeColor="background1"/>
                <w:sz w:val="24"/>
              </w:rPr>
              <w:t>Position</w:t>
            </w:r>
          </w:p>
        </w:tc>
        <w:tc>
          <w:tcPr>
            <w:tcW w:w="2445" w:type="dxa"/>
            <w:shd w:val="clear" w:color="auto" w:fill="5B9BD5" w:themeFill="accent5"/>
            <w:vAlign w:val="center"/>
          </w:tcPr>
          <w:p w14:paraId="6B60DF56" w14:textId="092F9E61" w:rsidR="00204D61" w:rsidRPr="0094756A" w:rsidRDefault="00204D61" w:rsidP="0094756A">
            <w:pPr>
              <w:pStyle w:val="SHTB"/>
              <w:pBdr>
                <w:bottom w:val="none" w:sz="0" w:space="0" w:color="auto"/>
              </w:pBdr>
              <w:spacing w:line="240" w:lineRule="auto"/>
              <w:jc w:val="center"/>
              <w:rPr>
                <w:rFonts w:asciiTheme="minorHAnsi" w:hAnsiTheme="minorHAnsi" w:cstheme="minorHAnsi"/>
                <w:b/>
                <w:bCs/>
                <w:color w:val="FFFFFF" w:themeColor="background1"/>
                <w:sz w:val="24"/>
              </w:rPr>
            </w:pPr>
            <w:r w:rsidRPr="0094756A">
              <w:rPr>
                <w:rFonts w:asciiTheme="minorHAnsi" w:hAnsiTheme="minorHAnsi" w:cstheme="minorHAnsi"/>
                <w:b/>
                <w:bCs/>
                <w:color w:val="FFFFFF" w:themeColor="background1"/>
                <w:sz w:val="24"/>
              </w:rPr>
              <w:t>Date</w:t>
            </w:r>
            <w:r w:rsidR="00E95A48" w:rsidRPr="0094756A">
              <w:rPr>
                <w:rFonts w:asciiTheme="minorHAnsi" w:hAnsiTheme="minorHAnsi" w:cstheme="minorHAnsi"/>
                <w:b/>
                <w:bCs/>
                <w:color w:val="FFFFFF" w:themeColor="background1"/>
                <w:sz w:val="24"/>
              </w:rPr>
              <w:t xml:space="preserve"> of Sign-off</w:t>
            </w:r>
          </w:p>
        </w:tc>
      </w:tr>
      <w:tr w:rsidR="00204D61" w:rsidRPr="00BD05C1" w14:paraId="0034A808" w14:textId="77777777" w:rsidTr="00AF724A">
        <w:trPr>
          <w:trHeight w:val="407"/>
        </w:trPr>
        <w:tc>
          <w:tcPr>
            <w:tcW w:w="2634" w:type="dxa"/>
            <w:vAlign w:val="center"/>
          </w:tcPr>
          <w:p w14:paraId="7D8250D5" w14:textId="77777777" w:rsidR="00204D61" w:rsidRPr="00BD05C1" w:rsidRDefault="00204D61" w:rsidP="00AF1377">
            <w:pPr>
              <w:pStyle w:val="SHTB"/>
              <w:pBdr>
                <w:bottom w:val="none" w:sz="0" w:space="0" w:color="auto"/>
              </w:pBdr>
              <w:spacing w:line="240" w:lineRule="auto"/>
              <w:rPr>
                <w:rFonts w:asciiTheme="minorHAnsi" w:hAnsiTheme="minorHAnsi" w:cstheme="minorHAnsi"/>
                <w:b/>
                <w:bCs/>
                <w:sz w:val="24"/>
              </w:rPr>
            </w:pPr>
            <w:r w:rsidRPr="00BD05C1">
              <w:rPr>
                <w:rFonts w:asciiTheme="minorHAnsi" w:hAnsiTheme="minorHAnsi" w:cstheme="minorHAnsi"/>
                <w:b/>
                <w:bCs/>
                <w:sz w:val="24"/>
              </w:rPr>
              <w:t>Amaan Shaikh</w:t>
            </w:r>
          </w:p>
        </w:tc>
        <w:tc>
          <w:tcPr>
            <w:tcW w:w="2338" w:type="dxa"/>
            <w:vAlign w:val="center"/>
          </w:tcPr>
          <w:p w14:paraId="0B6401BB" w14:textId="7777777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Project Manager</w:t>
            </w:r>
          </w:p>
        </w:tc>
        <w:tc>
          <w:tcPr>
            <w:tcW w:w="2277" w:type="dxa"/>
            <w:vAlign w:val="center"/>
          </w:tcPr>
          <w:p w14:paraId="16A30A46" w14:textId="7777777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Phase 1 Lead</w:t>
            </w:r>
          </w:p>
        </w:tc>
        <w:tc>
          <w:tcPr>
            <w:tcW w:w="2445" w:type="dxa"/>
            <w:vAlign w:val="center"/>
          </w:tcPr>
          <w:p w14:paraId="07CDE0C5" w14:textId="33158F83"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10 Sept</w:t>
            </w:r>
            <w:r w:rsidR="005C1C35" w:rsidRPr="002F7EA9">
              <w:rPr>
                <w:rFonts w:asciiTheme="minorHAnsi" w:hAnsiTheme="minorHAnsi" w:cstheme="minorHAnsi"/>
                <w:sz w:val="24"/>
              </w:rPr>
              <w:t>ember</w:t>
            </w:r>
            <w:r w:rsidRPr="002F7EA9">
              <w:rPr>
                <w:rFonts w:asciiTheme="minorHAnsi" w:hAnsiTheme="minorHAnsi" w:cstheme="minorHAnsi"/>
                <w:sz w:val="24"/>
              </w:rPr>
              <w:t>, 2023</w:t>
            </w:r>
          </w:p>
        </w:tc>
      </w:tr>
      <w:tr w:rsidR="00204D61" w:rsidRPr="00BD05C1" w14:paraId="31E5D260" w14:textId="77777777" w:rsidTr="00AF724A">
        <w:trPr>
          <w:trHeight w:val="704"/>
        </w:trPr>
        <w:tc>
          <w:tcPr>
            <w:tcW w:w="2634" w:type="dxa"/>
            <w:vAlign w:val="center"/>
          </w:tcPr>
          <w:p w14:paraId="7F1EF2CD" w14:textId="41700656" w:rsidR="00204D61" w:rsidRPr="00BD05C1" w:rsidRDefault="00204D61" w:rsidP="00AF1377">
            <w:pPr>
              <w:pStyle w:val="SHTB"/>
              <w:pBdr>
                <w:bottom w:val="none" w:sz="0" w:space="0" w:color="auto"/>
              </w:pBdr>
              <w:spacing w:line="240" w:lineRule="auto"/>
              <w:rPr>
                <w:rFonts w:asciiTheme="minorHAnsi" w:hAnsiTheme="minorHAnsi" w:cstheme="minorHAnsi"/>
                <w:b/>
                <w:bCs/>
                <w:sz w:val="24"/>
              </w:rPr>
            </w:pPr>
            <w:r w:rsidRPr="00BD05C1">
              <w:rPr>
                <w:rFonts w:asciiTheme="minorHAnsi" w:hAnsiTheme="minorHAnsi" w:cstheme="minorHAnsi"/>
                <w:b/>
                <w:bCs/>
                <w:sz w:val="24"/>
              </w:rPr>
              <w:t>Reeny Susan Roy</w:t>
            </w:r>
          </w:p>
        </w:tc>
        <w:tc>
          <w:tcPr>
            <w:tcW w:w="2338" w:type="dxa"/>
            <w:vAlign w:val="center"/>
          </w:tcPr>
          <w:p w14:paraId="61558FA5" w14:textId="7777777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Team Leader</w:t>
            </w:r>
          </w:p>
        </w:tc>
        <w:tc>
          <w:tcPr>
            <w:tcW w:w="2277" w:type="dxa"/>
            <w:vAlign w:val="center"/>
          </w:tcPr>
          <w:p w14:paraId="2A7487D5" w14:textId="7777777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Phase 1 Coordinator</w:t>
            </w:r>
          </w:p>
        </w:tc>
        <w:tc>
          <w:tcPr>
            <w:tcW w:w="2445" w:type="dxa"/>
            <w:vAlign w:val="center"/>
          </w:tcPr>
          <w:p w14:paraId="538BB684" w14:textId="5D2F6E0E"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10 Sept</w:t>
            </w:r>
            <w:r w:rsidR="005C1C35" w:rsidRPr="002F7EA9">
              <w:rPr>
                <w:rFonts w:asciiTheme="minorHAnsi" w:hAnsiTheme="minorHAnsi" w:cstheme="minorHAnsi"/>
                <w:sz w:val="24"/>
              </w:rPr>
              <w:t>ember</w:t>
            </w:r>
            <w:r w:rsidRPr="002F7EA9">
              <w:rPr>
                <w:rFonts w:asciiTheme="minorHAnsi" w:hAnsiTheme="minorHAnsi" w:cstheme="minorHAnsi"/>
                <w:sz w:val="24"/>
              </w:rPr>
              <w:t>, 2023</w:t>
            </w:r>
          </w:p>
        </w:tc>
      </w:tr>
      <w:tr w:rsidR="00204D61" w:rsidRPr="00BD05C1" w14:paraId="51F268BC" w14:textId="77777777" w:rsidTr="00AF724A">
        <w:trPr>
          <w:trHeight w:val="420"/>
        </w:trPr>
        <w:tc>
          <w:tcPr>
            <w:tcW w:w="2634" w:type="dxa"/>
            <w:vAlign w:val="center"/>
          </w:tcPr>
          <w:p w14:paraId="58C48058" w14:textId="77777777" w:rsidR="00204D61" w:rsidRPr="00BD05C1" w:rsidRDefault="00204D61" w:rsidP="00AF1377">
            <w:pPr>
              <w:pStyle w:val="SHTB"/>
              <w:pBdr>
                <w:bottom w:val="none" w:sz="0" w:space="0" w:color="auto"/>
              </w:pBdr>
              <w:spacing w:line="240" w:lineRule="auto"/>
              <w:rPr>
                <w:rFonts w:asciiTheme="minorHAnsi" w:hAnsiTheme="minorHAnsi" w:cstheme="minorHAnsi"/>
                <w:b/>
                <w:bCs/>
                <w:sz w:val="24"/>
              </w:rPr>
            </w:pPr>
            <w:r w:rsidRPr="00BD05C1">
              <w:rPr>
                <w:rFonts w:asciiTheme="minorHAnsi" w:hAnsiTheme="minorHAnsi" w:cstheme="minorHAnsi"/>
                <w:b/>
                <w:bCs/>
                <w:sz w:val="24"/>
              </w:rPr>
              <w:t>Dinesh Kumar</w:t>
            </w:r>
          </w:p>
        </w:tc>
        <w:tc>
          <w:tcPr>
            <w:tcW w:w="2338" w:type="dxa"/>
            <w:vAlign w:val="center"/>
          </w:tcPr>
          <w:p w14:paraId="057C9726" w14:textId="7777777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Business Analyst</w:t>
            </w:r>
          </w:p>
        </w:tc>
        <w:tc>
          <w:tcPr>
            <w:tcW w:w="2277" w:type="dxa"/>
            <w:vAlign w:val="center"/>
          </w:tcPr>
          <w:p w14:paraId="17BF44DB" w14:textId="7777777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Team Member</w:t>
            </w:r>
          </w:p>
        </w:tc>
        <w:tc>
          <w:tcPr>
            <w:tcW w:w="2445" w:type="dxa"/>
            <w:vAlign w:val="center"/>
          </w:tcPr>
          <w:p w14:paraId="1FC133F1" w14:textId="7F9DE44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10 Sept</w:t>
            </w:r>
            <w:r w:rsidR="005C1C35" w:rsidRPr="002F7EA9">
              <w:rPr>
                <w:rFonts w:asciiTheme="minorHAnsi" w:hAnsiTheme="minorHAnsi" w:cstheme="minorHAnsi"/>
                <w:sz w:val="24"/>
              </w:rPr>
              <w:t>ember</w:t>
            </w:r>
            <w:r w:rsidRPr="002F7EA9">
              <w:rPr>
                <w:rFonts w:asciiTheme="minorHAnsi" w:hAnsiTheme="minorHAnsi" w:cstheme="minorHAnsi"/>
                <w:sz w:val="24"/>
              </w:rPr>
              <w:t>, 2023</w:t>
            </w:r>
          </w:p>
        </w:tc>
      </w:tr>
      <w:tr w:rsidR="00204D61" w:rsidRPr="00BD05C1" w14:paraId="6035BF7E" w14:textId="77777777" w:rsidTr="00AF724A">
        <w:trPr>
          <w:trHeight w:val="407"/>
        </w:trPr>
        <w:tc>
          <w:tcPr>
            <w:tcW w:w="2634" w:type="dxa"/>
            <w:vAlign w:val="center"/>
          </w:tcPr>
          <w:p w14:paraId="5BA8D960" w14:textId="77777777" w:rsidR="00204D61" w:rsidRPr="00BD05C1" w:rsidRDefault="00204D61" w:rsidP="00AF1377">
            <w:pPr>
              <w:pStyle w:val="SHTB"/>
              <w:pBdr>
                <w:bottom w:val="none" w:sz="0" w:space="0" w:color="auto"/>
              </w:pBdr>
              <w:spacing w:line="240" w:lineRule="auto"/>
              <w:rPr>
                <w:rFonts w:asciiTheme="minorHAnsi" w:hAnsiTheme="minorHAnsi" w:cstheme="minorHAnsi"/>
                <w:b/>
                <w:bCs/>
                <w:sz w:val="24"/>
              </w:rPr>
            </w:pPr>
            <w:r w:rsidRPr="00BD05C1">
              <w:rPr>
                <w:rFonts w:asciiTheme="minorHAnsi" w:hAnsiTheme="minorHAnsi" w:cstheme="minorHAnsi"/>
                <w:b/>
                <w:bCs/>
                <w:sz w:val="24"/>
              </w:rPr>
              <w:t>Jainam Shah</w:t>
            </w:r>
          </w:p>
        </w:tc>
        <w:tc>
          <w:tcPr>
            <w:tcW w:w="2338" w:type="dxa"/>
            <w:vAlign w:val="center"/>
          </w:tcPr>
          <w:p w14:paraId="77A812FC" w14:textId="7777777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Business Analyst</w:t>
            </w:r>
          </w:p>
        </w:tc>
        <w:tc>
          <w:tcPr>
            <w:tcW w:w="2277" w:type="dxa"/>
            <w:vAlign w:val="center"/>
          </w:tcPr>
          <w:p w14:paraId="05ED48F5" w14:textId="7777777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Team Member</w:t>
            </w:r>
          </w:p>
        </w:tc>
        <w:tc>
          <w:tcPr>
            <w:tcW w:w="2445" w:type="dxa"/>
            <w:vAlign w:val="center"/>
          </w:tcPr>
          <w:p w14:paraId="7B1498C5" w14:textId="674B65C9"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10 Sept</w:t>
            </w:r>
            <w:r w:rsidR="005C1C35" w:rsidRPr="002F7EA9">
              <w:rPr>
                <w:rFonts w:asciiTheme="minorHAnsi" w:hAnsiTheme="minorHAnsi" w:cstheme="minorHAnsi"/>
                <w:sz w:val="24"/>
              </w:rPr>
              <w:t>ember</w:t>
            </w:r>
            <w:r w:rsidRPr="002F7EA9">
              <w:rPr>
                <w:rFonts w:asciiTheme="minorHAnsi" w:hAnsiTheme="minorHAnsi" w:cstheme="minorHAnsi"/>
                <w:sz w:val="24"/>
              </w:rPr>
              <w:t>, 2023</w:t>
            </w:r>
          </w:p>
        </w:tc>
      </w:tr>
      <w:tr w:rsidR="00204D61" w:rsidRPr="00BD05C1" w14:paraId="75D101F8" w14:textId="77777777" w:rsidTr="00AF724A">
        <w:trPr>
          <w:trHeight w:val="420"/>
        </w:trPr>
        <w:tc>
          <w:tcPr>
            <w:tcW w:w="2634" w:type="dxa"/>
            <w:vAlign w:val="center"/>
          </w:tcPr>
          <w:p w14:paraId="09001D6B" w14:textId="77777777" w:rsidR="00204D61" w:rsidRPr="00BD05C1" w:rsidRDefault="00204D61" w:rsidP="00AF1377">
            <w:pPr>
              <w:pStyle w:val="SHTB"/>
              <w:pBdr>
                <w:bottom w:val="none" w:sz="0" w:space="0" w:color="auto"/>
              </w:pBdr>
              <w:spacing w:line="240" w:lineRule="auto"/>
              <w:rPr>
                <w:rFonts w:asciiTheme="minorHAnsi" w:hAnsiTheme="minorHAnsi" w:cstheme="minorHAnsi"/>
                <w:b/>
                <w:bCs/>
                <w:sz w:val="24"/>
              </w:rPr>
            </w:pPr>
            <w:r w:rsidRPr="00BD05C1">
              <w:rPr>
                <w:rFonts w:asciiTheme="minorHAnsi" w:hAnsiTheme="minorHAnsi" w:cstheme="minorHAnsi"/>
                <w:b/>
                <w:bCs/>
                <w:sz w:val="24"/>
              </w:rPr>
              <w:t>Bhavya Jain</w:t>
            </w:r>
          </w:p>
        </w:tc>
        <w:tc>
          <w:tcPr>
            <w:tcW w:w="2338" w:type="dxa"/>
            <w:vAlign w:val="center"/>
          </w:tcPr>
          <w:p w14:paraId="647540C6" w14:textId="7777777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Business Analyst</w:t>
            </w:r>
          </w:p>
        </w:tc>
        <w:tc>
          <w:tcPr>
            <w:tcW w:w="2277" w:type="dxa"/>
            <w:vAlign w:val="center"/>
          </w:tcPr>
          <w:p w14:paraId="0142E0E6" w14:textId="77777777"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Team Member</w:t>
            </w:r>
          </w:p>
        </w:tc>
        <w:tc>
          <w:tcPr>
            <w:tcW w:w="2445" w:type="dxa"/>
            <w:vAlign w:val="center"/>
          </w:tcPr>
          <w:p w14:paraId="7DBA796B" w14:textId="528CC2BC" w:rsidR="00204D61" w:rsidRPr="002F7EA9" w:rsidRDefault="00204D61" w:rsidP="00AF1377">
            <w:pPr>
              <w:pStyle w:val="SHTB"/>
              <w:pBdr>
                <w:bottom w:val="none" w:sz="0" w:space="0" w:color="auto"/>
              </w:pBdr>
              <w:spacing w:line="240" w:lineRule="auto"/>
              <w:rPr>
                <w:rFonts w:asciiTheme="minorHAnsi" w:hAnsiTheme="minorHAnsi" w:cstheme="minorHAnsi"/>
                <w:sz w:val="24"/>
              </w:rPr>
            </w:pPr>
            <w:r w:rsidRPr="002F7EA9">
              <w:rPr>
                <w:rFonts w:asciiTheme="minorHAnsi" w:hAnsiTheme="minorHAnsi" w:cstheme="minorHAnsi"/>
                <w:sz w:val="24"/>
              </w:rPr>
              <w:t>10 Sept</w:t>
            </w:r>
            <w:r w:rsidR="005C1C35" w:rsidRPr="002F7EA9">
              <w:rPr>
                <w:rFonts w:asciiTheme="minorHAnsi" w:hAnsiTheme="minorHAnsi" w:cstheme="minorHAnsi"/>
                <w:sz w:val="24"/>
              </w:rPr>
              <w:t>ember</w:t>
            </w:r>
            <w:r w:rsidRPr="002F7EA9">
              <w:rPr>
                <w:rFonts w:asciiTheme="minorHAnsi" w:hAnsiTheme="minorHAnsi" w:cstheme="minorHAnsi"/>
                <w:sz w:val="24"/>
              </w:rPr>
              <w:t>, 2023</w:t>
            </w:r>
          </w:p>
        </w:tc>
      </w:tr>
    </w:tbl>
    <w:p w14:paraId="2140BDF1" w14:textId="77777777" w:rsidR="0094756A" w:rsidRDefault="0094756A" w:rsidP="00204D61">
      <w:pPr>
        <w:pStyle w:val="SHTB"/>
        <w:pBdr>
          <w:bottom w:val="none" w:sz="0" w:space="0" w:color="auto"/>
        </w:pBdr>
        <w:spacing w:line="240" w:lineRule="auto"/>
        <w:rPr>
          <w:rFonts w:asciiTheme="minorHAnsi" w:hAnsiTheme="minorHAnsi" w:cstheme="minorHAnsi"/>
          <w:b/>
          <w:bCs/>
          <w:sz w:val="24"/>
        </w:rPr>
      </w:pPr>
    </w:p>
    <w:p w14:paraId="373E0FEE" w14:textId="77777777" w:rsidR="0094756A" w:rsidRDefault="00204D61" w:rsidP="00204D61">
      <w:pPr>
        <w:pStyle w:val="SHTB"/>
        <w:pBdr>
          <w:bottom w:val="none" w:sz="0" w:space="0" w:color="auto"/>
        </w:pBdr>
        <w:spacing w:line="240" w:lineRule="auto"/>
        <w:rPr>
          <w:rFonts w:asciiTheme="minorHAnsi" w:hAnsiTheme="minorHAnsi" w:cstheme="minorHAnsi"/>
          <w:b/>
          <w:bCs/>
          <w:sz w:val="24"/>
        </w:rPr>
      </w:pPr>
      <w:r w:rsidRPr="002F7EA9">
        <w:rPr>
          <w:rFonts w:asciiTheme="majorHAnsi" w:eastAsiaTheme="majorEastAsia" w:hAnsiTheme="majorHAnsi" w:cstheme="majorBidi"/>
          <w:b/>
          <w:bCs/>
          <w:color w:val="2F5496" w:themeColor="accent1" w:themeShade="BF"/>
          <w:sz w:val="28"/>
          <w:szCs w:val="28"/>
          <w:lang w:val="en-IN"/>
        </w:rPr>
        <w:t>Code of Conduct</w:t>
      </w:r>
      <w:r w:rsidRPr="0094756A">
        <w:rPr>
          <w:rFonts w:asciiTheme="majorHAnsi" w:eastAsiaTheme="majorEastAsia" w:hAnsiTheme="majorHAnsi" w:cstheme="majorBidi"/>
          <w:b/>
          <w:bCs/>
          <w:color w:val="4472C4" w:themeColor="accent1"/>
          <w:sz w:val="24"/>
          <w:szCs w:val="24"/>
          <w:lang w:val="en-IN"/>
        </w:rPr>
        <w:t>:</w:t>
      </w:r>
      <w:r w:rsidRPr="00BD05C1">
        <w:rPr>
          <w:rFonts w:asciiTheme="minorHAnsi" w:hAnsiTheme="minorHAnsi" w:cstheme="minorHAnsi"/>
          <w:b/>
          <w:bCs/>
          <w:sz w:val="24"/>
        </w:rPr>
        <w:t xml:space="preserve">  </w:t>
      </w:r>
    </w:p>
    <w:p w14:paraId="6E457576" w14:textId="52D70252" w:rsidR="00204D61" w:rsidRPr="00EB2FA5" w:rsidRDefault="002F7EA9" w:rsidP="00204D61">
      <w:pPr>
        <w:pStyle w:val="SHTB"/>
        <w:pBdr>
          <w:bottom w:val="none" w:sz="0" w:space="0" w:color="auto"/>
        </w:pBdr>
        <w:spacing w:line="240" w:lineRule="auto"/>
        <w:rPr>
          <w:rFonts w:asciiTheme="minorHAnsi" w:hAnsiTheme="minorHAnsi" w:cstheme="minorHAnsi"/>
          <w:b/>
          <w:bCs/>
          <w:sz w:val="22"/>
          <w:szCs w:val="22"/>
        </w:rPr>
      </w:pPr>
      <w:r w:rsidRPr="00EB2FA5">
        <w:rPr>
          <w:rFonts w:asciiTheme="minorHAnsi" w:hAnsiTheme="minorHAnsi" w:cstheme="minorHAnsi"/>
          <w:sz w:val="22"/>
          <w:szCs w:val="22"/>
        </w:rPr>
        <w:t>The</w:t>
      </w:r>
      <w:r w:rsidR="00204D61" w:rsidRPr="00EB2FA5">
        <w:rPr>
          <w:rFonts w:asciiTheme="minorHAnsi" w:hAnsiTheme="minorHAnsi" w:cstheme="minorHAnsi"/>
          <w:sz w:val="22"/>
          <w:szCs w:val="22"/>
        </w:rPr>
        <w:t xml:space="preserve"> </w:t>
      </w:r>
      <w:r w:rsidRPr="00EB2FA5">
        <w:rPr>
          <w:rFonts w:asciiTheme="minorHAnsi" w:hAnsiTheme="minorHAnsi" w:cstheme="minorHAnsi"/>
          <w:sz w:val="22"/>
          <w:szCs w:val="22"/>
        </w:rPr>
        <w:t>P</w:t>
      </w:r>
      <w:r w:rsidR="00204D61" w:rsidRPr="00EB2FA5">
        <w:rPr>
          <w:rFonts w:asciiTheme="minorHAnsi" w:hAnsiTheme="minorHAnsi" w:cstheme="minorHAnsi"/>
          <w:sz w:val="22"/>
          <w:szCs w:val="22"/>
        </w:rPr>
        <w:t xml:space="preserve">roject </w:t>
      </w:r>
      <w:r w:rsidRPr="00EB2FA5">
        <w:rPr>
          <w:rFonts w:asciiTheme="minorHAnsi" w:hAnsiTheme="minorHAnsi" w:cstheme="minorHAnsi"/>
          <w:sz w:val="22"/>
          <w:szCs w:val="22"/>
        </w:rPr>
        <w:t>T</w:t>
      </w:r>
      <w:r w:rsidR="00204D61" w:rsidRPr="00EB2FA5">
        <w:rPr>
          <w:rFonts w:asciiTheme="minorHAnsi" w:hAnsiTheme="minorHAnsi" w:cstheme="minorHAnsi"/>
          <w:sz w:val="22"/>
          <w:szCs w:val="22"/>
        </w:rPr>
        <w:t xml:space="preserve">eam </w:t>
      </w:r>
      <w:r w:rsidRPr="00EB2FA5">
        <w:rPr>
          <w:rFonts w:asciiTheme="minorHAnsi" w:hAnsiTheme="minorHAnsi" w:cstheme="minorHAnsi"/>
          <w:sz w:val="22"/>
          <w:szCs w:val="22"/>
        </w:rPr>
        <w:t>vows to</w:t>
      </w:r>
      <w:r w:rsidR="00204D61" w:rsidRPr="00EB2FA5">
        <w:rPr>
          <w:rFonts w:asciiTheme="minorHAnsi" w:hAnsiTheme="minorHAnsi" w:cstheme="minorHAnsi"/>
          <w:sz w:val="22"/>
          <w:szCs w:val="22"/>
        </w:rPr>
        <w:t>:</w:t>
      </w:r>
    </w:p>
    <w:p w14:paraId="79B81F22" w14:textId="7F05D11C"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 xml:space="preserve">Maintain a commitment to honesty and integrity, refraining from any actions that could jeopardize the project or the team's </w:t>
      </w:r>
      <w:r w:rsidR="0094756A" w:rsidRPr="00EB2FA5">
        <w:rPr>
          <w:rFonts w:asciiTheme="minorHAnsi" w:hAnsiTheme="minorHAnsi" w:cstheme="minorHAnsi"/>
          <w:sz w:val="22"/>
          <w:szCs w:val="22"/>
        </w:rPr>
        <w:t>standing.</w:t>
      </w:r>
    </w:p>
    <w:p w14:paraId="4036F9AA" w14:textId="2B011B57" w:rsidR="00204D61" w:rsidRPr="00EB2FA5" w:rsidRDefault="00204D61" w:rsidP="0094756A">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 xml:space="preserve">Show respect for each team member's ideas, contributions, and feedback, fostering an atmosphere of trust and </w:t>
      </w:r>
      <w:r w:rsidR="0094756A" w:rsidRPr="00EB2FA5">
        <w:rPr>
          <w:rFonts w:asciiTheme="minorHAnsi" w:hAnsiTheme="minorHAnsi" w:cstheme="minorHAnsi"/>
          <w:sz w:val="22"/>
          <w:szCs w:val="22"/>
        </w:rPr>
        <w:t>cooperation.</w:t>
      </w:r>
    </w:p>
    <w:p w14:paraId="1814B7E4" w14:textId="77777777" w:rsidR="00204D61" w:rsidRPr="00EB2FA5" w:rsidRDefault="00204D61" w:rsidP="00204D61">
      <w:pPr>
        <w:numPr>
          <w:ilvl w:val="0"/>
          <w:numId w:val="1"/>
        </w:numPr>
        <w:spacing w:after="0" w:line="240" w:lineRule="auto"/>
        <w:rPr>
          <w:rFonts w:cstheme="minorHAnsi"/>
        </w:rPr>
      </w:pPr>
      <w:r w:rsidRPr="00EB2FA5">
        <w:rPr>
          <w:rFonts w:cstheme="minorHAnsi"/>
        </w:rPr>
        <w:t>Prioritize the team's objectives over individual interests, ensuring that decisions are made in the project's best interest.</w:t>
      </w:r>
    </w:p>
    <w:p w14:paraId="6EC48B06" w14:textId="77777777" w:rsidR="0094756A" w:rsidRPr="002F7EA9" w:rsidRDefault="00204D61" w:rsidP="00204D61">
      <w:pPr>
        <w:pStyle w:val="SHTB"/>
        <w:pBdr>
          <w:bottom w:val="none" w:sz="0" w:space="0" w:color="auto"/>
        </w:pBdr>
        <w:spacing w:line="240" w:lineRule="auto"/>
        <w:rPr>
          <w:rFonts w:asciiTheme="majorHAnsi" w:eastAsiaTheme="majorEastAsia" w:hAnsiTheme="majorHAnsi" w:cstheme="majorBidi"/>
          <w:b/>
          <w:bCs/>
          <w:color w:val="2F5496" w:themeColor="accent1" w:themeShade="BF"/>
          <w:sz w:val="28"/>
          <w:szCs w:val="28"/>
          <w:lang w:val="en-IN"/>
        </w:rPr>
      </w:pPr>
      <w:r w:rsidRPr="002F7EA9">
        <w:rPr>
          <w:rFonts w:asciiTheme="majorHAnsi" w:eastAsiaTheme="majorEastAsia" w:hAnsiTheme="majorHAnsi" w:cstheme="majorBidi"/>
          <w:b/>
          <w:bCs/>
          <w:color w:val="2F5496" w:themeColor="accent1" w:themeShade="BF"/>
          <w:sz w:val="28"/>
          <w:szCs w:val="28"/>
          <w:lang w:val="en-IN"/>
        </w:rPr>
        <w:t xml:space="preserve">Participation: </w:t>
      </w:r>
    </w:p>
    <w:p w14:paraId="6DDF6417" w14:textId="4A6D1ED8" w:rsidR="00204D61" w:rsidRPr="00EB2FA5" w:rsidRDefault="002F7EA9" w:rsidP="00204D61">
      <w:pPr>
        <w:pStyle w:val="SHTB"/>
        <w:pBdr>
          <w:bottom w:val="none" w:sz="0" w:space="0" w:color="auto"/>
        </w:pBdr>
        <w:spacing w:line="240" w:lineRule="auto"/>
        <w:rPr>
          <w:rFonts w:asciiTheme="minorHAnsi" w:hAnsiTheme="minorHAnsi" w:cstheme="minorHAnsi"/>
          <w:b/>
          <w:bCs/>
          <w:sz w:val="22"/>
          <w:szCs w:val="22"/>
        </w:rPr>
      </w:pPr>
      <w:r w:rsidRPr="00EB2FA5">
        <w:rPr>
          <w:rFonts w:asciiTheme="minorHAnsi" w:hAnsiTheme="minorHAnsi" w:cstheme="minorHAnsi"/>
          <w:sz w:val="22"/>
          <w:szCs w:val="22"/>
        </w:rPr>
        <w:t>The Project Team commits</w:t>
      </w:r>
      <w:r w:rsidR="00204D61" w:rsidRPr="00EB2FA5">
        <w:rPr>
          <w:rFonts w:asciiTheme="minorHAnsi" w:hAnsiTheme="minorHAnsi" w:cstheme="minorHAnsi"/>
          <w:sz w:val="22"/>
          <w:szCs w:val="22"/>
        </w:rPr>
        <w:t>:</w:t>
      </w:r>
    </w:p>
    <w:p w14:paraId="2E0FC463"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 xml:space="preserve">Make sure to participate and contribute </w:t>
      </w:r>
      <w:proofErr w:type="gramStart"/>
      <w:r w:rsidRPr="00EB2FA5">
        <w:rPr>
          <w:rFonts w:asciiTheme="minorHAnsi" w:hAnsiTheme="minorHAnsi" w:cstheme="minorHAnsi"/>
          <w:sz w:val="22"/>
          <w:szCs w:val="22"/>
        </w:rPr>
        <w:t>in</w:t>
      </w:r>
      <w:proofErr w:type="gramEnd"/>
      <w:r w:rsidRPr="00EB2FA5">
        <w:rPr>
          <w:rFonts w:asciiTheme="minorHAnsi" w:hAnsiTheme="minorHAnsi" w:cstheme="minorHAnsi"/>
          <w:sz w:val="22"/>
          <w:szCs w:val="22"/>
        </w:rPr>
        <w:t xml:space="preserve"> all team meetings, discussions, and activities, making everyone feel included.</w:t>
      </w:r>
    </w:p>
    <w:p w14:paraId="2DEDD186"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Always be on time and well prepared for meetings, completing any preparations beforehand.</w:t>
      </w:r>
    </w:p>
    <w:p w14:paraId="178BC711"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Inspire one another, understanding that each team member plays a role in the project's overall success.</w:t>
      </w:r>
    </w:p>
    <w:p w14:paraId="52C5818F" w14:textId="77777777" w:rsidR="0094756A" w:rsidRPr="002F7EA9" w:rsidRDefault="00204D61" w:rsidP="00204D61">
      <w:pPr>
        <w:pStyle w:val="SHTB"/>
        <w:pBdr>
          <w:bottom w:val="none" w:sz="0" w:space="0" w:color="auto"/>
        </w:pBdr>
        <w:spacing w:line="240" w:lineRule="auto"/>
        <w:rPr>
          <w:rFonts w:asciiTheme="majorHAnsi" w:eastAsiaTheme="majorEastAsia" w:hAnsiTheme="majorHAnsi" w:cstheme="majorBidi"/>
          <w:b/>
          <w:bCs/>
          <w:color w:val="2F5496" w:themeColor="accent1" w:themeShade="BF"/>
          <w:sz w:val="28"/>
          <w:szCs w:val="28"/>
          <w:lang w:val="en-IN"/>
        </w:rPr>
      </w:pPr>
      <w:r w:rsidRPr="002F7EA9">
        <w:rPr>
          <w:rFonts w:asciiTheme="majorHAnsi" w:eastAsiaTheme="majorEastAsia" w:hAnsiTheme="majorHAnsi" w:cstheme="majorBidi"/>
          <w:b/>
          <w:bCs/>
          <w:color w:val="2F5496" w:themeColor="accent1" w:themeShade="BF"/>
          <w:sz w:val="28"/>
          <w:szCs w:val="28"/>
          <w:lang w:val="en-IN"/>
        </w:rPr>
        <w:t xml:space="preserve">Communication: </w:t>
      </w:r>
    </w:p>
    <w:p w14:paraId="6860924B" w14:textId="5E656AC0" w:rsidR="00204D61" w:rsidRPr="00EB2FA5" w:rsidRDefault="002F7EA9" w:rsidP="00204D61">
      <w:pPr>
        <w:pStyle w:val="SHTB"/>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Th</w:t>
      </w:r>
      <w:r w:rsidR="00204D61" w:rsidRPr="00EB2FA5">
        <w:rPr>
          <w:rFonts w:asciiTheme="minorHAnsi" w:hAnsiTheme="minorHAnsi" w:cstheme="minorHAnsi"/>
          <w:sz w:val="22"/>
          <w:szCs w:val="22"/>
        </w:rPr>
        <w:t xml:space="preserve">e </w:t>
      </w:r>
      <w:r w:rsidRPr="00EB2FA5">
        <w:rPr>
          <w:rFonts w:asciiTheme="minorHAnsi" w:hAnsiTheme="minorHAnsi" w:cstheme="minorHAnsi"/>
          <w:sz w:val="22"/>
          <w:szCs w:val="22"/>
        </w:rPr>
        <w:t xml:space="preserve">Project Team </w:t>
      </w:r>
      <w:r w:rsidR="00204D61" w:rsidRPr="00EB2FA5">
        <w:rPr>
          <w:rFonts w:asciiTheme="minorHAnsi" w:hAnsiTheme="minorHAnsi" w:cstheme="minorHAnsi"/>
          <w:sz w:val="22"/>
          <w:szCs w:val="22"/>
        </w:rPr>
        <w:t>will</w:t>
      </w:r>
      <w:r w:rsidRPr="00EB2FA5">
        <w:rPr>
          <w:rFonts w:asciiTheme="minorHAnsi" w:hAnsiTheme="minorHAnsi" w:cstheme="minorHAnsi"/>
          <w:sz w:val="22"/>
          <w:szCs w:val="22"/>
        </w:rPr>
        <w:t xml:space="preserve"> make sure to</w:t>
      </w:r>
      <w:r w:rsidR="00204D61" w:rsidRPr="00EB2FA5">
        <w:rPr>
          <w:rFonts w:asciiTheme="minorHAnsi" w:hAnsiTheme="minorHAnsi" w:cstheme="minorHAnsi"/>
          <w:sz w:val="22"/>
          <w:szCs w:val="22"/>
        </w:rPr>
        <w:t>:</w:t>
      </w:r>
    </w:p>
    <w:p w14:paraId="5BD92D26"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Keep the lines of communication open, transparent, and clear to make sure that everyone on the team is aware of any updates, changes, or decisions.</w:t>
      </w:r>
    </w:p>
    <w:p w14:paraId="35A5E5D8"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lastRenderedPageBreak/>
        <w:t>Deal with conflicts or disagreements promptly and in a manner so they don't impede the project's advancement.</w:t>
      </w:r>
    </w:p>
    <w:p w14:paraId="386F5D8B"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Proactively seek feedback. Be open to using it as a means of improvement.</w:t>
      </w:r>
    </w:p>
    <w:p w14:paraId="236481AD" w14:textId="77777777" w:rsidR="00204D61" w:rsidRPr="00BD05C1" w:rsidRDefault="00204D61" w:rsidP="00204D61">
      <w:pPr>
        <w:pStyle w:val="SHTB"/>
        <w:pBdr>
          <w:bottom w:val="none" w:sz="0" w:space="0" w:color="auto"/>
        </w:pBdr>
        <w:spacing w:line="240" w:lineRule="auto"/>
        <w:rPr>
          <w:rFonts w:asciiTheme="minorHAnsi" w:hAnsiTheme="minorHAnsi" w:cstheme="minorHAnsi"/>
          <w:b/>
          <w:bCs/>
          <w:sz w:val="24"/>
        </w:rPr>
      </w:pPr>
    </w:p>
    <w:p w14:paraId="7ED6CE8A" w14:textId="77777777" w:rsidR="0094756A" w:rsidRPr="002F7EA9" w:rsidRDefault="00204D61" w:rsidP="00204D61">
      <w:pPr>
        <w:pStyle w:val="SHTB"/>
        <w:pBdr>
          <w:bottom w:val="none" w:sz="0" w:space="0" w:color="auto"/>
        </w:pBdr>
        <w:spacing w:line="240" w:lineRule="auto"/>
        <w:rPr>
          <w:rFonts w:asciiTheme="majorHAnsi" w:eastAsiaTheme="majorEastAsia" w:hAnsiTheme="majorHAnsi" w:cstheme="majorBidi"/>
          <w:b/>
          <w:bCs/>
          <w:color w:val="2F5496" w:themeColor="accent1" w:themeShade="BF"/>
          <w:sz w:val="28"/>
          <w:szCs w:val="28"/>
          <w:lang w:val="en-IN"/>
        </w:rPr>
      </w:pPr>
      <w:r w:rsidRPr="002F7EA9">
        <w:rPr>
          <w:rFonts w:asciiTheme="majorHAnsi" w:eastAsiaTheme="majorEastAsia" w:hAnsiTheme="majorHAnsi" w:cstheme="majorBidi"/>
          <w:b/>
          <w:bCs/>
          <w:color w:val="2F5496" w:themeColor="accent1" w:themeShade="BF"/>
          <w:sz w:val="28"/>
          <w:szCs w:val="28"/>
          <w:lang w:val="en-IN"/>
        </w:rPr>
        <w:t xml:space="preserve">Problem Solving: </w:t>
      </w:r>
    </w:p>
    <w:p w14:paraId="61CF9E11" w14:textId="6348CAC0" w:rsidR="00204D61" w:rsidRPr="00EB2FA5" w:rsidRDefault="002F7EA9" w:rsidP="00204D61">
      <w:pPr>
        <w:pStyle w:val="SHTB"/>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The Project Team</w:t>
      </w:r>
      <w:r w:rsidR="00204D61" w:rsidRPr="00EB2FA5">
        <w:rPr>
          <w:rFonts w:asciiTheme="minorHAnsi" w:hAnsiTheme="minorHAnsi" w:cstheme="minorHAnsi"/>
          <w:sz w:val="22"/>
          <w:szCs w:val="22"/>
        </w:rPr>
        <w:t xml:space="preserve"> </w:t>
      </w:r>
      <w:r w:rsidRPr="00EB2FA5">
        <w:rPr>
          <w:rFonts w:asciiTheme="minorHAnsi" w:hAnsiTheme="minorHAnsi" w:cstheme="minorHAnsi"/>
          <w:sz w:val="22"/>
          <w:szCs w:val="22"/>
        </w:rPr>
        <w:t>aspires to</w:t>
      </w:r>
      <w:r w:rsidR="00204D61" w:rsidRPr="00EB2FA5">
        <w:rPr>
          <w:rFonts w:asciiTheme="minorHAnsi" w:hAnsiTheme="minorHAnsi" w:cstheme="minorHAnsi"/>
          <w:sz w:val="22"/>
          <w:szCs w:val="22"/>
        </w:rPr>
        <w:t>:</w:t>
      </w:r>
    </w:p>
    <w:p w14:paraId="74EFD24E"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Approach challenges with a solution-oriented mindset, focusing on finding the best possible solution rather than assigning blame.</w:t>
      </w:r>
    </w:p>
    <w:p w14:paraId="2F63FC43"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Collaborate and brainstorm collectively, leveraging the diverse skills and perspectives of the team.</w:t>
      </w:r>
    </w:p>
    <w:p w14:paraId="29D16EFB"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Document and review lessons learned from challenges faced, ensuring the continuous growth and development of the team.</w:t>
      </w:r>
    </w:p>
    <w:p w14:paraId="1CCDE4A6" w14:textId="77777777" w:rsidR="0094756A" w:rsidRPr="0094756A" w:rsidRDefault="0094756A" w:rsidP="0094756A">
      <w:pPr>
        <w:rPr>
          <w:lang w:val="en-US"/>
        </w:rPr>
      </w:pPr>
    </w:p>
    <w:p w14:paraId="395C56A9" w14:textId="77777777" w:rsidR="0094756A" w:rsidRPr="002F7EA9" w:rsidRDefault="00204D61" w:rsidP="00204D61">
      <w:pPr>
        <w:pStyle w:val="SHTB"/>
        <w:pBdr>
          <w:bottom w:val="none" w:sz="0" w:space="0" w:color="auto"/>
        </w:pBdr>
        <w:spacing w:line="240" w:lineRule="auto"/>
        <w:rPr>
          <w:rFonts w:asciiTheme="majorHAnsi" w:eastAsiaTheme="majorEastAsia" w:hAnsiTheme="majorHAnsi" w:cstheme="majorBidi"/>
          <w:b/>
          <w:bCs/>
          <w:color w:val="2F5496" w:themeColor="accent1" w:themeShade="BF"/>
          <w:sz w:val="28"/>
          <w:szCs w:val="28"/>
          <w:lang w:val="en-IN"/>
        </w:rPr>
      </w:pPr>
      <w:r w:rsidRPr="002F7EA9">
        <w:rPr>
          <w:rFonts w:asciiTheme="majorHAnsi" w:eastAsiaTheme="majorEastAsia" w:hAnsiTheme="majorHAnsi" w:cstheme="majorBidi"/>
          <w:b/>
          <w:bCs/>
          <w:color w:val="2F5496" w:themeColor="accent1" w:themeShade="BF"/>
          <w:sz w:val="28"/>
          <w:szCs w:val="28"/>
          <w:lang w:val="en-IN"/>
        </w:rPr>
        <w:t xml:space="preserve">Meeting Guidelines: </w:t>
      </w:r>
    </w:p>
    <w:p w14:paraId="629B6873" w14:textId="3D89C18B" w:rsidR="00204D61" w:rsidRPr="00EB2FA5" w:rsidRDefault="002F7EA9" w:rsidP="00204D61">
      <w:pPr>
        <w:pStyle w:val="SHTB"/>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The Project Team agrees to</w:t>
      </w:r>
      <w:r w:rsidR="00204D61" w:rsidRPr="00EB2FA5">
        <w:rPr>
          <w:rFonts w:asciiTheme="minorHAnsi" w:hAnsiTheme="minorHAnsi" w:cstheme="minorHAnsi"/>
          <w:sz w:val="22"/>
          <w:szCs w:val="22"/>
        </w:rPr>
        <w:t>:</w:t>
      </w:r>
    </w:p>
    <w:p w14:paraId="7F02F8BD"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Stick to the pre-defined agenda for every meeting, ensuring that discussions remain focused and productive.</w:t>
      </w:r>
    </w:p>
    <w:p w14:paraId="300D5941"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Designate a meeting facilitator and note-taker for each meeting to ensure structure and documentation.</w:t>
      </w:r>
    </w:p>
    <w:p w14:paraId="0B25F05A" w14:textId="77777777" w:rsidR="00204D61" w:rsidRPr="00EB2FA5" w:rsidRDefault="00204D61" w:rsidP="00204D61">
      <w:pPr>
        <w:pStyle w:val="SHTB"/>
        <w:numPr>
          <w:ilvl w:val="0"/>
          <w:numId w:val="1"/>
        </w:numPr>
        <w:pBdr>
          <w:bottom w:val="none" w:sz="0" w:space="0" w:color="auto"/>
        </w:pBdr>
        <w:spacing w:line="240" w:lineRule="auto"/>
        <w:rPr>
          <w:rFonts w:asciiTheme="minorHAnsi" w:hAnsiTheme="minorHAnsi" w:cstheme="minorHAnsi"/>
          <w:sz w:val="22"/>
          <w:szCs w:val="22"/>
        </w:rPr>
      </w:pPr>
      <w:r w:rsidRPr="00EB2FA5">
        <w:rPr>
          <w:rFonts w:asciiTheme="minorHAnsi" w:hAnsiTheme="minorHAnsi" w:cstheme="minorHAnsi"/>
          <w:sz w:val="22"/>
          <w:szCs w:val="22"/>
        </w:rPr>
        <w:t>Respect each other's speaking time, avoid interruptions, and ensure every voice is heard.</w:t>
      </w:r>
    </w:p>
    <w:p w14:paraId="0AA16334" w14:textId="77777777" w:rsidR="00D111FD" w:rsidRDefault="00D111FD" w:rsidP="00D111FD">
      <w:pPr>
        <w:shd w:val="clear" w:color="auto" w:fill="FFFFFF" w:themeFill="background1"/>
        <w:ind w:left="360"/>
        <w:rPr>
          <w:rFonts w:cstheme="minorHAnsi"/>
          <w:color w:val="000000" w:themeColor="text1"/>
          <w:lang w:val="en-US"/>
        </w:rPr>
      </w:pPr>
    </w:p>
    <w:p w14:paraId="3FB33001" w14:textId="77777777" w:rsidR="00E95A48" w:rsidRDefault="00E95A48" w:rsidP="00D111FD">
      <w:pPr>
        <w:shd w:val="clear" w:color="auto" w:fill="FFFFFF" w:themeFill="background1"/>
        <w:ind w:left="360"/>
        <w:rPr>
          <w:rFonts w:cstheme="minorHAnsi"/>
          <w:color w:val="000000" w:themeColor="text1"/>
          <w:lang w:val="en-US"/>
        </w:rPr>
      </w:pPr>
    </w:p>
    <w:p w14:paraId="7C3334F3" w14:textId="77777777" w:rsidR="00E95A48" w:rsidRDefault="00E95A48" w:rsidP="00D111FD">
      <w:pPr>
        <w:shd w:val="clear" w:color="auto" w:fill="FFFFFF" w:themeFill="background1"/>
        <w:ind w:left="360"/>
        <w:rPr>
          <w:rFonts w:cstheme="minorHAnsi"/>
          <w:color w:val="000000" w:themeColor="text1"/>
          <w:lang w:val="en-US"/>
        </w:rPr>
      </w:pPr>
    </w:p>
    <w:p w14:paraId="6D2D7009" w14:textId="77777777" w:rsidR="00E95A48" w:rsidRDefault="00E95A48" w:rsidP="00D111FD">
      <w:pPr>
        <w:shd w:val="clear" w:color="auto" w:fill="FFFFFF" w:themeFill="background1"/>
        <w:ind w:left="360"/>
        <w:rPr>
          <w:rFonts w:cstheme="minorHAnsi"/>
          <w:color w:val="000000" w:themeColor="text1"/>
          <w:lang w:val="en-US"/>
        </w:rPr>
      </w:pPr>
    </w:p>
    <w:p w14:paraId="61AF3DBE" w14:textId="77777777" w:rsidR="00E95A48" w:rsidRDefault="00E95A48" w:rsidP="00D111FD">
      <w:pPr>
        <w:shd w:val="clear" w:color="auto" w:fill="FFFFFF" w:themeFill="background1"/>
        <w:ind w:left="360"/>
        <w:rPr>
          <w:rFonts w:cstheme="minorHAnsi"/>
          <w:color w:val="000000" w:themeColor="text1"/>
          <w:lang w:val="en-US"/>
        </w:rPr>
      </w:pPr>
    </w:p>
    <w:p w14:paraId="35B11FC6" w14:textId="77777777" w:rsidR="00E95A48" w:rsidRDefault="00E95A48" w:rsidP="00D111FD">
      <w:pPr>
        <w:shd w:val="clear" w:color="auto" w:fill="FFFFFF" w:themeFill="background1"/>
        <w:ind w:left="360"/>
        <w:rPr>
          <w:rFonts w:cstheme="minorHAnsi"/>
          <w:color w:val="000000" w:themeColor="text1"/>
          <w:lang w:val="en-US"/>
        </w:rPr>
      </w:pPr>
    </w:p>
    <w:p w14:paraId="54D3904F" w14:textId="77777777" w:rsidR="00E95A48" w:rsidRDefault="00E95A48" w:rsidP="00D111FD">
      <w:pPr>
        <w:shd w:val="clear" w:color="auto" w:fill="FFFFFF" w:themeFill="background1"/>
        <w:ind w:left="360"/>
        <w:rPr>
          <w:rFonts w:cstheme="minorHAnsi"/>
          <w:color w:val="000000" w:themeColor="text1"/>
          <w:lang w:val="en-US"/>
        </w:rPr>
      </w:pPr>
    </w:p>
    <w:p w14:paraId="599CB4AE" w14:textId="77777777" w:rsidR="00E95A48" w:rsidRDefault="00E95A48" w:rsidP="00D111FD">
      <w:pPr>
        <w:shd w:val="clear" w:color="auto" w:fill="FFFFFF" w:themeFill="background1"/>
        <w:ind w:left="360"/>
        <w:rPr>
          <w:rFonts w:cstheme="minorHAnsi"/>
          <w:color w:val="000000" w:themeColor="text1"/>
          <w:lang w:val="en-US"/>
        </w:rPr>
      </w:pPr>
    </w:p>
    <w:p w14:paraId="1C9DFFBC" w14:textId="77777777" w:rsidR="00E95A48" w:rsidRDefault="00E95A48" w:rsidP="00D111FD">
      <w:pPr>
        <w:shd w:val="clear" w:color="auto" w:fill="FFFFFF" w:themeFill="background1"/>
        <w:ind w:left="360"/>
        <w:rPr>
          <w:rFonts w:cstheme="minorHAnsi"/>
          <w:color w:val="000000" w:themeColor="text1"/>
          <w:lang w:val="en-US"/>
        </w:rPr>
      </w:pPr>
    </w:p>
    <w:p w14:paraId="6CB20675" w14:textId="77777777" w:rsidR="00E95A48" w:rsidRDefault="00E95A48" w:rsidP="00D111FD">
      <w:pPr>
        <w:shd w:val="clear" w:color="auto" w:fill="FFFFFF" w:themeFill="background1"/>
        <w:ind w:left="360"/>
        <w:rPr>
          <w:rFonts w:cstheme="minorHAnsi"/>
          <w:color w:val="000000" w:themeColor="text1"/>
          <w:lang w:val="en-US"/>
        </w:rPr>
      </w:pPr>
    </w:p>
    <w:p w14:paraId="38E14656" w14:textId="77777777" w:rsidR="00E95A48" w:rsidRDefault="00E95A48" w:rsidP="00D111FD">
      <w:pPr>
        <w:shd w:val="clear" w:color="auto" w:fill="FFFFFF" w:themeFill="background1"/>
        <w:ind w:left="360"/>
        <w:rPr>
          <w:rFonts w:cstheme="minorHAnsi"/>
          <w:color w:val="000000" w:themeColor="text1"/>
          <w:lang w:val="en-US"/>
        </w:rPr>
      </w:pPr>
    </w:p>
    <w:p w14:paraId="7A9C9900" w14:textId="77777777" w:rsidR="00797A8F" w:rsidRDefault="00797A8F" w:rsidP="004730B6">
      <w:pPr>
        <w:shd w:val="clear" w:color="auto" w:fill="FFFFFF" w:themeFill="background1"/>
        <w:rPr>
          <w:rFonts w:cstheme="minorHAnsi"/>
          <w:color w:val="000000" w:themeColor="text1"/>
          <w:lang w:val="en-US"/>
        </w:rPr>
      </w:pPr>
    </w:p>
    <w:p w14:paraId="3B56D2A5" w14:textId="77777777" w:rsidR="00477228" w:rsidRDefault="00477228" w:rsidP="00477228">
      <w:pPr>
        <w:pStyle w:val="Heading1"/>
        <w:rPr>
          <w:b/>
          <w:bCs/>
        </w:rPr>
      </w:pPr>
    </w:p>
    <w:p w14:paraId="3E90ECCD" w14:textId="77777777" w:rsidR="00477228" w:rsidRDefault="00477228" w:rsidP="00477228">
      <w:pPr>
        <w:rPr>
          <w:lang w:val="en-US"/>
        </w:rPr>
      </w:pPr>
    </w:p>
    <w:p w14:paraId="23DA8205" w14:textId="77777777" w:rsidR="00477228" w:rsidRPr="00477228" w:rsidRDefault="00477228" w:rsidP="00477228">
      <w:pPr>
        <w:rPr>
          <w:lang w:val="en-US"/>
        </w:rPr>
      </w:pPr>
    </w:p>
    <w:p w14:paraId="06012A91" w14:textId="2BB78ADC" w:rsidR="009B683A" w:rsidRPr="00682FF5" w:rsidRDefault="009B683A" w:rsidP="00682FF5">
      <w:pPr>
        <w:pStyle w:val="Heading1"/>
        <w:jc w:val="center"/>
        <w:rPr>
          <w:b/>
          <w:bCs/>
        </w:rPr>
      </w:pPr>
      <w:bookmarkStart w:id="7" w:name="_Toc145702355"/>
      <w:r w:rsidRPr="00682FF5">
        <w:rPr>
          <w:b/>
          <w:bCs/>
        </w:rPr>
        <w:lastRenderedPageBreak/>
        <w:t>Overview</w:t>
      </w:r>
      <w:bookmarkEnd w:id="7"/>
    </w:p>
    <w:p w14:paraId="454F71D8" w14:textId="77777777" w:rsidR="00682FF5" w:rsidRPr="00682FF5" w:rsidRDefault="00682FF5" w:rsidP="00682FF5"/>
    <w:p w14:paraId="79173964" w14:textId="77777777" w:rsidR="009B683A" w:rsidRPr="00EB2FA5" w:rsidRDefault="009B683A" w:rsidP="009B683A">
      <w:pPr>
        <w:jc w:val="both"/>
        <w:rPr>
          <w:rFonts w:cstheme="minorHAnsi"/>
        </w:rPr>
      </w:pPr>
      <w:r w:rsidRPr="00EB2FA5">
        <w:rPr>
          <w:rFonts w:cstheme="minorHAnsi"/>
        </w:rPr>
        <w:t xml:space="preserve">The Bank of Nova Scotia, known as Scotiabank, is one of the leading banks in Canada, with its headquarters in Toronto, Ontario. Scotiabank is the third-largest Canadian bank in terms of market capitalization and deposits. The bank offers a variety of products and services comprising personal banking, commercial banking, wealth management, and investment banking. Operating in four lines of business, Scotiabank has over 90,000 employees and trades on the Toronto Stock Exchange (TSX: BNS) and the New York Stock Exchange (NYSE: BNS) </w:t>
      </w:r>
      <w:bookmarkStart w:id="8" w:name="_Hlk145455791"/>
      <w:r w:rsidRPr="00EB2FA5">
        <w:rPr>
          <w:rFonts w:cstheme="minorHAnsi"/>
        </w:rPr>
        <w:t>(Scotiabank, n.d., para. 1).</w:t>
      </w:r>
    </w:p>
    <w:p w14:paraId="0B01B954" w14:textId="77777777" w:rsidR="009B683A" w:rsidRPr="00EB2FA5" w:rsidRDefault="009B683A" w:rsidP="009B683A">
      <w:pPr>
        <w:jc w:val="both"/>
        <w:rPr>
          <w:rFonts w:cstheme="minorHAnsi"/>
        </w:rPr>
      </w:pPr>
      <w:r w:rsidRPr="00EB2FA5">
        <w:rPr>
          <w:rFonts w:cstheme="minorHAnsi"/>
        </w:rPr>
        <w:t xml:space="preserve">On February 1, 2023, Scott Thomson became Scotiabank's Chief Executive Officer and President (Scotiabank, n.d.). </w:t>
      </w:r>
    </w:p>
    <w:p w14:paraId="5C2F72B4" w14:textId="77777777" w:rsidR="009B683A" w:rsidRPr="00EB2FA5" w:rsidRDefault="009B683A" w:rsidP="009B683A">
      <w:pPr>
        <w:jc w:val="both"/>
        <w:rPr>
          <w:rFonts w:cstheme="minorHAnsi"/>
        </w:rPr>
      </w:pPr>
      <w:r w:rsidRPr="00EB2FA5">
        <w:rPr>
          <w:rFonts w:cstheme="minorHAnsi"/>
        </w:rPr>
        <w:t xml:space="preserve">Scotiabank made a mark in digital banking by receiving the Digital Transformation Award 2023 for developing Scotiabank's AI-driven chatbot (Scotiabank, 2022, p. 7). The bank was also awarded Digital Bank of the Year for Latin America and the Caribbean 2022 (Scotiabank, 2022, p. 7). </w:t>
      </w:r>
    </w:p>
    <w:bookmarkEnd w:id="8"/>
    <w:p w14:paraId="23503D28" w14:textId="77777777" w:rsidR="009B683A" w:rsidRPr="00EB2FA5" w:rsidRDefault="009B683A" w:rsidP="009B683A">
      <w:pPr>
        <w:jc w:val="both"/>
        <w:rPr>
          <w:rFonts w:cstheme="minorHAnsi"/>
        </w:rPr>
      </w:pPr>
      <w:r w:rsidRPr="00EB2FA5">
        <w:rPr>
          <w:rFonts w:cstheme="minorHAnsi"/>
        </w:rPr>
        <w:t>Scotiabank has four major lines of business:</w:t>
      </w:r>
    </w:p>
    <w:p w14:paraId="5846F23C" w14:textId="4352F10E" w:rsidR="009B683A" w:rsidRPr="00E03F2E" w:rsidRDefault="009B683A" w:rsidP="00D74235">
      <w:pPr>
        <w:pStyle w:val="SHTB"/>
        <w:numPr>
          <w:ilvl w:val="0"/>
          <w:numId w:val="42"/>
        </w:numPr>
        <w:pBdr>
          <w:bottom w:val="none" w:sz="0" w:space="0" w:color="auto"/>
        </w:pBdr>
        <w:spacing w:line="240" w:lineRule="auto"/>
        <w:rPr>
          <w:rFonts w:asciiTheme="majorHAnsi" w:eastAsiaTheme="majorEastAsia" w:hAnsiTheme="majorHAnsi" w:cstheme="majorBidi"/>
          <w:b/>
          <w:bCs/>
          <w:color w:val="2F5496" w:themeColor="accent1" w:themeShade="BF"/>
          <w:sz w:val="24"/>
          <w:szCs w:val="24"/>
          <w:lang w:val="en-IN"/>
        </w:rPr>
      </w:pPr>
      <w:r w:rsidRPr="00E03F2E">
        <w:rPr>
          <w:rFonts w:asciiTheme="majorHAnsi" w:eastAsiaTheme="majorEastAsia" w:hAnsiTheme="majorHAnsi" w:cstheme="majorBidi"/>
          <w:b/>
          <w:bCs/>
          <w:color w:val="2F5496" w:themeColor="accent1" w:themeShade="BF"/>
          <w:sz w:val="24"/>
          <w:szCs w:val="24"/>
          <w:lang w:val="en-IN"/>
        </w:rPr>
        <w:t xml:space="preserve">Canadian Banking     </w:t>
      </w:r>
    </w:p>
    <w:p w14:paraId="65F4FF99" w14:textId="77777777" w:rsidR="00A31535" w:rsidRPr="00A31535" w:rsidRDefault="00A31535" w:rsidP="00A31535">
      <w:pPr>
        <w:spacing w:after="0" w:line="240" w:lineRule="auto"/>
      </w:pPr>
    </w:p>
    <w:p w14:paraId="34C7C54F" w14:textId="77777777" w:rsidR="009B683A" w:rsidRPr="00EB2FA5" w:rsidRDefault="009B683A" w:rsidP="002F7EA9">
      <w:pPr>
        <w:pStyle w:val="ListParagraph"/>
        <w:ind w:left="360"/>
        <w:jc w:val="both"/>
        <w:rPr>
          <w:rFonts w:cstheme="minorHAnsi"/>
        </w:rPr>
      </w:pPr>
      <w:r w:rsidRPr="00EB2FA5">
        <w:rPr>
          <w:rFonts w:cstheme="minorHAnsi"/>
        </w:rPr>
        <w:t xml:space="preserve">Driven by the purpose: "For every future," Scotiabank is committed to serving customers by providing numerous banking solutions. The Canadian Banking business at Scotiabank offers financial advice, banking products, and services to retail, small business, and commercial banking customers (Scotiabank, n.d., para. 6).       </w:t>
      </w:r>
    </w:p>
    <w:p w14:paraId="6EE9358C" w14:textId="77777777" w:rsidR="009B683A" w:rsidRPr="00EB2FA5" w:rsidRDefault="009B683A" w:rsidP="002F7EA9">
      <w:pPr>
        <w:pStyle w:val="ListParagraph"/>
        <w:ind w:left="360"/>
        <w:jc w:val="both"/>
        <w:rPr>
          <w:rFonts w:cstheme="minorHAnsi"/>
        </w:rPr>
      </w:pPr>
    </w:p>
    <w:p w14:paraId="4C4FB5DE" w14:textId="11705371" w:rsidR="009B683A" w:rsidRPr="00EB2FA5" w:rsidRDefault="009B683A" w:rsidP="002F7EA9">
      <w:pPr>
        <w:pStyle w:val="ListParagraph"/>
        <w:ind w:left="360"/>
        <w:jc w:val="both"/>
        <w:rPr>
          <w:rFonts w:cstheme="minorHAnsi"/>
        </w:rPr>
      </w:pPr>
      <w:r w:rsidRPr="00EB2FA5">
        <w:rPr>
          <w:rFonts w:cstheme="minorHAnsi"/>
        </w:rPr>
        <w:t xml:space="preserve">Retail banking involves financial services, solutions, and products like debit cards, credit cards, mortgages, chequing accounts, personal loans, and automotive financial solutions (Scotiabank, n.d., para. 7). Tangerine Bank, a subsidiary of Scotiabank, serves self-directed customers by providing banking solutions, including debit and credit cards, mortgages, loans, chequing, and savings accounts (Scotiabank, n.d., para. 7). Business banking aids small, medium, and large businesses by providing them financial services such as lending, deposit, and trade solutions. </w:t>
      </w:r>
    </w:p>
    <w:p w14:paraId="2900F299" w14:textId="77777777" w:rsidR="009B683A" w:rsidRPr="00E03F2E" w:rsidRDefault="009B683A" w:rsidP="00D74235">
      <w:pPr>
        <w:pStyle w:val="SHTB"/>
        <w:numPr>
          <w:ilvl w:val="0"/>
          <w:numId w:val="42"/>
        </w:numPr>
        <w:pBdr>
          <w:bottom w:val="none" w:sz="0" w:space="0" w:color="auto"/>
        </w:pBdr>
        <w:spacing w:line="240" w:lineRule="auto"/>
        <w:rPr>
          <w:rFonts w:asciiTheme="majorHAnsi" w:eastAsiaTheme="majorEastAsia" w:hAnsiTheme="majorHAnsi" w:cstheme="majorBidi"/>
          <w:b/>
          <w:bCs/>
          <w:color w:val="2F5496" w:themeColor="accent1" w:themeShade="BF"/>
          <w:sz w:val="24"/>
          <w:szCs w:val="24"/>
          <w:lang w:val="en-IN"/>
        </w:rPr>
      </w:pPr>
      <w:r w:rsidRPr="00E03F2E">
        <w:rPr>
          <w:rFonts w:asciiTheme="majorHAnsi" w:eastAsiaTheme="majorEastAsia" w:hAnsiTheme="majorHAnsi" w:cstheme="majorBidi"/>
          <w:b/>
          <w:bCs/>
          <w:color w:val="2F5496" w:themeColor="accent1" w:themeShade="BF"/>
          <w:sz w:val="24"/>
          <w:szCs w:val="24"/>
          <w:lang w:val="en-IN"/>
        </w:rPr>
        <w:t xml:space="preserve">Global Wealth Management </w:t>
      </w:r>
    </w:p>
    <w:p w14:paraId="24678F1B" w14:textId="77777777" w:rsidR="009B683A" w:rsidRPr="006774FF" w:rsidRDefault="009B683A" w:rsidP="009B683A">
      <w:pPr>
        <w:pStyle w:val="ListParagraph"/>
        <w:jc w:val="both"/>
        <w:rPr>
          <w:rFonts w:cstheme="minorHAnsi"/>
        </w:rPr>
      </w:pPr>
    </w:p>
    <w:p w14:paraId="2AD624C0" w14:textId="751B3115" w:rsidR="009B683A" w:rsidRPr="00EB2FA5" w:rsidRDefault="009B683A" w:rsidP="002F7EA9">
      <w:pPr>
        <w:pStyle w:val="ListParagraph"/>
        <w:ind w:left="360"/>
        <w:jc w:val="both"/>
        <w:rPr>
          <w:rFonts w:cstheme="minorHAnsi"/>
        </w:rPr>
      </w:pPr>
      <w:r w:rsidRPr="00EB2FA5">
        <w:rPr>
          <w:rFonts w:cstheme="minorHAnsi"/>
        </w:rPr>
        <w:t xml:space="preserve">The business of Global Wealth Management at Scotiabank offers comprehensive solutions and advice, aiming at strengthening investment results in a personalized manner to achieve maximum customer satisfaction (Scotiabank, n.d., para. 11). Global Wealth Management serves clients in thirteen countries (Scotiabank, n.d., para. 12). </w:t>
      </w:r>
    </w:p>
    <w:p w14:paraId="744C95D7" w14:textId="77777777" w:rsidR="009B683A" w:rsidRPr="00E03F2E" w:rsidRDefault="009B683A" w:rsidP="00D74235">
      <w:pPr>
        <w:pStyle w:val="SHTB"/>
        <w:numPr>
          <w:ilvl w:val="0"/>
          <w:numId w:val="42"/>
        </w:numPr>
        <w:pBdr>
          <w:bottom w:val="none" w:sz="0" w:space="0" w:color="auto"/>
        </w:pBdr>
        <w:spacing w:line="240" w:lineRule="auto"/>
        <w:rPr>
          <w:rFonts w:asciiTheme="majorHAnsi" w:eastAsiaTheme="majorEastAsia" w:hAnsiTheme="majorHAnsi" w:cstheme="majorBidi"/>
          <w:b/>
          <w:bCs/>
          <w:color w:val="2F5496" w:themeColor="accent1" w:themeShade="BF"/>
          <w:sz w:val="24"/>
          <w:szCs w:val="24"/>
          <w:lang w:val="en-IN"/>
        </w:rPr>
      </w:pPr>
      <w:r w:rsidRPr="00E03F2E">
        <w:rPr>
          <w:rFonts w:asciiTheme="majorHAnsi" w:eastAsiaTheme="majorEastAsia" w:hAnsiTheme="majorHAnsi" w:cstheme="majorBidi"/>
          <w:b/>
          <w:bCs/>
          <w:color w:val="2F5496" w:themeColor="accent1" w:themeShade="BF"/>
          <w:sz w:val="24"/>
          <w:szCs w:val="24"/>
          <w:lang w:val="en-IN"/>
        </w:rPr>
        <w:t>International Banking</w:t>
      </w:r>
    </w:p>
    <w:p w14:paraId="391D4CDF" w14:textId="77777777" w:rsidR="009B683A" w:rsidRPr="006774FF" w:rsidRDefault="009B683A" w:rsidP="009B683A">
      <w:pPr>
        <w:pStyle w:val="ListParagraph"/>
        <w:jc w:val="both"/>
        <w:rPr>
          <w:rFonts w:cstheme="minorHAnsi"/>
        </w:rPr>
      </w:pPr>
    </w:p>
    <w:p w14:paraId="341AD2EA" w14:textId="77777777" w:rsidR="009B683A" w:rsidRPr="00EB2FA5" w:rsidRDefault="009B683A" w:rsidP="0032676C">
      <w:pPr>
        <w:ind w:left="360"/>
        <w:rPr>
          <w:rFonts w:cstheme="minorHAnsi"/>
        </w:rPr>
      </w:pPr>
      <w:r w:rsidRPr="00EB2FA5">
        <w:rPr>
          <w:rFonts w:cstheme="minorHAnsi"/>
        </w:rPr>
        <w:t xml:space="preserve">Scotiabank's International Banking is diverse in that it serves a complete range of financial services and products to retail, corporate, and commercial across several countries (Scotiabank, 2023, para. 13). The client base comprises: </w:t>
      </w:r>
    </w:p>
    <w:p w14:paraId="041A34ED" w14:textId="77777777" w:rsidR="009B683A" w:rsidRPr="00EB2FA5" w:rsidRDefault="009B683A" w:rsidP="00D74235">
      <w:pPr>
        <w:pStyle w:val="ListParagraph"/>
        <w:numPr>
          <w:ilvl w:val="0"/>
          <w:numId w:val="23"/>
        </w:numPr>
        <w:spacing w:after="3" w:line="271" w:lineRule="auto"/>
        <w:rPr>
          <w:rFonts w:cstheme="minorHAnsi"/>
          <w:i/>
          <w:iCs/>
        </w:rPr>
      </w:pPr>
      <w:r w:rsidRPr="00EB2FA5">
        <w:rPr>
          <w:rFonts w:cstheme="minorHAnsi"/>
          <w:i/>
          <w:iCs/>
        </w:rPr>
        <w:t>The Pacific Alliance countries – Mexico, Chile, Peru, and Columbia.</w:t>
      </w:r>
    </w:p>
    <w:p w14:paraId="7C6D1A5F" w14:textId="77777777" w:rsidR="009B683A" w:rsidRPr="00EB2FA5" w:rsidRDefault="009B683A" w:rsidP="00D74235">
      <w:pPr>
        <w:pStyle w:val="ListParagraph"/>
        <w:numPr>
          <w:ilvl w:val="0"/>
          <w:numId w:val="23"/>
        </w:numPr>
        <w:spacing w:after="3" w:line="271" w:lineRule="auto"/>
        <w:rPr>
          <w:rFonts w:cstheme="minorHAnsi"/>
          <w:i/>
          <w:iCs/>
        </w:rPr>
      </w:pPr>
      <w:r w:rsidRPr="00EB2FA5">
        <w:rPr>
          <w:rFonts w:cstheme="minorHAnsi"/>
          <w:i/>
          <w:iCs/>
        </w:rPr>
        <w:t>Central America</w:t>
      </w:r>
    </w:p>
    <w:p w14:paraId="0099AA26" w14:textId="77777777" w:rsidR="009B683A" w:rsidRPr="00EB2FA5" w:rsidRDefault="009B683A" w:rsidP="00D74235">
      <w:pPr>
        <w:pStyle w:val="ListParagraph"/>
        <w:numPr>
          <w:ilvl w:val="0"/>
          <w:numId w:val="23"/>
        </w:numPr>
        <w:spacing w:after="3" w:line="271" w:lineRule="auto"/>
        <w:rPr>
          <w:rFonts w:cstheme="minorHAnsi"/>
          <w:i/>
          <w:iCs/>
        </w:rPr>
      </w:pPr>
      <w:r w:rsidRPr="00EB2FA5">
        <w:rPr>
          <w:rFonts w:cstheme="minorHAnsi"/>
          <w:i/>
          <w:iCs/>
        </w:rPr>
        <w:t>Caribbean</w:t>
      </w:r>
    </w:p>
    <w:p w14:paraId="22211C31" w14:textId="77777777" w:rsidR="009B683A" w:rsidRPr="00EB2FA5" w:rsidRDefault="009B683A" w:rsidP="00D74235">
      <w:pPr>
        <w:pStyle w:val="ListParagraph"/>
        <w:numPr>
          <w:ilvl w:val="0"/>
          <w:numId w:val="23"/>
        </w:numPr>
        <w:spacing w:after="3" w:line="271" w:lineRule="auto"/>
        <w:rPr>
          <w:rFonts w:cstheme="minorHAnsi"/>
          <w:i/>
          <w:iCs/>
        </w:rPr>
      </w:pPr>
      <w:r w:rsidRPr="00EB2FA5">
        <w:rPr>
          <w:rFonts w:cstheme="minorHAnsi"/>
          <w:i/>
          <w:iCs/>
        </w:rPr>
        <w:t>Uruguay</w:t>
      </w:r>
    </w:p>
    <w:p w14:paraId="11DF6017" w14:textId="267FB1F7" w:rsidR="009B683A" w:rsidRPr="00EB2FA5" w:rsidRDefault="009B683A" w:rsidP="0032676C">
      <w:pPr>
        <w:ind w:firstLine="360"/>
        <w:rPr>
          <w:rFonts w:cstheme="minorHAnsi"/>
        </w:rPr>
      </w:pPr>
      <w:r w:rsidRPr="00EB2FA5">
        <w:rPr>
          <w:rFonts w:cstheme="minorHAnsi"/>
        </w:rPr>
        <w:t>(Scotiabank, n.d., para. 13)</w:t>
      </w:r>
    </w:p>
    <w:p w14:paraId="41761E42" w14:textId="7AA07206" w:rsidR="009B683A" w:rsidRPr="00E03F2E" w:rsidRDefault="009B683A" w:rsidP="00D74235">
      <w:pPr>
        <w:pStyle w:val="SHTB"/>
        <w:numPr>
          <w:ilvl w:val="0"/>
          <w:numId w:val="42"/>
        </w:numPr>
        <w:pBdr>
          <w:bottom w:val="none" w:sz="0" w:space="0" w:color="auto"/>
        </w:pBdr>
        <w:spacing w:line="240" w:lineRule="auto"/>
        <w:rPr>
          <w:rFonts w:asciiTheme="majorHAnsi" w:eastAsiaTheme="majorEastAsia" w:hAnsiTheme="majorHAnsi" w:cstheme="majorBidi"/>
          <w:b/>
          <w:bCs/>
          <w:color w:val="2F5496" w:themeColor="accent1" w:themeShade="BF"/>
          <w:sz w:val="24"/>
          <w:szCs w:val="24"/>
          <w:lang w:val="en-IN"/>
        </w:rPr>
      </w:pPr>
      <w:r w:rsidRPr="00E03F2E">
        <w:rPr>
          <w:rFonts w:asciiTheme="majorHAnsi" w:eastAsiaTheme="majorEastAsia" w:hAnsiTheme="majorHAnsi" w:cstheme="majorBidi"/>
          <w:b/>
          <w:bCs/>
          <w:color w:val="2F5496" w:themeColor="accent1" w:themeShade="BF"/>
          <w:sz w:val="24"/>
          <w:szCs w:val="24"/>
          <w:lang w:val="en-IN"/>
        </w:rPr>
        <w:lastRenderedPageBreak/>
        <w:t>Global Banking and Markets (GBM)</w:t>
      </w:r>
    </w:p>
    <w:p w14:paraId="6B73A3E3" w14:textId="77777777" w:rsidR="009B683A" w:rsidRPr="006774FF" w:rsidRDefault="009B683A" w:rsidP="009B683A">
      <w:pPr>
        <w:pStyle w:val="ListParagraph"/>
        <w:jc w:val="both"/>
        <w:rPr>
          <w:rFonts w:cstheme="minorHAnsi"/>
        </w:rPr>
      </w:pPr>
    </w:p>
    <w:p w14:paraId="4E633A78" w14:textId="77777777" w:rsidR="009B683A" w:rsidRPr="00EB2FA5" w:rsidRDefault="009B683A" w:rsidP="002F7EA9">
      <w:pPr>
        <w:pStyle w:val="ListParagraph"/>
        <w:ind w:left="360"/>
        <w:jc w:val="both"/>
        <w:rPr>
          <w:rFonts w:cstheme="minorHAnsi"/>
        </w:rPr>
      </w:pPr>
      <w:r w:rsidRPr="00EB2FA5">
        <w:rPr>
          <w:rFonts w:cstheme="minorHAnsi"/>
        </w:rPr>
        <w:t>The GBM line of business performs the wholesale banking of Scotiabank and the business in capital markets. The spectrum of clients includes corporate, government, and institutional investor clients (Scotiabank, n.d., para. 9). Some of the services delivered are transaction banking, investment banking, transaction banking, and collateral management (Scotiabank, n.d., para. 10).</w:t>
      </w:r>
    </w:p>
    <w:p w14:paraId="4FC6E2F0" w14:textId="77777777" w:rsidR="009B683A" w:rsidRPr="00EB2FA5" w:rsidRDefault="009B683A" w:rsidP="002F7EA9">
      <w:pPr>
        <w:pStyle w:val="ListParagraph"/>
        <w:ind w:left="360"/>
        <w:jc w:val="both"/>
        <w:rPr>
          <w:rFonts w:cstheme="minorHAnsi"/>
        </w:rPr>
      </w:pPr>
      <w:r w:rsidRPr="00EB2FA5">
        <w:rPr>
          <w:rFonts w:cstheme="minorHAnsi"/>
        </w:rPr>
        <w:t xml:space="preserve">As a full-service wholesale bank in the Americas, GBM serves customers in twenty-one countries: Canada, the U.S., Europe, Latin America, and Asia-Pacific (Scotiabank, n.d., p. 4). </w:t>
      </w:r>
    </w:p>
    <w:p w14:paraId="1BFCE6C2" w14:textId="77777777" w:rsidR="009B683A" w:rsidRPr="002F7EA9" w:rsidRDefault="009B683A" w:rsidP="002F7EA9">
      <w:pPr>
        <w:pStyle w:val="SHTB"/>
        <w:pBdr>
          <w:bottom w:val="none" w:sz="0" w:space="0" w:color="auto"/>
        </w:pBdr>
        <w:spacing w:line="240" w:lineRule="auto"/>
        <w:rPr>
          <w:rFonts w:asciiTheme="majorHAnsi" w:eastAsiaTheme="majorEastAsia" w:hAnsiTheme="majorHAnsi" w:cstheme="majorBidi"/>
          <w:b/>
          <w:bCs/>
          <w:color w:val="2F5496" w:themeColor="accent1" w:themeShade="BF"/>
          <w:sz w:val="28"/>
          <w:szCs w:val="28"/>
          <w:lang w:val="en-IN"/>
        </w:rPr>
      </w:pPr>
    </w:p>
    <w:p w14:paraId="502D6496" w14:textId="77777777" w:rsidR="009B683A" w:rsidRPr="00EB2FA5" w:rsidRDefault="009B683A" w:rsidP="00EB2FA5">
      <w:pPr>
        <w:pStyle w:val="Heading1"/>
        <w:ind w:left="2880" w:firstLine="720"/>
        <w:rPr>
          <w:b/>
          <w:bCs/>
        </w:rPr>
      </w:pPr>
      <w:bookmarkStart w:id="9" w:name="_Toc145702356"/>
      <w:r w:rsidRPr="00EB2FA5">
        <w:rPr>
          <w:b/>
          <w:bCs/>
        </w:rPr>
        <w:t>Timelines and Milestones</w:t>
      </w:r>
      <w:bookmarkEnd w:id="9"/>
    </w:p>
    <w:p w14:paraId="457A6CA7" w14:textId="77777777" w:rsidR="00A31535" w:rsidRPr="00A31535" w:rsidRDefault="00A31535" w:rsidP="00A31535"/>
    <w:p w14:paraId="7878AC99" w14:textId="77777777" w:rsidR="009B683A" w:rsidRPr="006774FF" w:rsidRDefault="009B683A" w:rsidP="009B683A">
      <w:pPr>
        <w:jc w:val="both"/>
        <w:rPr>
          <w:rFonts w:cstheme="minorHAnsi"/>
        </w:rPr>
      </w:pPr>
      <w:r w:rsidRPr="006774FF">
        <w:rPr>
          <w:rFonts w:cstheme="minorHAnsi"/>
        </w:rPr>
        <w:t xml:space="preserve">Scotiabank was founded in Halifax, Nova Scotia, in 1832 under the name </w:t>
      </w:r>
      <w:r>
        <w:rPr>
          <w:rFonts w:cstheme="minorHAnsi"/>
        </w:rPr>
        <w:t>'</w:t>
      </w:r>
      <w:r w:rsidRPr="006774FF">
        <w:rPr>
          <w:rFonts w:cstheme="minorHAnsi"/>
        </w:rPr>
        <w:t>Bank of Nova Scotia.</w:t>
      </w:r>
      <w:r>
        <w:rPr>
          <w:rFonts w:cstheme="minorHAnsi"/>
        </w:rPr>
        <w:t>' Scotiabank's critical events and timelines are below (</w:t>
      </w:r>
      <w:r w:rsidRPr="00EA7E45">
        <w:rPr>
          <w:rFonts w:cstheme="minorHAnsi"/>
        </w:rPr>
        <w:t>Scotiabank</w:t>
      </w:r>
      <w:r>
        <w:rPr>
          <w:rFonts w:cstheme="minorHAnsi"/>
        </w:rPr>
        <w:t>, n.d.).</w:t>
      </w:r>
    </w:p>
    <w:p w14:paraId="48826F2E" w14:textId="77777777" w:rsidR="009B683A" w:rsidRPr="006774FF" w:rsidRDefault="009B683A" w:rsidP="009B683A">
      <w:pPr>
        <w:jc w:val="both"/>
        <w:rPr>
          <w:rFonts w:cstheme="minorHAnsi"/>
        </w:rPr>
      </w:pPr>
      <w:r w:rsidRPr="00A31535">
        <w:rPr>
          <w:rFonts w:cstheme="minorHAnsi"/>
          <w:color w:val="4472C4" w:themeColor="accent1"/>
        </w:rPr>
        <w:t xml:space="preserve">1832- </w:t>
      </w:r>
      <w:r>
        <w:rPr>
          <w:rFonts w:cstheme="minorHAnsi"/>
        </w:rPr>
        <w:t>The Legislative Assembly incorporated o</w:t>
      </w:r>
      <w:r w:rsidRPr="006774FF">
        <w:rPr>
          <w:rFonts w:cstheme="minorHAnsi"/>
        </w:rPr>
        <w:t xml:space="preserve">n March 30, 1832; the </w:t>
      </w:r>
      <w:r>
        <w:rPr>
          <w:rFonts w:cstheme="minorHAnsi"/>
        </w:rPr>
        <w:t>Legislative Assembly incorporated the Bank of Nova Scotia</w:t>
      </w:r>
      <w:r w:rsidRPr="006774FF">
        <w:rPr>
          <w:rFonts w:cstheme="minorHAnsi"/>
        </w:rPr>
        <w:t>. William Lawson was elected as the first president</w:t>
      </w:r>
      <w:r>
        <w:rPr>
          <w:rFonts w:cstheme="minorHAnsi"/>
        </w:rPr>
        <w:t>, and he served unti</w:t>
      </w:r>
      <w:r w:rsidRPr="006774FF">
        <w:rPr>
          <w:rFonts w:cstheme="minorHAnsi"/>
        </w:rPr>
        <w:t>l 1837</w:t>
      </w:r>
      <w:r>
        <w:rPr>
          <w:rFonts w:cstheme="minorHAnsi"/>
        </w:rPr>
        <w:t xml:space="preserve"> (</w:t>
      </w:r>
      <w:r w:rsidRPr="00EA7E45">
        <w:rPr>
          <w:rFonts w:cstheme="minorHAnsi"/>
        </w:rPr>
        <w:t>Scotiabank</w:t>
      </w:r>
      <w:r>
        <w:rPr>
          <w:rFonts w:cstheme="minorHAnsi"/>
        </w:rPr>
        <w:t>, n.d.)</w:t>
      </w:r>
      <w:r w:rsidRPr="006774FF">
        <w:rPr>
          <w:rFonts w:cstheme="minorHAnsi"/>
        </w:rPr>
        <w:t>.</w:t>
      </w:r>
    </w:p>
    <w:p w14:paraId="4EF00C74" w14:textId="77777777" w:rsidR="009B683A" w:rsidRPr="006774FF" w:rsidRDefault="009B683A" w:rsidP="009B683A">
      <w:pPr>
        <w:jc w:val="both"/>
        <w:rPr>
          <w:rFonts w:cstheme="minorHAnsi"/>
        </w:rPr>
      </w:pPr>
      <w:r w:rsidRPr="00A31535">
        <w:rPr>
          <w:rFonts w:cstheme="minorHAnsi"/>
          <w:color w:val="4472C4" w:themeColor="accent1"/>
        </w:rPr>
        <w:t>1837-</w:t>
      </w:r>
      <w:r w:rsidRPr="006774FF">
        <w:rPr>
          <w:rFonts w:cstheme="minorHAnsi"/>
        </w:rPr>
        <w:t xml:space="preserve"> The Bank of Nova Scotia opened the Windsor agency in 1837, establishing its first network</w:t>
      </w:r>
      <w:r>
        <w:rPr>
          <w:rFonts w:cstheme="minorHAnsi"/>
        </w:rPr>
        <w:t xml:space="preserve"> (</w:t>
      </w:r>
      <w:r w:rsidRPr="00EA7E45">
        <w:rPr>
          <w:rFonts w:cstheme="minorHAnsi"/>
        </w:rPr>
        <w:t>Scotiabank</w:t>
      </w:r>
      <w:r>
        <w:rPr>
          <w:rFonts w:cstheme="minorHAnsi"/>
        </w:rPr>
        <w:t>, n.d.)</w:t>
      </w:r>
      <w:r w:rsidRPr="006774FF">
        <w:rPr>
          <w:rFonts w:cstheme="minorHAnsi"/>
        </w:rPr>
        <w:t>.</w:t>
      </w:r>
    </w:p>
    <w:p w14:paraId="6A1AA8B0" w14:textId="77777777" w:rsidR="009B683A" w:rsidRPr="006774FF" w:rsidRDefault="009B683A" w:rsidP="009B683A">
      <w:pPr>
        <w:jc w:val="both"/>
        <w:rPr>
          <w:rFonts w:cstheme="minorHAnsi"/>
        </w:rPr>
      </w:pPr>
      <w:r w:rsidRPr="006774FF">
        <w:rPr>
          <w:rFonts w:cstheme="minorHAnsi"/>
        </w:rPr>
        <w:t>Over the years, Scotiabank has acquired or merged with many other financial institutions. Some of the major mergers and acquisitions are:</w:t>
      </w:r>
    </w:p>
    <w:p w14:paraId="1BC64D05" w14:textId="77777777" w:rsidR="009B683A" w:rsidRPr="006774FF" w:rsidRDefault="009B683A" w:rsidP="009B683A">
      <w:pPr>
        <w:jc w:val="both"/>
        <w:rPr>
          <w:rFonts w:cstheme="minorHAnsi"/>
        </w:rPr>
      </w:pPr>
      <w:r w:rsidRPr="00A31535">
        <w:rPr>
          <w:rFonts w:cstheme="minorHAnsi"/>
          <w:color w:val="4472C4" w:themeColor="accent1"/>
        </w:rPr>
        <w:t>1883-</w:t>
      </w:r>
      <w:r w:rsidRPr="006774FF">
        <w:rPr>
          <w:rFonts w:cstheme="minorHAnsi"/>
        </w:rPr>
        <w:t xml:space="preserve"> Scotiabank acquired </w:t>
      </w:r>
      <w:r>
        <w:rPr>
          <w:rFonts w:cstheme="minorHAnsi"/>
        </w:rPr>
        <w:t>some</w:t>
      </w:r>
      <w:r w:rsidRPr="006774FF">
        <w:rPr>
          <w:rFonts w:cstheme="minorHAnsi"/>
        </w:rPr>
        <w:t xml:space="preserve"> agencies through its merger with the Union Bank of Prince Edward Island</w:t>
      </w:r>
      <w:r>
        <w:rPr>
          <w:rFonts w:cstheme="minorHAnsi"/>
        </w:rPr>
        <w:t xml:space="preserve"> (</w:t>
      </w:r>
      <w:r w:rsidRPr="00EA7E45">
        <w:rPr>
          <w:rFonts w:cstheme="minorHAnsi"/>
        </w:rPr>
        <w:t>Scotiabank</w:t>
      </w:r>
      <w:r>
        <w:rPr>
          <w:rFonts w:cstheme="minorHAnsi"/>
        </w:rPr>
        <w:t>, n.d.)</w:t>
      </w:r>
      <w:r w:rsidRPr="006774FF">
        <w:rPr>
          <w:rFonts w:cstheme="minorHAnsi"/>
        </w:rPr>
        <w:t>.</w:t>
      </w:r>
    </w:p>
    <w:p w14:paraId="21856D91" w14:textId="77777777" w:rsidR="009B683A" w:rsidRPr="006774FF" w:rsidRDefault="009B683A" w:rsidP="009B683A">
      <w:pPr>
        <w:jc w:val="both"/>
        <w:rPr>
          <w:rFonts w:cstheme="minorHAnsi"/>
        </w:rPr>
      </w:pPr>
      <w:r w:rsidRPr="00A31535">
        <w:rPr>
          <w:rFonts w:cstheme="minorHAnsi"/>
          <w:color w:val="4472C4" w:themeColor="accent1"/>
        </w:rPr>
        <w:t>1919-</w:t>
      </w:r>
      <w:r w:rsidRPr="006774FF">
        <w:rPr>
          <w:rFonts w:cstheme="minorHAnsi"/>
        </w:rPr>
        <w:t xml:space="preserve"> The Bank of Nova Scotia amalgamated with the Bank of Ottawa and retained its name after considerable deliberation</w:t>
      </w:r>
      <w:r>
        <w:rPr>
          <w:rFonts w:cstheme="minorHAnsi"/>
        </w:rPr>
        <w:t xml:space="preserve"> (</w:t>
      </w:r>
      <w:r w:rsidRPr="00EA7E45">
        <w:rPr>
          <w:rFonts w:cstheme="minorHAnsi"/>
        </w:rPr>
        <w:t>Scotiabank</w:t>
      </w:r>
      <w:r>
        <w:rPr>
          <w:rFonts w:cstheme="minorHAnsi"/>
        </w:rPr>
        <w:t>, n.d.)</w:t>
      </w:r>
      <w:r w:rsidRPr="006774FF">
        <w:rPr>
          <w:rFonts w:cstheme="minorHAnsi"/>
        </w:rPr>
        <w:t>.</w:t>
      </w:r>
    </w:p>
    <w:p w14:paraId="16C928B9" w14:textId="77777777" w:rsidR="009B683A" w:rsidRPr="006774FF" w:rsidRDefault="009B683A" w:rsidP="009B683A">
      <w:pPr>
        <w:jc w:val="both"/>
        <w:rPr>
          <w:rFonts w:cstheme="minorHAnsi"/>
        </w:rPr>
      </w:pPr>
      <w:r w:rsidRPr="00A31535">
        <w:rPr>
          <w:rFonts w:cstheme="minorHAnsi"/>
          <w:color w:val="4472C4" w:themeColor="accent1"/>
        </w:rPr>
        <w:t>1994-</w:t>
      </w:r>
      <w:r w:rsidRPr="006774FF">
        <w:rPr>
          <w:rFonts w:cstheme="minorHAnsi"/>
        </w:rPr>
        <w:t xml:space="preserve"> Scotiabank acquired Montreal Trustco, one of the oldest trust companies</w:t>
      </w:r>
      <w:r>
        <w:rPr>
          <w:rFonts w:cstheme="minorHAnsi"/>
        </w:rPr>
        <w:t xml:space="preserve"> (</w:t>
      </w:r>
      <w:r w:rsidRPr="00EA7E45">
        <w:rPr>
          <w:rFonts w:cstheme="minorHAnsi"/>
        </w:rPr>
        <w:t>Scotiabank</w:t>
      </w:r>
      <w:r>
        <w:rPr>
          <w:rFonts w:cstheme="minorHAnsi"/>
        </w:rPr>
        <w:t>, n.d.)</w:t>
      </w:r>
      <w:r w:rsidRPr="006774FF">
        <w:rPr>
          <w:rFonts w:cstheme="minorHAnsi"/>
        </w:rPr>
        <w:t>.</w:t>
      </w:r>
    </w:p>
    <w:p w14:paraId="3E2BFAE7" w14:textId="77777777" w:rsidR="009B683A" w:rsidRPr="006774FF" w:rsidRDefault="009B683A" w:rsidP="009B683A">
      <w:pPr>
        <w:jc w:val="both"/>
        <w:rPr>
          <w:rFonts w:cstheme="minorHAnsi"/>
        </w:rPr>
      </w:pPr>
      <w:r w:rsidRPr="00A31535">
        <w:rPr>
          <w:rFonts w:cstheme="minorHAnsi"/>
          <w:color w:val="4472C4" w:themeColor="accent1"/>
        </w:rPr>
        <w:t>2005-</w:t>
      </w:r>
      <w:r w:rsidRPr="006774FF">
        <w:rPr>
          <w:rFonts w:cstheme="minorHAnsi"/>
        </w:rPr>
        <w:t xml:space="preserve"> Scotiabank acquired the National Bank of Greece (Canada), comprising ten branches in Ontario and Quebec</w:t>
      </w:r>
      <w:r>
        <w:rPr>
          <w:rFonts w:cstheme="minorHAnsi"/>
        </w:rPr>
        <w:t xml:space="preserve"> (</w:t>
      </w:r>
      <w:r w:rsidRPr="00EA7E45">
        <w:rPr>
          <w:rFonts w:cstheme="minorHAnsi"/>
        </w:rPr>
        <w:t>Scotiabank</w:t>
      </w:r>
      <w:r>
        <w:rPr>
          <w:rFonts w:cstheme="minorHAnsi"/>
        </w:rPr>
        <w:t>, n.d.)</w:t>
      </w:r>
      <w:r w:rsidRPr="006774FF">
        <w:rPr>
          <w:rFonts w:cstheme="minorHAnsi"/>
        </w:rPr>
        <w:t>.</w:t>
      </w:r>
    </w:p>
    <w:p w14:paraId="38454483" w14:textId="77777777" w:rsidR="009B683A" w:rsidRPr="006774FF" w:rsidRDefault="009B683A" w:rsidP="009B683A">
      <w:pPr>
        <w:jc w:val="both"/>
        <w:rPr>
          <w:rFonts w:cstheme="minorHAnsi"/>
        </w:rPr>
      </w:pPr>
      <w:r w:rsidRPr="00A31535">
        <w:rPr>
          <w:rFonts w:cstheme="minorHAnsi"/>
          <w:color w:val="4472C4" w:themeColor="accent1"/>
        </w:rPr>
        <w:t>2015-</w:t>
      </w:r>
      <w:r w:rsidRPr="006774FF">
        <w:rPr>
          <w:rFonts w:cstheme="minorHAnsi"/>
        </w:rPr>
        <w:t xml:space="preserve"> Scotiabank became the first bank in Canada to offer three major credit cards- VISA, AMEX</w:t>
      </w:r>
      <w:r>
        <w:rPr>
          <w:rFonts w:cstheme="minorHAnsi"/>
        </w:rPr>
        <w:t>,</w:t>
      </w:r>
      <w:r w:rsidRPr="006774FF">
        <w:rPr>
          <w:rFonts w:cstheme="minorHAnsi"/>
        </w:rPr>
        <w:t xml:space="preserve"> and Mastercard, following its acquisition of JPMorgan</w:t>
      </w:r>
      <w:r>
        <w:rPr>
          <w:rFonts w:cstheme="minorHAnsi"/>
        </w:rPr>
        <w:t>'</w:t>
      </w:r>
      <w:r w:rsidRPr="006774FF">
        <w:rPr>
          <w:rFonts w:cstheme="minorHAnsi"/>
        </w:rPr>
        <w:t>s credit card business</w:t>
      </w:r>
      <w:r>
        <w:rPr>
          <w:rFonts w:cstheme="minorHAnsi"/>
        </w:rPr>
        <w:t xml:space="preserve"> (</w:t>
      </w:r>
      <w:r w:rsidRPr="00EA7E45">
        <w:rPr>
          <w:rFonts w:cstheme="minorHAnsi"/>
        </w:rPr>
        <w:t>Scotiabank</w:t>
      </w:r>
      <w:r>
        <w:rPr>
          <w:rFonts w:cstheme="minorHAnsi"/>
        </w:rPr>
        <w:t>, n.d.)</w:t>
      </w:r>
      <w:r w:rsidRPr="006774FF">
        <w:rPr>
          <w:rFonts w:cstheme="minorHAnsi"/>
        </w:rPr>
        <w:t>.</w:t>
      </w:r>
    </w:p>
    <w:p w14:paraId="54623233" w14:textId="77777777" w:rsidR="009B683A" w:rsidRDefault="009B683A" w:rsidP="009B683A"/>
    <w:p w14:paraId="3C402ED7" w14:textId="77777777" w:rsidR="00E14F63" w:rsidRDefault="00E14F63" w:rsidP="009B683A"/>
    <w:p w14:paraId="2A14E742" w14:textId="77777777" w:rsidR="00E14F63" w:rsidRDefault="00E14F63" w:rsidP="009B683A"/>
    <w:p w14:paraId="21F682E4" w14:textId="77777777" w:rsidR="00E14F63" w:rsidRDefault="00E14F63" w:rsidP="009B683A"/>
    <w:p w14:paraId="013B774D" w14:textId="77777777" w:rsidR="00F803A8" w:rsidRDefault="00F803A8" w:rsidP="00F803A8">
      <w:pPr>
        <w:pStyle w:val="Heading1"/>
        <w:rPr>
          <w:b/>
          <w:bCs/>
        </w:rPr>
      </w:pPr>
    </w:p>
    <w:p w14:paraId="1E7CBA06" w14:textId="77777777" w:rsidR="00F803A8" w:rsidRDefault="00F803A8" w:rsidP="00F803A8">
      <w:pPr>
        <w:rPr>
          <w:lang w:val="en-US"/>
        </w:rPr>
      </w:pPr>
    </w:p>
    <w:p w14:paraId="43148F46" w14:textId="77777777" w:rsidR="00F803A8" w:rsidRPr="00F803A8" w:rsidRDefault="00F803A8" w:rsidP="00F803A8">
      <w:pPr>
        <w:rPr>
          <w:lang w:val="en-US"/>
        </w:rPr>
      </w:pPr>
    </w:p>
    <w:p w14:paraId="0D2F4E33" w14:textId="2058943C" w:rsidR="009B683A" w:rsidRPr="00EB2FA5" w:rsidRDefault="009B683A" w:rsidP="00EB2FA5">
      <w:pPr>
        <w:pStyle w:val="Heading1"/>
        <w:ind w:left="2880" w:firstLine="720"/>
        <w:rPr>
          <w:b/>
          <w:bCs/>
        </w:rPr>
      </w:pPr>
      <w:bookmarkStart w:id="10" w:name="_Toc145702357"/>
      <w:r w:rsidRPr="00EB2FA5">
        <w:rPr>
          <w:b/>
          <w:bCs/>
        </w:rPr>
        <w:lastRenderedPageBreak/>
        <w:t>Financial Status Report</w:t>
      </w:r>
      <w:bookmarkEnd w:id="10"/>
    </w:p>
    <w:p w14:paraId="5E45AF3C" w14:textId="77777777" w:rsidR="00E14F63" w:rsidRPr="00E14F63" w:rsidRDefault="00E14F63" w:rsidP="00E14F63"/>
    <w:p w14:paraId="4072DB90" w14:textId="77777777" w:rsidR="00E14F63" w:rsidRPr="0030782C" w:rsidRDefault="009B683A" w:rsidP="00E42B27">
      <w:pPr>
        <w:pStyle w:val="SHTB"/>
        <w:pBdr>
          <w:bottom w:val="none" w:sz="0" w:space="0" w:color="auto"/>
        </w:pBdr>
        <w:spacing w:line="240" w:lineRule="auto"/>
        <w:rPr>
          <w:rFonts w:asciiTheme="minorHAnsi" w:eastAsiaTheme="majorEastAsia" w:hAnsiTheme="minorHAnsi" w:cstheme="minorHAnsi"/>
          <w:b/>
          <w:bCs/>
          <w:sz w:val="24"/>
          <w:szCs w:val="24"/>
          <w:lang w:val="en-IN"/>
        </w:rPr>
      </w:pPr>
      <w:r w:rsidRPr="0030782C">
        <w:rPr>
          <w:rFonts w:asciiTheme="minorHAnsi" w:eastAsiaTheme="majorEastAsia" w:hAnsiTheme="minorHAnsi" w:cstheme="minorHAnsi"/>
          <w:b/>
          <w:bCs/>
          <w:sz w:val="24"/>
          <w:szCs w:val="24"/>
          <w:lang w:val="en-IN"/>
        </w:rPr>
        <w:t xml:space="preserve">Summary:  </w:t>
      </w:r>
    </w:p>
    <w:p w14:paraId="6AD7B040" w14:textId="6DE4C66B" w:rsidR="009B683A" w:rsidRPr="00EB2FA5" w:rsidRDefault="009B683A" w:rsidP="00E37456">
      <w:pPr>
        <w:pStyle w:val="SHTB"/>
        <w:pBdr>
          <w:bottom w:val="none" w:sz="0" w:space="0" w:color="auto"/>
        </w:pBdr>
        <w:spacing w:line="240" w:lineRule="auto"/>
        <w:rPr>
          <w:rFonts w:asciiTheme="minorHAnsi" w:eastAsiaTheme="majorEastAsia" w:hAnsiTheme="minorHAnsi" w:cstheme="minorHAnsi"/>
          <w:b/>
          <w:bCs/>
          <w:sz w:val="22"/>
          <w:szCs w:val="22"/>
          <w:lang w:val="en-IN"/>
        </w:rPr>
      </w:pPr>
      <w:r w:rsidRPr="00EB2FA5">
        <w:rPr>
          <w:rFonts w:asciiTheme="minorHAnsi" w:eastAsiaTheme="majorEastAsia" w:hAnsiTheme="minorHAnsi" w:cstheme="minorHAnsi"/>
          <w:b/>
          <w:bCs/>
          <w:sz w:val="22"/>
          <w:szCs w:val="22"/>
          <w:lang w:val="en-IN"/>
        </w:rPr>
        <w:t>Scotiabank Quick View:</w:t>
      </w:r>
    </w:p>
    <w:p w14:paraId="167E4CE6" w14:textId="77777777" w:rsidR="00E14F63" w:rsidRPr="00EB2FA5" w:rsidRDefault="009B683A" w:rsidP="009B683A">
      <w:pPr>
        <w:spacing w:after="100" w:afterAutospacing="1" w:line="360" w:lineRule="auto"/>
        <w:rPr>
          <w:rFonts w:cstheme="minorHAnsi"/>
        </w:rPr>
      </w:pPr>
      <w:r w:rsidRPr="00EB2FA5">
        <w:rPr>
          <w:rFonts w:cstheme="minorHAnsi"/>
          <w:b/>
          <w:bCs/>
        </w:rPr>
        <w:t>Performance Comparison (FY2022 vs. FY2021):</w:t>
      </w:r>
      <w:r w:rsidRPr="00EB2FA5">
        <w:rPr>
          <w:rFonts w:cstheme="minorHAnsi"/>
        </w:rPr>
        <w:t xml:space="preserve"> Gain in net earnings from $10.2 billion to $10.7 billion. Increase in EPS from $7.87 to $8.50. </w:t>
      </w:r>
    </w:p>
    <w:p w14:paraId="6F916A27" w14:textId="6B4D7B41" w:rsidR="009B683A" w:rsidRPr="00EB2FA5" w:rsidRDefault="009B683A" w:rsidP="009B683A">
      <w:pPr>
        <w:spacing w:after="100" w:afterAutospacing="1" w:line="360" w:lineRule="auto"/>
        <w:rPr>
          <w:rFonts w:cstheme="minorHAnsi"/>
        </w:rPr>
      </w:pPr>
      <w:r w:rsidRPr="00EB2FA5">
        <w:rPr>
          <w:rFonts w:cstheme="minorHAnsi"/>
          <w:b/>
          <w:bCs/>
        </w:rPr>
        <w:t>Revenue Dynamics:</w:t>
      </w:r>
      <w:r w:rsidRPr="00EB2FA5">
        <w:rPr>
          <w:rFonts w:cstheme="minorHAnsi"/>
        </w:rPr>
        <w:t xml:space="preserve"> A slight increase from $31.25 billion to $31.8 billion was seen. Asset metrics increased from $1.185 trillion to $1.35 trillion. Deposits rose from $797 billion to $916 billion, while loans rose from $637 billion to $745 billion.</w:t>
      </w:r>
    </w:p>
    <w:p w14:paraId="38A25161" w14:textId="77777777" w:rsidR="009B683A" w:rsidRPr="00EB2FA5" w:rsidRDefault="009B683A" w:rsidP="009B683A">
      <w:pPr>
        <w:spacing w:after="100" w:afterAutospacing="1" w:line="360" w:lineRule="auto"/>
        <w:rPr>
          <w:rFonts w:cstheme="minorHAnsi"/>
        </w:rPr>
      </w:pPr>
      <w:r w:rsidRPr="00EB2FA5">
        <w:rPr>
          <w:rFonts w:cstheme="minorHAnsi"/>
          <w:b/>
          <w:bCs/>
        </w:rPr>
        <w:t>Asset Control:</w:t>
      </w:r>
      <w:r w:rsidRPr="00EB2FA5">
        <w:rPr>
          <w:rFonts w:cstheme="minorHAnsi"/>
        </w:rPr>
        <w:t xml:space="preserve"> AUA decreased marginally from $652,92 billion to $641,64 billion while AUM decreased from $345,76 billion to $312 billion.</w:t>
      </w:r>
    </w:p>
    <w:p w14:paraId="4618CFC7" w14:textId="77777777" w:rsidR="009B683A" w:rsidRPr="00EB2FA5" w:rsidRDefault="009B683A" w:rsidP="009B683A">
      <w:pPr>
        <w:spacing w:after="100" w:afterAutospacing="1" w:line="360" w:lineRule="auto"/>
        <w:rPr>
          <w:rFonts w:cstheme="minorHAnsi"/>
        </w:rPr>
      </w:pPr>
      <w:r w:rsidRPr="00EB2FA5">
        <w:rPr>
          <w:rFonts w:cstheme="minorHAnsi"/>
          <w:b/>
          <w:bCs/>
        </w:rPr>
        <w:t>Financial Allocations:</w:t>
      </w:r>
      <w:r w:rsidRPr="00EB2FA5">
        <w:rPr>
          <w:rFonts w:cstheme="minorHAnsi"/>
        </w:rPr>
        <w:t xml:space="preserve"> The provision for credit losses was decreased from $1.81 billion to $1.38 billion.</w:t>
      </w:r>
    </w:p>
    <w:p w14:paraId="40636526" w14:textId="61BFD08D" w:rsidR="003344A6" w:rsidRPr="00EB2FA5" w:rsidRDefault="009B683A" w:rsidP="00250B70">
      <w:pPr>
        <w:spacing w:after="100" w:afterAutospacing="1" w:line="360" w:lineRule="auto"/>
        <w:rPr>
          <w:rFonts w:cstheme="minorHAnsi"/>
        </w:rPr>
      </w:pPr>
      <w:r w:rsidRPr="00EB2FA5">
        <w:rPr>
          <w:rFonts w:cstheme="minorHAnsi"/>
          <w:b/>
          <w:bCs/>
        </w:rPr>
        <w:t>Operating Expenses:</w:t>
      </w:r>
      <w:r w:rsidRPr="00EB2FA5">
        <w:rPr>
          <w:rFonts w:cstheme="minorHAnsi"/>
        </w:rPr>
        <w:t xml:space="preserve"> Non-interest expenses increased a little from $16.62 billion to $17.1 billion, although income tax expenses decreased.</w:t>
      </w:r>
    </w:p>
    <w:p w14:paraId="3909F6C6" w14:textId="114F0CD1" w:rsidR="004646AE" w:rsidRPr="00FE065B" w:rsidRDefault="004646AE" w:rsidP="0030782C">
      <w:bookmarkStart w:id="11" w:name="_Toc145702358"/>
      <w:r w:rsidRPr="00FE065B">
        <w:rPr>
          <w:rStyle w:val="Heading3Char"/>
          <w:b/>
          <w:bCs/>
          <w:sz w:val="22"/>
          <w:szCs w:val="22"/>
        </w:rPr>
        <w:t>Key Takeaways from FY2022</w:t>
      </w:r>
      <w:sdt>
        <w:sdtPr>
          <w:rPr>
            <w:rStyle w:val="Heading3Char"/>
            <w:b/>
            <w:bCs/>
            <w:sz w:val="22"/>
            <w:szCs w:val="22"/>
          </w:rPr>
          <w:id w:val="409207004"/>
          <w:citation/>
        </w:sdtPr>
        <w:sdtContent>
          <w:bookmarkEnd w:id="11"/>
          <w:r w:rsidR="00A76C37" w:rsidRPr="00FE065B">
            <w:rPr>
              <w:rStyle w:val="Heading3Char"/>
              <w:b/>
              <w:bCs/>
              <w:sz w:val="22"/>
              <w:szCs w:val="22"/>
            </w:rPr>
            <w:fldChar w:fldCharType="begin"/>
          </w:r>
          <w:r w:rsidR="00A76C37" w:rsidRPr="00FE065B">
            <w:rPr>
              <w:rStyle w:val="Heading3Char"/>
              <w:b/>
              <w:bCs/>
              <w:sz w:val="22"/>
              <w:szCs w:val="22"/>
            </w:rPr>
            <w:instrText xml:space="preserve"> CITATION Sco22 \l 16393 </w:instrText>
          </w:r>
          <w:r w:rsidR="00A76C37" w:rsidRPr="00FE065B">
            <w:rPr>
              <w:rStyle w:val="Heading3Char"/>
              <w:b/>
              <w:bCs/>
              <w:sz w:val="22"/>
              <w:szCs w:val="22"/>
            </w:rPr>
            <w:fldChar w:fldCharType="separate"/>
          </w:r>
          <w:r w:rsidR="00A76C37" w:rsidRPr="00FE065B">
            <w:rPr>
              <w:rStyle w:val="Heading3Char"/>
              <w:b/>
              <w:bCs/>
              <w:noProof/>
              <w:sz w:val="22"/>
              <w:szCs w:val="22"/>
            </w:rPr>
            <w:t xml:space="preserve"> </w:t>
          </w:r>
          <w:r w:rsidR="00A76C37" w:rsidRPr="00FE065B">
            <w:rPr>
              <w:noProof/>
            </w:rPr>
            <w:t>(Scotiabank, 2022)</w:t>
          </w:r>
          <w:r w:rsidR="00A76C37" w:rsidRPr="00FE065B">
            <w:rPr>
              <w:rStyle w:val="Heading3Char"/>
              <w:b/>
              <w:bCs/>
              <w:sz w:val="22"/>
              <w:szCs w:val="22"/>
            </w:rPr>
            <w:fldChar w:fldCharType="end"/>
          </w:r>
        </w:sdtContent>
      </w:sdt>
    </w:p>
    <w:p w14:paraId="7A83AB2D" w14:textId="77777777" w:rsidR="009B683A" w:rsidRPr="00EB2FA5" w:rsidRDefault="009B683A" w:rsidP="009B683A">
      <w:pPr>
        <w:pStyle w:val="ListParagraph"/>
        <w:numPr>
          <w:ilvl w:val="0"/>
          <w:numId w:val="25"/>
        </w:numPr>
        <w:spacing w:after="100" w:afterAutospacing="1" w:line="360" w:lineRule="auto"/>
        <w:rPr>
          <w:rFonts w:cstheme="minorHAnsi"/>
        </w:rPr>
      </w:pPr>
      <w:r w:rsidRPr="00EB2FA5">
        <w:rPr>
          <w:rFonts w:cstheme="minorHAnsi"/>
        </w:rPr>
        <w:t>Overview of earnings: $9.9 billion in total.</w:t>
      </w:r>
    </w:p>
    <w:p w14:paraId="284ADD8D" w14:textId="77777777" w:rsidR="009B683A" w:rsidRPr="00EB2FA5" w:rsidRDefault="009B683A" w:rsidP="009B683A">
      <w:pPr>
        <w:pStyle w:val="ListParagraph"/>
        <w:numPr>
          <w:ilvl w:val="0"/>
          <w:numId w:val="25"/>
        </w:numPr>
        <w:spacing w:after="100" w:afterAutospacing="1" w:line="360" w:lineRule="auto"/>
        <w:rPr>
          <w:rFonts w:cstheme="minorHAnsi"/>
        </w:rPr>
      </w:pPr>
      <w:r w:rsidRPr="00EB2FA5">
        <w:rPr>
          <w:rFonts w:cstheme="minorHAnsi"/>
        </w:rPr>
        <w:t>Tax Consequences: During the period, tax rates ranged from 18.5% to 24%.</w:t>
      </w:r>
    </w:p>
    <w:p w14:paraId="5B223BF8" w14:textId="513953F8" w:rsidR="009B683A" w:rsidRPr="00EB2FA5" w:rsidRDefault="009B683A" w:rsidP="009B683A">
      <w:pPr>
        <w:pStyle w:val="ListParagraph"/>
        <w:numPr>
          <w:ilvl w:val="0"/>
          <w:numId w:val="25"/>
        </w:numPr>
        <w:spacing w:after="100" w:afterAutospacing="1" w:line="360" w:lineRule="auto"/>
        <w:rPr>
          <w:rFonts w:cstheme="minorHAnsi"/>
        </w:rPr>
      </w:pPr>
      <w:r w:rsidRPr="00EB2FA5">
        <w:rPr>
          <w:rFonts w:cstheme="minorHAnsi"/>
        </w:rPr>
        <w:t xml:space="preserve">Global Financial Activities: International banking reported a net profit of $2.695 billion, which was supported by net interest income of $6.9 billion and non-interest </w:t>
      </w:r>
      <w:r w:rsidR="003B309A" w:rsidRPr="00EB2FA5">
        <w:rPr>
          <w:rFonts w:cstheme="minorHAnsi"/>
        </w:rPr>
        <w:t>R</w:t>
      </w:r>
      <w:r w:rsidRPr="00EB2FA5">
        <w:rPr>
          <w:rFonts w:cstheme="minorHAnsi"/>
        </w:rPr>
        <w:t>evenue of $2.827 billion.</w:t>
      </w:r>
    </w:p>
    <w:p w14:paraId="4B637973" w14:textId="77777777" w:rsidR="009B683A" w:rsidRPr="00EB2FA5" w:rsidRDefault="009B683A" w:rsidP="009B683A">
      <w:pPr>
        <w:pStyle w:val="ListParagraph"/>
        <w:numPr>
          <w:ilvl w:val="0"/>
          <w:numId w:val="25"/>
        </w:numPr>
        <w:spacing w:after="100" w:afterAutospacing="1" w:line="360" w:lineRule="auto"/>
        <w:rPr>
          <w:rFonts w:cstheme="minorHAnsi"/>
        </w:rPr>
      </w:pPr>
      <w:r w:rsidRPr="00EB2FA5">
        <w:rPr>
          <w:rFonts w:cstheme="minorHAnsi"/>
        </w:rPr>
        <w:t>Cost-saving insights: Salaries and benefits saw a 3% increase. Technology and infrastructure costs increased by 3%, and non-interest expenses increased by 3% over the prior year.</w:t>
      </w:r>
    </w:p>
    <w:p w14:paraId="4237213F" w14:textId="5E29C14F" w:rsidR="009B683A" w:rsidRPr="00FE065B" w:rsidRDefault="009B683A" w:rsidP="0030782C">
      <w:pPr>
        <w:rPr>
          <w:rStyle w:val="Heading3Char"/>
          <w:b/>
          <w:bCs/>
          <w:sz w:val="22"/>
          <w:szCs w:val="22"/>
        </w:rPr>
      </w:pPr>
      <w:bookmarkStart w:id="12" w:name="_Toc145702359"/>
      <w:r w:rsidRPr="00FE065B">
        <w:rPr>
          <w:rStyle w:val="Heading3Char"/>
          <w:b/>
          <w:bCs/>
          <w:sz w:val="22"/>
          <w:szCs w:val="22"/>
        </w:rPr>
        <w:t>Market Attitude (Through Q3 2023)</w:t>
      </w:r>
      <w:sdt>
        <w:sdtPr>
          <w:rPr>
            <w:rStyle w:val="Heading3Char"/>
            <w:b/>
            <w:bCs/>
            <w:sz w:val="22"/>
            <w:szCs w:val="22"/>
          </w:rPr>
          <w:id w:val="826873946"/>
          <w:citation/>
        </w:sdtPr>
        <w:sdtContent>
          <w:bookmarkEnd w:id="12"/>
          <w:r w:rsidR="00A76C37" w:rsidRPr="00FE065B">
            <w:rPr>
              <w:rStyle w:val="Heading3Char"/>
              <w:b/>
              <w:bCs/>
              <w:sz w:val="22"/>
              <w:szCs w:val="22"/>
            </w:rPr>
            <w:fldChar w:fldCharType="begin"/>
          </w:r>
          <w:r w:rsidR="00A76C37" w:rsidRPr="00FE065B">
            <w:rPr>
              <w:rStyle w:val="Heading3Char"/>
              <w:b/>
              <w:bCs/>
              <w:sz w:val="22"/>
              <w:szCs w:val="22"/>
            </w:rPr>
            <w:instrText xml:space="preserve"> CITATION Sco23 \l 16393 </w:instrText>
          </w:r>
          <w:r w:rsidR="00A76C37" w:rsidRPr="00FE065B">
            <w:rPr>
              <w:rStyle w:val="Heading3Char"/>
              <w:b/>
              <w:bCs/>
              <w:sz w:val="22"/>
              <w:szCs w:val="22"/>
            </w:rPr>
            <w:fldChar w:fldCharType="separate"/>
          </w:r>
          <w:r w:rsidR="00A76C37" w:rsidRPr="00FE065B">
            <w:rPr>
              <w:rStyle w:val="Heading3Char"/>
              <w:b/>
              <w:bCs/>
              <w:noProof/>
              <w:sz w:val="22"/>
              <w:szCs w:val="22"/>
            </w:rPr>
            <w:t xml:space="preserve"> </w:t>
          </w:r>
          <w:r w:rsidR="00A76C37" w:rsidRPr="00FE065B">
            <w:rPr>
              <w:noProof/>
            </w:rPr>
            <w:t>(Scotiabank, Q3 2023)</w:t>
          </w:r>
          <w:r w:rsidR="00A76C37" w:rsidRPr="00FE065B">
            <w:rPr>
              <w:rStyle w:val="Heading3Char"/>
              <w:b/>
              <w:bCs/>
              <w:sz w:val="22"/>
              <w:szCs w:val="22"/>
            </w:rPr>
            <w:fldChar w:fldCharType="end"/>
          </w:r>
        </w:sdtContent>
      </w:sdt>
    </w:p>
    <w:p w14:paraId="58033A03" w14:textId="77777777" w:rsidR="009B683A" w:rsidRPr="00EB2FA5" w:rsidRDefault="009B683A" w:rsidP="009B683A">
      <w:pPr>
        <w:pStyle w:val="ListParagraph"/>
        <w:numPr>
          <w:ilvl w:val="0"/>
          <w:numId w:val="26"/>
        </w:numPr>
        <w:spacing w:after="100" w:afterAutospacing="1" w:line="360" w:lineRule="auto"/>
        <w:rPr>
          <w:rFonts w:cstheme="minorHAnsi"/>
        </w:rPr>
      </w:pPr>
      <w:r w:rsidRPr="00EB2FA5">
        <w:rPr>
          <w:rFonts w:cstheme="minorHAnsi"/>
        </w:rPr>
        <w:t>The influential presence of Scotiabank in the Americas is still present:</w:t>
      </w:r>
    </w:p>
    <w:p w14:paraId="0ED573EA" w14:textId="77777777" w:rsidR="009B683A" w:rsidRPr="00EB2FA5" w:rsidRDefault="009B683A" w:rsidP="009B683A">
      <w:pPr>
        <w:pStyle w:val="ListParagraph"/>
        <w:numPr>
          <w:ilvl w:val="0"/>
          <w:numId w:val="26"/>
        </w:numPr>
        <w:spacing w:after="100" w:afterAutospacing="1" w:line="360" w:lineRule="auto"/>
        <w:rPr>
          <w:rFonts w:cstheme="minorHAnsi"/>
        </w:rPr>
      </w:pPr>
      <w:r w:rsidRPr="00EB2FA5">
        <w:rPr>
          <w:rFonts w:cstheme="minorHAnsi"/>
        </w:rPr>
        <w:t>Securing a spot in the top three is Canadian Landscape.</w:t>
      </w:r>
    </w:p>
    <w:p w14:paraId="2DCC7DEC" w14:textId="77777777" w:rsidR="009B683A" w:rsidRPr="00EB2FA5" w:rsidRDefault="009B683A" w:rsidP="009B683A">
      <w:pPr>
        <w:pStyle w:val="ListParagraph"/>
        <w:numPr>
          <w:ilvl w:val="0"/>
          <w:numId w:val="26"/>
        </w:numPr>
        <w:spacing w:after="100" w:afterAutospacing="1" w:line="360" w:lineRule="auto"/>
        <w:rPr>
          <w:rFonts w:cstheme="minorHAnsi"/>
        </w:rPr>
      </w:pPr>
      <w:r w:rsidRPr="00EB2FA5">
        <w:rPr>
          <w:rFonts w:cstheme="minorHAnsi"/>
        </w:rPr>
        <w:t>Regarding the Pacific Alliance:</w:t>
      </w:r>
    </w:p>
    <w:p w14:paraId="19079D21" w14:textId="77777777" w:rsidR="009B683A" w:rsidRPr="00EB2FA5" w:rsidRDefault="009B683A" w:rsidP="00E14F63">
      <w:pPr>
        <w:pStyle w:val="ListParagraph"/>
        <w:numPr>
          <w:ilvl w:val="1"/>
          <w:numId w:val="29"/>
        </w:numPr>
        <w:spacing w:after="100" w:afterAutospacing="1" w:line="360" w:lineRule="auto"/>
        <w:rPr>
          <w:rFonts w:cstheme="minorHAnsi"/>
        </w:rPr>
      </w:pPr>
      <w:r w:rsidRPr="00EB2FA5">
        <w:rPr>
          <w:rFonts w:cstheme="minorHAnsi"/>
          <w:b/>
          <w:bCs/>
        </w:rPr>
        <w:t>Third-placed Chile:</w:t>
      </w:r>
      <w:r w:rsidRPr="00EB2FA5">
        <w:rPr>
          <w:rFonts w:cstheme="minorHAnsi"/>
        </w:rPr>
        <w:t xml:space="preserve"> Claims 15% of the market.</w:t>
      </w:r>
    </w:p>
    <w:p w14:paraId="5423BF06" w14:textId="77777777" w:rsidR="009B683A" w:rsidRPr="00EB2FA5" w:rsidRDefault="009B683A" w:rsidP="00E14F63">
      <w:pPr>
        <w:pStyle w:val="ListParagraph"/>
        <w:numPr>
          <w:ilvl w:val="1"/>
          <w:numId w:val="29"/>
        </w:numPr>
        <w:spacing w:after="100" w:afterAutospacing="1" w:line="360" w:lineRule="auto"/>
        <w:rPr>
          <w:rFonts w:cstheme="minorHAnsi"/>
        </w:rPr>
      </w:pPr>
      <w:r w:rsidRPr="00EB2FA5">
        <w:rPr>
          <w:rFonts w:cstheme="minorHAnsi"/>
          <w:b/>
          <w:bCs/>
        </w:rPr>
        <w:t>Mexico:</w:t>
      </w:r>
      <w:r w:rsidRPr="00EB2FA5">
        <w:rPr>
          <w:rFonts w:cstheme="minorHAnsi"/>
        </w:rPr>
        <w:t xml:space="preserve"> Holds 8% of the market, placing it fifth.</w:t>
      </w:r>
    </w:p>
    <w:p w14:paraId="7A642051" w14:textId="77777777" w:rsidR="009B683A" w:rsidRPr="00EB2FA5" w:rsidRDefault="009B683A" w:rsidP="00E14F63">
      <w:pPr>
        <w:pStyle w:val="ListParagraph"/>
        <w:numPr>
          <w:ilvl w:val="1"/>
          <w:numId w:val="29"/>
        </w:numPr>
        <w:spacing w:after="100" w:afterAutospacing="1" w:line="360" w:lineRule="auto"/>
        <w:rPr>
          <w:rFonts w:cstheme="minorHAnsi"/>
        </w:rPr>
      </w:pPr>
      <w:r w:rsidRPr="00EB2FA5">
        <w:rPr>
          <w:rFonts w:cstheme="minorHAnsi"/>
        </w:rPr>
        <w:t xml:space="preserve">Third-placed </w:t>
      </w:r>
      <w:r w:rsidRPr="00EB2FA5">
        <w:rPr>
          <w:rFonts w:cstheme="minorHAnsi"/>
          <w:b/>
          <w:bCs/>
        </w:rPr>
        <w:t>Peru</w:t>
      </w:r>
      <w:r w:rsidRPr="00EB2FA5">
        <w:rPr>
          <w:rFonts w:cstheme="minorHAnsi"/>
        </w:rPr>
        <w:t xml:space="preserve"> holds 16% of the market.</w:t>
      </w:r>
    </w:p>
    <w:p w14:paraId="6E38CD24" w14:textId="77777777" w:rsidR="009B683A" w:rsidRPr="00EB2FA5" w:rsidRDefault="009B683A" w:rsidP="00E14F63">
      <w:pPr>
        <w:pStyle w:val="ListParagraph"/>
        <w:numPr>
          <w:ilvl w:val="1"/>
          <w:numId w:val="29"/>
        </w:numPr>
        <w:spacing w:after="100" w:afterAutospacing="1" w:line="360" w:lineRule="auto"/>
        <w:rPr>
          <w:rFonts w:cstheme="minorHAnsi"/>
        </w:rPr>
      </w:pPr>
      <w:r w:rsidRPr="00EB2FA5">
        <w:rPr>
          <w:rFonts w:cstheme="minorHAnsi"/>
          <w:b/>
          <w:bCs/>
        </w:rPr>
        <w:t>Colombia:</w:t>
      </w:r>
      <w:r w:rsidRPr="00EB2FA5">
        <w:rPr>
          <w:rFonts w:cstheme="minorHAnsi"/>
        </w:rPr>
        <w:t xml:space="preserve"> Holds 5% of the market share and is ranked sixth.</w:t>
      </w:r>
    </w:p>
    <w:p w14:paraId="1422D8E3" w14:textId="77777777" w:rsidR="009B683A" w:rsidRPr="00EB2FA5" w:rsidRDefault="009B683A" w:rsidP="009B683A">
      <w:pPr>
        <w:spacing w:after="100" w:afterAutospacing="1" w:line="360" w:lineRule="auto"/>
        <w:rPr>
          <w:rFonts w:cstheme="minorHAnsi"/>
        </w:rPr>
      </w:pPr>
      <w:r w:rsidRPr="00EB2FA5">
        <w:rPr>
          <w:rFonts w:cstheme="minorHAnsi"/>
        </w:rPr>
        <w:lastRenderedPageBreak/>
        <w:t>The bottom line is that during FY2021 to FY2022, Scotiabank showed a commendable growth trajectory. Americas, especially Canada and the member states of the Pacific Alliance, are where it is most prevalent. It maintained a steady trend in operational costs despite a few blips in asset oversight.</w:t>
      </w:r>
    </w:p>
    <w:p w14:paraId="17E74B38" w14:textId="4D52FA6B" w:rsidR="009B683A" w:rsidRDefault="009B683A" w:rsidP="0030782C">
      <w:pPr>
        <w:rPr>
          <w:rStyle w:val="Heading3Char"/>
          <w:b/>
          <w:bCs/>
        </w:rPr>
      </w:pPr>
      <w:bookmarkStart w:id="13" w:name="_Toc145702360"/>
      <w:r w:rsidRPr="00250B70">
        <w:rPr>
          <w:rStyle w:val="Heading3Char"/>
          <w:b/>
          <w:bCs/>
        </w:rPr>
        <w:t>Financial Highlights for the FY22 and FY2021:</w:t>
      </w:r>
      <w:bookmarkEnd w:id="13"/>
    </w:p>
    <w:p w14:paraId="4DCD60E4" w14:textId="77777777" w:rsidR="00A60B17" w:rsidRPr="00A60B17" w:rsidRDefault="00A60B17" w:rsidP="00A60B17"/>
    <w:tbl>
      <w:tblPr>
        <w:tblStyle w:val="GridTable4-Accent5"/>
        <w:tblW w:w="0" w:type="auto"/>
        <w:tblLook w:val="04A0" w:firstRow="1" w:lastRow="0" w:firstColumn="1" w:lastColumn="0" w:noHBand="0" w:noVBand="1"/>
      </w:tblPr>
      <w:tblGrid>
        <w:gridCol w:w="4088"/>
        <w:gridCol w:w="3251"/>
        <w:gridCol w:w="3117"/>
      </w:tblGrid>
      <w:tr w:rsidR="009B683A" w:rsidRPr="003E325A" w14:paraId="23AEA3C5" w14:textId="77777777" w:rsidTr="00E14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1F3D5326" w14:textId="77777777" w:rsidR="009B683A" w:rsidRPr="003E325A" w:rsidRDefault="009B683A" w:rsidP="00AF1377">
            <w:pPr>
              <w:pStyle w:val="ListParagraph"/>
              <w:spacing w:after="100" w:afterAutospacing="1" w:line="360" w:lineRule="auto"/>
              <w:ind w:left="0"/>
              <w:rPr>
                <w:rFonts w:cstheme="minorHAnsi"/>
                <w:b w:val="0"/>
                <w:bCs w:val="0"/>
                <w:sz w:val="20"/>
                <w:szCs w:val="20"/>
              </w:rPr>
            </w:pPr>
          </w:p>
        </w:tc>
        <w:tc>
          <w:tcPr>
            <w:tcW w:w="3402" w:type="dxa"/>
          </w:tcPr>
          <w:p w14:paraId="0EABAE4D" w14:textId="77777777" w:rsidR="009B683A" w:rsidRPr="003E325A" w:rsidRDefault="009B683A" w:rsidP="003E325A">
            <w:pPr>
              <w:pStyle w:val="ListParagraph"/>
              <w:spacing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3E325A">
              <w:rPr>
                <w:rFonts w:cstheme="minorHAnsi"/>
                <w:sz w:val="20"/>
                <w:szCs w:val="20"/>
              </w:rPr>
              <w:t>FY2022</w:t>
            </w:r>
          </w:p>
        </w:tc>
        <w:tc>
          <w:tcPr>
            <w:tcW w:w="3260" w:type="dxa"/>
          </w:tcPr>
          <w:p w14:paraId="6B4A7D1D" w14:textId="77777777" w:rsidR="009B683A" w:rsidRPr="003E325A" w:rsidRDefault="009B683A" w:rsidP="003E325A">
            <w:pPr>
              <w:pStyle w:val="ListParagraph"/>
              <w:spacing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3E325A">
              <w:rPr>
                <w:rFonts w:cstheme="minorHAnsi"/>
                <w:sz w:val="20"/>
                <w:szCs w:val="20"/>
              </w:rPr>
              <w:t>FY2021</w:t>
            </w:r>
          </w:p>
        </w:tc>
      </w:tr>
      <w:tr w:rsidR="009B683A" w:rsidRPr="003E325A" w14:paraId="08151159" w14:textId="77777777" w:rsidTr="00E1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7DCD7522"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Net Income ($Bn)</w:t>
            </w:r>
          </w:p>
        </w:tc>
        <w:tc>
          <w:tcPr>
            <w:tcW w:w="3402" w:type="dxa"/>
          </w:tcPr>
          <w:p w14:paraId="4E139EE0"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10.7</w:t>
            </w:r>
          </w:p>
        </w:tc>
        <w:tc>
          <w:tcPr>
            <w:tcW w:w="3260" w:type="dxa"/>
          </w:tcPr>
          <w:p w14:paraId="61C2C539"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10.2</w:t>
            </w:r>
          </w:p>
        </w:tc>
      </w:tr>
      <w:tr w:rsidR="009B683A" w:rsidRPr="003E325A" w14:paraId="5AD437E4" w14:textId="77777777" w:rsidTr="00E14F63">
        <w:tc>
          <w:tcPr>
            <w:cnfStyle w:val="001000000000" w:firstRow="0" w:lastRow="0" w:firstColumn="1" w:lastColumn="0" w:oddVBand="0" w:evenVBand="0" w:oddHBand="0" w:evenHBand="0" w:firstRowFirstColumn="0" w:firstRowLastColumn="0" w:lastRowFirstColumn="0" w:lastRowLastColumn="0"/>
            <w:tcW w:w="4253" w:type="dxa"/>
          </w:tcPr>
          <w:p w14:paraId="2B473D8E"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EPS ($)</w:t>
            </w:r>
          </w:p>
        </w:tc>
        <w:tc>
          <w:tcPr>
            <w:tcW w:w="3402" w:type="dxa"/>
          </w:tcPr>
          <w:p w14:paraId="6711293B"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8.50</w:t>
            </w:r>
          </w:p>
        </w:tc>
        <w:tc>
          <w:tcPr>
            <w:tcW w:w="3260" w:type="dxa"/>
          </w:tcPr>
          <w:p w14:paraId="1867A290"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7.87</w:t>
            </w:r>
          </w:p>
        </w:tc>
      </w:tr>
      <w:tr w:rsidR="009B683A" w:rsidRPr="003E325A" w14:paraId="52B4588A" w14:textId="77777777" w:rsidTr="00E1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1A710DE8"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Dividend Growth ($)</w:t>
            </w:r>
          </w:p>
        </w:tc>
        <w:tc>
          <w:tcPr>
            <w:tcW w:w="3402" w:type="dxa"/>
          </w:tcPr>
          <w:p w14:paraId="7E2F3C38"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4.06</w:t>
            </w:r>
          </w:p>
        </w:tc>
        <w:tc>
          <w:tcPr>
            <w:tcW w:w="3260" w:type="dxa"/>
          </w:tcPr>
          <w:p w14:paraId="7526205C"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3.60</w:t>
            </w:r>
          </w:p>
        </w:tc>
      </w:tr>
      <w:tr w:rsidR="009B683A" w:rsidRPr="003E325A" w14:paraId="5C302A22" w14:textId="77777777" w:rsidTr="00E14F63">
        <w:tc>
          <w:tcPr>
            <w:cnfStyle w:val="001000000000" w:firstRow="0" w:lastRow="0" w:firstColumn="1" w:lastColumn="0" w:oddVBand="0" w:evenVBand="0" w:oddHBand="0" w:evenHBand="0" w:firstRowFirstColumn="0" w:firstRowLastColumn="0" w:lastRowFirstColumn="0" w:lastRowLastColumn="0"/>
            <w:tcW w:w="4253" w:type="dxa"/>
          </w:tcPr>
          <w:p w14:paraId="6BB58E5B"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Revenue ($Bn)</w:t>
            </w:r>
          </w:p>
        </w:tc>
        <w:tc>
          <w:tcPr>
            <w:tcW w:w="3402" w:type="dxa"/>
          </w:tcPr>
          <w:p w14:paraId="2F232C4D"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31.8</w:t>
            </w:r>
          </w:p>
        </w:tc>
        <w:tc>
          <w:tcPr>
            <w:tcW w:w="3260" w:type="dxa"/>
          </w:tcPr>
          <w:p w14:paraId="73674788"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31.25</w:t>
            </w:r>
          </w:p>
        </w:tc>
      </w:tr>
      <w:tr w:rsidR="009B683A" w:rsidRPr="003E325A" w14:paraId="72F85B48" w14:textId="77777777" w:rsidTr="00E1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ECD52C3"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Return on Equity</w:t>
            </w:r>
          </w:p>
        </w:tc>
        <w:tc>
          <w:tcPr>
            <w:tcW w:w="3402" w:type="dxa"/>
          </w:tcPr>
          <w:p w14:paraId="65ECD8B5"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15.6%</w:t>
            </w:r>
          </w:p>
        </w:tc>
        <w:tc>
          <w:tcPr>
            <w:tcW w:w="3260" w:type="dxa"/>
          </w:tcPr>
          <w:p w14:paraId="4A4277BD"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15.0%</w:t>
            </w:r>
          </w:p>
        </w:tc>
      </w:tr>
      <w:tr w:rsidR="009B683A" w:rsidRPr="003E325A" w14:paraId="54A296F1" w14:textId="77777777" w:rsidTr="00E14F63">
        <w:tc>
          <w:tcPr>
            <w:cnfStyle w:val="001000000000" w:firstRow="0" w:lastRow="0" w:firstColumn="1" w:lastColumn="0" w:oddVBand="0" w:evenVBand="0" w:oddHBand="0" w:evenHBand="0" w:firstRowFirstColumn="0" w:firstRowLastColumn="0" w:lastRowFirstColumn="0" w:lastRowLastColumn="0"/>
            <w:tcW w:w="4253" w:type="dxa"/>
          </w:tcPr>
          <w:p w14:paraId="3CD2E041"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Productivity Ratio</w:t>
            </w:r>
          </w:p>
        </w:tc>
        <w:tc>
          <w:tcPr>
            <w:tcW w:w="3402" w:type="dxa"/>
          </w:tcPr>
          <w:p w14:paraId="00F1E446"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54.4%</w:t>
            </w:r>
          </w:p>
        </w:tc>
        <w:tc>
          <w:tcPr>
            <w:tcW w:w="3260" w:type="dxa"/>
          </w:tcPr>
          <w:p w14:paraId="5ACF0FEB"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53.2</w:t>
            </w:r>
          </w:p>
        </w:tc>
      </w:tr>
      <w:tr w:rsidR="009B683A" w:rsidRPr="003E325A" w14:paraId="3FA23A0E" w14:textId="77777777" w:rsidTr="00E1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7C85886B"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Total Assets ($T)</w:t>
            </w:r>
          </w:p>
        </w:tc>
        <w:tc>
          <w:tcPr>
            <w:tcW w:w="3402" w:type="dxa"/>
          </w:tcPr>
          <w:p w14:paraId="29CF6E27"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1.35</w:t>
            </w:r>
          </w:p>
        </w:tc>
        <w:tc>
          <w:tcPr>
            <w:tcW w:w="3260" w:type="dxa"/>
          </w:tcPr>
          <w:p w14:paraId="15C19C9F"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1.185</w:t>
            </w:r>
          </w:p>
        </w:tc>
      </w:tr>
      <w:tr w:rsidR="009B683A" w:rsidRPr="003E325A" w14:paraId="6FAA3D13" w14:textId="77777777" w:rsidTr="00E14F63">
        <w:tc>
          <w:tcPr>
            <w:cnfStyle w:val="001000000000" w:firstRow="0" w:lastRow="0" w:firstColumn="1" w:lastColumn="0" w:oddVBand="0" w:evenVBand="0" w:oddHBand="0" w:evenHBand="0" w:firstRowFirstColumn="0" w:firstRowLastColumn="0" w:lastRowFirstColumn="0" w:lastRowLastColumn="0"/>
            <w:tcW w:w="4253" w:type="dxa"/>
          </w:tcPr>
          <w:p w14:paraId="4D9A1110"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Loans ($Bn)</w:t>
            </w:r>
          </w:p>
        </w:tc>
        <w:tc>
          <w:tcPr>
            <w:tcW w:w="3402" w:type="dxa"/>
          </w:tcPr>
          <w:p w14:paraId="2A8D74D2"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745</w:t>
            </w:r>
          </w:p>
        </w:tc>
        <w:tc>
          <w:tcPr>
            <w:tcW w:w="3260" w:type="dxa"/>
          </w:tcPr>
          <w:p w14:paraId="0FC7663F"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637</w:t>
            </w:r>
          </w:p>
        </w:tc>
      </w:tr>
      <w:tr w:rsidR="009B683A" w:rsidRPr="003E325A" w14:paraId="18CC6F27" w14:textId="77777777" w:rsidTr="00E1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70F5F8F6"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Deposits ($Bn)</w:t>
            </w:r>
          </w:p>
        </w:tc>
        <w:tc>
          <w:tcPr>
            <w:tcW w:w="3402" w:type="dxa"/>
          </w:tcPr>
          <w:p w14:paraId="275CE756"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916</w:t>
            </w:r>
          </w:p>
        </w:tc>
        <w:tc>
          <w:tcPr>
            <w:tcW w:w="3260" w:type="dxa"/>
          </w:tcPr>
          <w:p w14:paraId="32238C5C"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797</w:t>
            </w:r>
          </w:p>
        </w:tc>
      </w:tr>
      <w:tr w:rsidR="009B683A" w:rsidRPr="003E325A" w14:paraId="674D08E1" w14:textId="77777777" w:rsidTr="00E14F63">
        <w:tc>
          <w:tcPr>
            <w:cnfStyle w:val="001000000000" w:firstRow="0" w:lastRow="0" w:firstColumn="1" w:lastColumn="0" w:oddVBand="0" w:evenVBand="0" w:oddHBand="0" w:evenHBand="0" w:firstRowFirstColumn="0" w:firstRowLastColumn="0" w:lastRowFirstColumn="0" w:lastRowLastColumn="0"/>
            <w:tcW w:w="4253" w:type="dxa"/>
          </w:tcPr>
          <w:p w14:paraId="75D0FAD0"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Assets under administration (AUA)($Bn)</w:t>
            </w:r>
          </w:p>
        </w:tc>
        <w:tc>
          <w:tcPr>
            <w:tcW w:w="3402" w:type="dxa"/>
          </w:tcPr>
          <w:p w14:paraId="6D3300FC"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641.64</w:t>
            </w:r>
          </w:p>
        </w:tc>
        <w:tc>
          <w:tcPr>
            <w:tcW w:w="3260" w:type="dxa"/>
          </w:tcPr>
          <w:p w14:paraId="58B9B476"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652.92</w:t>
            </w:r>
          </w:p>
        </w:tc>
      </w:tr>
      <w:tr w:rsidR="009B683A" w:rsidRPr="003E325A" w14:paraId="0EBAB437" w14:textId="77777777" w:rsidTr="00E1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115A7CCD"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Assets under management (AUM)($Bn)</w:t>
            </w:r>
          </w:p>
        </w:tc>
        <w:tc>
          <w:tcPr>
            <w:tcW w:w="3402" w:type="dxa"/>
          </w:tcPr>
          <w:p w14:paraId="57728EE0"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312</w:t>
            </w:r>
          </w:p>
        </w:tc>
        <w:tc>
          <w:tcPr>
            <w:tcW w:w="3260" w:type="dxa"/>
          </w:tcPr>
          <w:p w14:paraId="60E00F60"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345.76</w:t>
            </w:r>
          </w:p>
        </w:tc>
      </w:tr>
      <w:tr w:rsidR="009B683A" w:rsidRPr="003E325A" w14:paraId="4B82DE3D" w14:textId="77777777" w:rsidTr="00E14F63">
        <w:tc>
          <w:tcPr>
            <w:cnfStyle w:val="001000000000" w:firstRow="0" w:lastRow="0" w:firstColumn="1" w:lastColumn="0" w:oddVBand="0" w:evenVBand="0" w:oddHBand="0" w:evenHBand="0" w:firstRowFirstColumn="0" w:firstRowLastColumn="0" w:lastRowFirstColumn="0" w:lastRowLastColumn="0"/>
            <w:tcW w:w="4253" w:type="dxa"/>
          </w:tcPr>
          <w:p w14:paraId="2BA04965"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Provision for Credit Losses ($Bn)</w:t>
            </w:r>
          </w:p>
        </w:tc>
        <w:tc>
          <w:tcPr>
            <w:tcW w:w="3402" w:type="dxa"/>
          </w:tcPr>
          <w:p w14:paraId="3F2C6FFF"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1.38</w:t>
            </w:r>
          </w:p>
        </w:tc>
        <w:tc>
          <w:tcPr>
            <w:tcW w:w="3260" w:type="dxa"/>
          </w:tcPr>
          <w:p w14:paraId="26D16E58"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1.81</w:t>
            </w:r>
          </w:p>
        </w:tc>
      </w:tr>
      <w:tr w:rsidR="009B683A" w:rsidRPr="003E325A" w14:paraId="2B1D6A42" w14:textId="77777777" w:rsidTr="00E1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7694B3CE"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Non-Interest Expenses ($Bn)</w:t>
            </w:r>
          </w:p>
        </w:tc>
        <w:tc>
          <w:tcPr>
            <w:tcW w:w="3402" w:type="dxa"/>
          </w:tcPr>
          <w:p w14:paraId="41C2EA62"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17.1</w:t>
            </w:r>
          </w:p>
        </w:tc>
        <w:tc>
          <w:tcPr>
            <w:tcW w:w="3260" w:type="dxa"/>
          </w:tcPr>
          <w:p w14:paraId="6DA697E0"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16.62</w:t>
            </w:r>
          </w:p>
        </w:tc>
      </w:tr>
      <w:tr w:rsidR="009B683A" w:rsidRPr="003E325A" w14:paraId="190F6B2A" w14:textId="77777777" w:rsidTr="00E14F63">
        <w:tc>
          <w:tcPr>
            <w:cnfStyle w:val="001000000000" w:firstRow="0" w:lastRow="0" w:firstColumn="1" w:lastColumn="0" w:oddVBand="0" w:evenVBand="0" w:oddHBand="0" w:evenHBand="0" w:firstRowFirstColumn="0" w:firstRowLastColumn="0" w:lastRowFirstColumn="0" w:lastRowLastColumn="0"/>
            <w:tcW w:w="4253" w:type="dxa"/>
          </w:tcPr>
          <w:p w14:paraId="22821F73"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Income tax Expenses ($Bn)</w:t>
            </w:r>
          </w:p>
        </w:tc>
        <w:tc>
          <w:tcPr>
            <w:tcW w:w="3402" w:type="dxa"/>
          </w:tcPr>
          <w:p w14:paraId="74FD3E77"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2.76</w:t>
            </w:r>
          </w:p>
        </w:tc>
        <w:tc>
          <w:tcPr>
            <w:tcW w:w="3260" w:type="dxa"/>
          </w:tcPr>
          <w:p w14:paraId="32524435"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2.87</w:t>
            </w:r>
          </w:p>
        </w:tc>
      </w:tr>
      <w:tr w:rsidR="009B683A" w:rsidRPr="003E325A" w14:paraId="1E00D103" w14:textId="77777777" w:rsidTr="00E1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7F8EEFCA"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Total Taxes ($Bn)</w:t>
            </w:r>
          </w:p>
        </w:tc>
        <w:tc>
          <w:tcPr>
            <w:tcW w:w="3402" w:type="dxa"/>
          </w:tcPr>
          <w:p w14:paraId="299207CE"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4.2</w:t>
            </w:r>
          </w:p>
        </w:tc>
        <w:tc>
          <w:tcPr>
            <w:tcW w:w="3260" w:type="dxa"/>
          </w:tcPr>
          <w:p w14:paraId="62422135"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4.2</w:t>
            </w:r>
          </w:p>
        </w:tc>
      </w:tr>
      <w:tr w:rsidR="009B683A" w:rsidRPr="003E325A" w14:paraId="7C7D2CB3" w14:textId="77777777" w:rsidTr="00E14F63">
        <w:tc>
          <w:tcPr>
            <w:cnfStyle w:val="001000000000" w:firstRow="0" w:lastRow="0" w:firstColumn="1" w:lastColumn="0" w:oddVBand="0" w:evenVBand="0" w:oddHBand="0" w:evenHBand="0" w:firstRowFirstColumn="0" w:firstRowLastColumn="0" w:lastRowFirstColumn="0" w:lastRowLastColumn="0"/>
            <w:tcW w:w="4253" w:type="dxa"/>
          </w:tcPr>
          <w:p w14:paraId="205F2301" w14:textId="5897410A"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u w:val="single"/>
              </w:rPr>
              <w:t>Common share information ($)</w:t>
            </w:r>
            <w:r w:rsidRPr="003E325A">
              <w:rPr>
                <w:rFonts w:cstheme="minorHAnsi"/>
                <w:sz w:val="20"/>
                <w:szCs w:val="20"/>
              </w:rPr>
              <w:br/>
              <w:t>Closing share price ($)</w:t>
            </w:r>
          </w:p>
          <w:p w14:paraId="7CCE98B4"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 xml:space="preserve">Dividends paid per share ($) </w:t>
            </w:r>
          </w:p>
          <w:p w14:paraId="1CC52C33"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Dividend yield (%)</w:t>
            </w:r>
          </w:p>
          <w:p w14:paraId="533D6F47"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Market Capitalization ($</w:t>
            </w:r>
            <w:proofErr w:type="gramStart"/>
            <w:r w:rsidRPr="003E325A">
              <w:rPr>
                <w:rFonts w:cstheme="minorHAnsi"/>
                <w:sz w:val="20"/>
                <w:szCs w:val="20"/>
              </w:rPr>
              <w:t xml:space="preserve">Bn)   </w:t>
            </w:r>
            <w:proofErr w:type="gramEnd"/>
            <w:r w:rsidRPr="003E325A">
              <w:rPr>
                <w:rFonts w:cstheme="minorHAnsi"/>
                <w:sz w:val="20"/>
                <w:szCs w:val="20"/>
              </w:rPr>
              <w:t xml:space="preserve">        </w:t>
            </w:r>
          </w:p>
        </w:tc>
        <w:tc>
          <w:tcPr>
            <w:tcW w:w="3402" w:type="dxa"/>
          </w:tcPr>
          <w:p w14:paraId="76E2CCF5"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5DDCEDB"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65.85</w:t>
            </w:r>
          </w:p>
          <w:p w14:paraId="5955B180"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4.06</w:t>
            </w:r>
          </w:p>
          <w:p w14:paraId="478764C6"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5.1</w:t>
            </w:r>
          </w:p>
          <w:p w14:paraId="3031E1A3"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78.45</w:t>
            </w:r>
          </w:p>
        </w:tc>
        <w:tc>
          <w:tcPr>
            <w:tcW w:w="3260" w:type="dxa"/>
          </w:tcPr>
          <w:p w14:paraId="04A9FEAA"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89B6813"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81.14</w:t>
            </w:r>
          </w:p>
          <w:p w14:paraId="4CF449BD"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3.60</w:t>
            </w:r>
          </w:p>
          <w:p w14:paraId="52BDB146"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5.2</w:t>
            </w:r>
          </w:p>
          <w:p w14:paraId="5246AD8F" w14:textId="77777777"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98.61</w:t>
            </w:r>
          </w:p>
        </w:tc>
      </w:tr>
      <w:tr w:rsidR="009B683A" w:rsidRPr="003E325A" w14:paraId="0146A977" w14:textId="77777777" w:rsidTr="00E1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928C27D" w14:textId="3DA700BD" w:rsidR="009B683A" w:rsidRPr="003E325A" w:rsidRDefault="009B683A" w:rsidP="00AF1377">
            <w:pPr>
              <w:pStyle w:val="ListParagraph"/>
              <w:spacing w:after="100" w:afterAutospacing="1" w:line="360" w:lineRule="auto"/>
              <w:ind w:left="0"/>
              <w:rPr>
                <w:rFonts w:cstheme="minorHAnsi"/>
                <w:b w:val="0"/>
                <w:bCs w:val="0"/>
                <w:sz w:val="20"/>
                <w:szCs w:val="20"/>
                <w:u w:val="single"/>
              </w:rPr>
            </w:pPr>
            <w:r w:rsidRPr="003E325A">
              <w:rPr>
                <w:rFonts w:cstheme="minorHAnsi"/>
                <w:sz w:val="20"/>
                <w:szCs w:val="20"/>
                <w:u w:val="single"/>
              </w:rPr>
              <w:t>Other information:</w:t>
            </w:r>
          </w:p>
          <w:p w14:paraId="5BBA322A"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Employees (full-time equivalent)</w:t>
            </w:r>
          </w:p>
          <w:p w14:paraId="11235FA9" w14:textId="77777777" w:rsidR="009B683A" w:rsidRPr="003E325A" w:rsidRDefault="009B683A" w:rsidP="00AF1377">
            <w:pPr>
              <w:pStyle w:val="ListParagraph"/>
              <w:spacing w:after="100" w:afterAutospacing="1" w:line="360" w:lineRule="auto"/>
              <w:ind w:left="0"/>
              <w:rPr>
                <w:rFonts w:cstheme="minorHAnsi"/>
                <w:b w:val="0"/>
                <w:bCs w:val="0"/>
                <w:sz w:val="20"/>
                <w:szCs w:val="20"/>
              </w:rPr>
            </w:pPr>
            <w:r w:rsidRPr="003E325A">
              <w:rPr>
                <w:rFonts w:cstheme="minorHAnsi"/>
                <w:sz w:val="20"/>
                <w:szCs w:val="20"/>
              </w:rPr>
              <w:t>Branches and offices</w:t>
            </w:r>
          </w:p>
        </w:tc>
        <w:tc>
          <w:tcPr>
            <w:tcW w:w="3402" w:type="dxa"/>
          </w:tcPr>
          <w:p w14:paraId="1519872D"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F638658"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90,979</w:t>
            </w:r>
          </w:p>
          <w:p w14:paraId="78258BE6"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2,384</w:t>
            </w:r>
          </w:p>
        </w:tc>
        <w:tc>
          <w:tcPr>
            <w:tcW w:w="3260" w:type="dxa"/>
          </w:tcPr>
          <w:p w14:paraId="5374DDA8"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5684D79"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89,488</w:t>
            </w:r>
          </w:p>
          <w:p w14:paraId="4D70F3D2" w14:textId="77777777"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2,518</w:t>
            </w:r>
          </w:p>
        </w:tc>
      </w:tr>
    </w:tbl>
    <w:p w14:paraId="6FFC0D53" w14:textId="77777777" w:rsidR="00E14F63" w:rsidRPr="00697A95" w:rsidRDefault="00E14F63" w:rsidP="009B683A">
      <w:pPr>
        <w:spacing w:after="100" w:afterAutospacing="1" w:line="360" w:lineRule="auto"/>
        <w:rPr>
          <w:rFonts w:cstheme="minorHAnsi"/>
          <w:b/>
          <w:bCs/>
        </w:rPr>
      </w:pPr>
    </w:p>
    <w:p w14:paraId="27B3F5D2" w14:textId="77777777" w:rsidR="003A5C15" w:rsidRDefault="003A5C15" w:rsidP="00697A95">
      <w:pPr>
        <w:rPr>
          <w:rStyle w:val="Heading3Char"/>
          <w:rFonts w:asciiTheme="minorHAnsi" w:hAnsiTheme="minorHAnsi" w:cstheme="minorHAnsi"/>
          <w:color w:val="auto"/>
          <w:sz w:val="22"/>
          <w:szCs w:val="22"/>
        </w:rPr>
      </w:pPr>
    </w:p>
    <w:p w14:paraId="0BA2DA2C" w14:textId="6985D929" w:rsidR="00A4787B" w:rsidRPr="00697A95" w:rsidRDefault="00000000" w:rsidP="00697A95">
      <w:pPr>
        <w:rPr>
          <w:rStyle w:val="Heading3Char"/>
          <w:rFonts w:asciiTheme="minorHAnsi" w:hAnsiTheme="minorHAnsi" w:cstheme="minorHAnsi"/>
          <w:color w:val="auto"/>
          <w:sz w:val="22"/>
          <w:szCs w:val="22"/>
        </w:rPr>
      </w:pPr>
      <w:sdt>
        <w:sdtPr>
          <w:rPr>
            <w:rStyle w:val="Heading3Char"/>
            <w:rFonts w:asciiTheme="minorHAnsi" w:hAnsiTheme="minorHAnsi" w:cstheme="minorHAnsi"/>
            <w:color w:val="auto"/>
            <w:sz w:val="22"/>
            <w:szCs w:val="22"/>
          </w:rPr>
          <w:id w:val="1713764974"/>
          <w:citation/>
        </w:sdtPr>
        <w:sdtContent>
          <w:r w:rsidR="00DD3805">
            <w:rPr>
              <w:rStyle w:val="Heading3Char"/>
              <w:rFonts w:asciiTheme="minorHAnsi" w:hAnsiTheme="minorHAnsi" w:cstheme="minorHAnsi"/>
              <w:color w:val="auto"/>
              <w:sz w:val="22"/>
              <w:szCs w:val="22"/>
            </w:rPr>
            <w:fldChar w:fldCharType="begin"/>
          </w:r>
          <w:r w:rsidR="00DD3805">
            <w:rPr>
              <w:rStyle w:val="Heading3Char"/>
              <w:rFonts w:asciiTheme="minorHAnsi" w:hAnsiTheme="minorHAnsi" w:cstheme="minorHAnsi"/>
              <w:color w:val="auto"/>
              <w:sz w:val="22"/>
              <w:szCs w:val="22"/>
            </w:rPr>
            <w:instrText xml:space="preserve"> CITATION Sco22 \l 16393 </w:instrText>
          </w:r>
          <w:r w:rsidR="00DD3805">
            <w:rPr>
              <w:rStyle w:val="Heading3Char"/>
              <w:rFonts w:asciiTheme="minorHAnsi" w:hAnsiTheme="minorHAnsi" w:cstheme="minorHAnsi"/>
              <w:color w:val="auto"/>
              <w:sz w:val="22"/>
              <w:szCs w:val="22"/>
            </w:rPr>
            <w:fldChar w:fldCharType="separate"/>
          </w:r>
          <w:r w:rsidR="00DD3805" w:rsidRPr="00DD3805">
            <w:rPr>
              <w:rFonts w:eastAsiaTheme="majorEastAsia" w:cstheme="minorHAnsi"/>
              <w:noProof/>
            </w:rPr>
            <w:t>(Scotiabank, 2022)</w:t>
          </w:r>
          <w:r w:rsidR="00DD3805">
            <w:rPr>
              <w:rStyle w:val="Heading3Char"/>
              <w:rFonts w:asciiTheme="minorHAnsi" w:hAnsiTheme="minorHAnsi" w:cstheme="minorHAnsi"/>
              <w:color w:val="auto"/>
              <w:sz w:val="22"/>
              <w:szCs w:val="22"/>
            </w:rPr>
            <w:fldChar w:fldCharType="end"/>
          </w:r>
        </w:sdtContent>
      </w:sdt>
      <w:sdt>
        <w:sdtPr>
          <w:rPr>
            <w:rStyle w:val="Heading3Char"/>
            <w:rFonts w:asciiTheme="minorHAnsi" w:hAnsiTheme="minorHAnsi" w:cstheme="minorHAnsi"/>
            <w:color w:val="auto"/>
            <w:sz w:val="22"/>
            <w:szCs w:val="22"/>
          </w:rPr>
          <w:id w:val="-15164692"/>
          <w:citation/>
        </w:sdtPr>
        <w:sdtContent>
          <w:r w:rsidR="00DD3805">
            <w:rPr>
              <w:rStyle w:val="Heading3Char"/>
              <w:rFonts w:asciiTheme="minorHAnsi" w:hAnsiTheme="minorHAnsi" w:cstheme="minorHAnsi"/>
              <w:color w:val="auto"/>
              <w:sz w:val="22"/>
              <w:szCs w:val="22"/>
            </w:rPr>
            <w:fldChar w:fldCharType="begin"/>
          </w:r>
          <w:r w:rsidR="00DD3805">
            <w:rPr>
              <w:rStyle w:val="Heading3Char"/>
              <w:rFonts w:asciiTheme="minorHAnsi" w:hAnsiTheme="minorHAnsi" w:cstheme="minorHAnsi"/>
              <w:color w:val="auto"/>
              <w:sz w:val="22"/>
              <w:szCs w:val="22"/>
            </w:rPr>
            <w:instrText xml:space="preserve"> CITATION Placeholder5 \l 16393 </w:instrText>
          </w:r>
          <w:r w:rsidR="00DD3805">
            <w:rPr>
              <w:rStyle w:val="Heading3Char"/>
              <w:rFonts w:asciiTheme="minorHAnsi" w:hAnsiTheme="minorHAnsi" w:cstheme="minorHAnsi"/>
              <w:color w:val="auto"/>
              <w:sz w:val="22"/>
              <w:szCs w:val="22"/>
            </w:rPr>
            <w:fldChar w:fldCharType="separate"/>
          </w:r>
          <w:r w:rsidR="00DD3805">
            <w:rPr>
              <w:rStyle w:val="Heading3Char"/>
              <w:rFonts w:asciiTheme="minorHAnsi" w:hAnsiTheme="minorHAnsi" w:cstheme="minorHAnsi"/>
              <w:noProof/>
              <w:color w:val="auto"/>
              <w:sz w:val="22"/>
              <w:szCs w:val="22"/>
            </w:rPr>
            <w:t xml:space="preserve"> </w:t>
          </w:r>
          <w:r w:rsidR="00DD3805" w:rsidRPr="00DD3805">
            <w:rPr>
              <w:rFonts w:eastAsiaTheme="majorEastAsia" w:cstheme="minorHAnsi"/>
              <w:noProof/>
            </w:rPr>
            <w:t>(Scotiabank, 2021)</w:t>
          </w:r>
          <w:r w:rsidR="00DD3805">
            <w:rPr>
              <w:rStyle w:val="Heading3Char"/>
              <w:rFonts w:asciiTheme="minorHAnsi" w:hAnsiTheme="minorHAnsi" w:cstheme="minorHAnsi"/>
              <w:color w:val="auto"/>
              <w:sz w:val="22"/>
              <w:szCs w:val="22"/>
            </w:rPr>
            <w:fldChar w:fldCharType="end"/>
          </w:r>
        </w:sdtContent>
      </w:sdt>
    </w:p>
    <w:p w14:paraId="3F2F05C6" w14:textId="77777777" w:rsidR="00E03F2E" w:rsidRPr="00E14F63" w:rsidRDefault="00E03F2E" w:rsidP="00A60B17"/>
    <w:p w14:paraId="1FE5FC71" w14:textId="0FE69950" w:rsidR="009B683A" w:rsidRPr="00E03F2E" w:rsidRDefault="009B683A" w:rsidP="0030782C">
      <w:pPr>
        <w:rPr>
          <w:rStyle w:val="Heading3Char"/>
          <w:b/>
          <w:bCs/>
        </w:rPr>
      </w:pPr>
      <w:bookmarkStart w:id="14" w:name="_Toc145702361"/>
      <w:r w:rsidRPr="00E03F2E">
        <w:rPr>
          <w:rStyle w:val="Heading3Char"/>
          <w:b/>
          <w:bCs/>
        </w:rPr>
        <w:lastRenderedPageBreak/>
        <w:t>FY2022 Earnings classification</w:t>
      </w:r>
      <w:r w:rsidR="0032656E">
        <w:rPr>
          <w:rStyle w:val="Heading3Char"/>
          <w:b/>
          <w:bCs/>
        </w:rPr>
        <w:t xml:space="preserve">: </w:t>
      </w:r>
      <w:sdt>
        <w:sdtPr>
          <w:rPr>
            <w:rStyle w:val="Heading3Char"/>
            <w:b/>
            <w:bCs/>
          </w:rPr>
          <w:id w:val="815915535"/>
          <w:citation/>
        </w:sdtPr>
        <w:sdtContent>
          <w:bookmarkEnd w:id="14"/>
          <w:r w:rsidR="00FE065B">
            <w:rPr>
              <w:rStyle w:val="Heading3Char"/>
              <w:b/>
              <w:bCs/>
            </w:rPr>
            <w:fldChar w:fldCharType="begin"/>
          </w:r>
          <w:r w:rsidR="00FE065B">
            <w:rPr>
              <w:rStyle w:val="Heading3Char"/>
              <w:b/>
              <w:bCs/>
              <w:color w:val="auto"/>
            </w:rPr>
            <w:instrText xml:space="preserve"> CITATION Sco22 \l 16393 </w:instrText>
          </w:r>
          <w:r w:rsidR="00FE065B">
            <w:rPr>
              <w:rStyle w:val="Heading3Char"/>
              <w:b/>
              <w:bCs/>
            </w:rPr>
            <w:fldChar w:fldCharType="separate"/>
          </w:r>
          <w:r w:rsidR="00FE065B" w:rsidRPr="00FE065B">
            <w:rPr>
              <w:noProof/>
            </w:rPr>
            <w:t>(Scotiabank, 2022)</w:t>
          </w:r>
          <w:r w:rsidR="00FE065B">
            <w:rPr>
              <w:rStyle w:val="Heading3Char"/>
              <w:b/>
              <w:bCs/>
            </w:rPr>
            <w:fldChar w:fldCharType="end"/>
          </w:r>
        </w:sdtContent>
      </w:sdt>
    </w:p>
    <w:p w14:paraId="55125051" w14:textId="77777777" w:rsidR="009B683A" w:rsidRPr="00257DA0" w:rsidRDefault="009B683A" w:rsidP="00E14F63">
      <w:pPr>
        <w:spacing w:after="100" w:afterAutospacing="1" w:line="360" w:lineRule="auto"/>
        <w:ind w:firstLine="720"/>
        <w:jc w:val="center"/>
        <w:rPr>
          <w:rFonts w:cstheme="minorHAnsi"/>
          <w:b/>
          <w:bCs/>
        </w:rPr>
      </w:pPr>
      <w:r w:rsidRPr="00257DA0">
        <w:rPr>
          <w:rFonts w:cstheme="minorHAnsi"/>
          <w:b/>
          <w:bCs/>
        </w:rPr>
        <w:t>Total Earnings -: $9.9Bn</w:t>
      </w:r>
      <w:r w:rsidRPr="00257DA0">
        <w:rPr>
          <w:rFonts w:cstheme="minorHAnsi"/>
          <w:b/>
          <w:bCs/>
        </w:rPr>
        <w:br/>
      </w:r>
      <w:r w:rsidRPr="00257DA0">
        <w:rPr>
          <w:rFonts w:cstheme="minorHAnsi"/>
          <w:noProof/>
        </w:rPr>
        <w:drawing>
          <wp:inline distT="0" distB="0" distL="0" distR="0" wp14:anchorId="1731CD74" wp14:editId="6CA3882C">
            <wp:extent cx="3840480" cy="2693670"/>
            <wp:effectExtent l="0" t="0" r="7620" b="11430"/>
            <wp:docPr id="941737788" name="Chart 1">
              <a:extLst xmlns:a="http://schemas.openxmlformats.org/drawingml/2006/main">
                <a:ext uri="{FF2B5EF4-FFF2-40B4-BE49-F238E27FC236}">
                  <a16:creationId xmlns:a16="http://schemas.microsoft.com/office/drawing/2014/main" id="{A7046F14-BDE6-6432-2695-8B0A29F945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A02864" w14:textId="77777777" w:rsidR="009B683A" w:rsidRDefault="009B683A" w:rsidP="00E14F63">
      <w:pPr>
        <w:spacing w:after="100" w:afterAutospacing="1" w:line="360" w:lineRule="auto"/>
        <w:jc w:val="center"/>
        <w:rPr>
          <w:rFonts w:cstheme="minorHAnsi"/>
          <w:b/>
          <w:bCs/>
        </w:rPr>
      </w:pPr>
      <w:r w:rsidRPr="00257DA0">
        <w:rPr>
          <w:rFonts w:cstheme="minorHAnsi"/>
          <w:noProof/>
        </w:rPr>
        <w:drawing>
          <wp:inline distT="0" distB="0" distL="0" distR="0" wp14:anchorId="58ABE031" wp14:editId="54C49A55">
            <wp:extent cx="4137660" cy="2678430"/>
            <wp:effectExtent l="0" t="0" r="15240" b="7620"/>
            <wp:docPr id="1286812928" name="Chart 1">
              <a:extLst xmlns:a="http://schemas.openxmlformats.org/drawingml/2006/main">
                <a:ext uri="{FF2B5EF4-FFF2-40B4-BE49-F238E27FC236}">
                  <a16:creationId xmlns:a16="http://schemas.microsoft.com/office/drawing/2014/main" id="{E97B9DAF-4329-2E48-30A6-8C7D881F9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3A4C8F" w14:textId="7DB27BDA" w:rsidR="009B683A" w:rsidRPr="00C44A49" w:rsidRDefault="009B683A" w:rsidP="009B683A">
      <w:pPr>
        <w:spacing w:after="100" w:afterAutospacing="1" w:line="360" w:lineRule="auto"/>
        <w:rPr>
          <w:rFonts w:cstheme="minorHAnsi"/>
          <w:b/>
          <w:bCs/>
        </w:rPr>
      </w:pPr>
      <w:bookmarkStart w:id="15" w:name="_Toc145702362"/>
      <w:r w:rsidRPr="0030782C">
        <w:rPr>
          <w:rStyle w:val="Heading3Char"/>
          <w:b/>
          <w:bCs/>
        </w:rPr>
        <w:t>Effective Tax Rate</w:t>
      </w:r>
      <w:r w:rsidR="00FE065B" w:rsidRPr="0030782C">
        <w:rPr>
          <w:rStyle w:val="Heading3Char"/>
          <w:b/>
          <w:bCs/>
        </w:rPr>
        <w:t xml:space="preserve">: </w:t>
      </w:r>
      <w:sdt>
        <w:sdtPr>
          <w:rPr>
            <w:rStyle w:val="Heading3Char"/>
            <w:b/>
            <w:bCs/>
          </w:rPr>
          <w:id w:val="1396707799"/>
          <w:citation/>
        </w:sdtPr>
        <w:sdtContent>
          <w:bookmarkEnd w:id="15"/>
          <w:r w:rsidR="00477228">
            <w:rPr>
              <w:rStyle w:val="Heading3Char"/>
              <w:b/>
              <w:bCs/>
            </w:rPr>
            <w:fldChar w:fldCharType="begin"/>
          </w:r>
          <w:r w:rsidR="00477228">
            <w:rPr>
              <w:rStyle w:val="Heading3Char"/>
              <w:b/>
              <w:bCs/>
            </w:rPr>
            <w:instrText xml:space="preserve"> CITATION Sco22 \l 16393 </w:instrText>
          </w:r>
          <w:r w:rsidR="00477228">
            <w:rPr>
              <w:rStyle w:val="Heading3Char"/>
              <w:b/>
              <w:bCs/>
            </w:rPr>
            <w:fldChar w:fldCharType="separate"/>
          </w:r>
          <w:r w:rsidR="00477228" w:rsidRPr="00477228">
            <w:rPr>
              <w:rFonts w:asciiTheme="majorHAnsi" w:eastAsiaTheme="majorEastAsia" w:hAnsiTheme="majorHAnsi" w:cstheme="majorBidi"/>
              <w:noProof/>
              <w:color w:val="1F3763" w:themeColor="accent1" w:themeShade="7F"/>
              <w:sz w:val="24"/>
              <w:szCs w:val="24"/>
            </w:rPr>
            <w:t>(Scotiabank, 2022)</w:t>
          </w:r>
          <w:r w:rsidR="00477228">
            <w:rPr>
              <w:rStyle w:val="Heading3Char"/>
              <w:b/>
              <w:bCs/>
            </w:rPr>
            <w:fldChar w:fldCharType="end"/>
          </w:r>
        </w:sdtContent>
      </w:sdt>
      <w:r w:rsidRPr="00E03F2E">
        <w:rPr>
          <w:rStyle w:val="Heading3Char"/>
        </w:rPr>
        <w:br/>
      </w:r>
      <w:r w:rsidRPr="00E14F63">
        <w:rPr>
          <w:rFonts w:cstheme="minorHAnsi"/>
          <w:sz w:val="24"/>
          <w:szCs w:val="24"/>
        </w:rPr>
        <w:t>Comparison of Effective Tax rate (%) for the period Jan 31, 2021, to October 31, 2022</w:t>
      </w:r>
      <w:r w:rsidR="00E14F63" w:rsidRPr="00E14F63">
        <w:rPr>
          <w:rFonts w:cstheme="minorHAnsi"/>
          <w:sz w:val="24"/>
          <w:szCs w:val="24"/>
        </w:rPr>
        <w:t>.</w:t>
      </w:r>
    </w:p>
    <w:tbl>
      <w:tblPr>
        <w:tblStyle w:val="ListTable3-Accent5"/>
        <w:tblW w:w="10053" w:type="dxa"/>
        <w:tblLayout w:type="fixed"/>
        <w:tblLook w:val="0000" w:firstRow="0" w:lastRow="0" w:firstColumn="0" w:lastColumn="0" w:noHBand="0" w:noVBand="0"/>
      </w:tblPr>
      <w:tblGrid>
        <w:gridCol w:w="1117"/>
        <w:gridCol w:w="1117"/>
        <w:gridCol w:w="1117"/>
        <w:gridCol w:w="1117"/>
        <w:gridCol w:w="1117"/>
        <w:gridCol w:w="1117"/>
        <w:gridCol w:w="1117"/>
        <w:gridCol w:w="1117"/>
        <w:gridCol w:w="1117"/>
      </w:tblGrid>
      <w:tr w:rsidR="009B683A" w:rsidRPr="003E325A" w14:paraId="7B5C0707" w14:textId="77777777" w:rsidTr="00CF27C6">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117" w:type="dxa"/>
            <w:shd w:val="clear" w:color="auto" w:fill="5B9BD5" w:themeFill="accent5"/>
            <w:vAlign w:val="center"/>
          </w:tcPr>
          <w:p w14:paraId="3097E7B0"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p>
        </w:tc>
        <w:tc>
          <w:tcPr>
            <w:tcW w:w="1117" w:type="dxa"/>
            <w:shd w:val="clear" w:color="auto" w:fill="5B9BD5" w:themeFill="accent5"/>
            <w:vAlign w:val="center"/>
          </w:tcPr>
          <w:p w14:paraId="4EA00754" w14:textId="77777777" w:rsidR="009B683A" w:rsidRPr="003E325A" w:rsidRDefault="009B683A" w:rsidP="00AF1377">
            <w:pPr>
              <w:pStyle w:val="ListParagraph"/>
              <w:spacing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0"/>
                <w:szCs w:val="20"/>
              </w:rPr>
            </w:pPr>
            <w:r w:rsidRPr="003E325A">
              <w:rPr>
                <w:rFonts w:cstheme="minorHAnsi"/>
                <w:b/>
                <w:bCs/>
                <w:color w:val="FFFFFF" w:themeColor="background1"/>
                <w:sz w:val="20"/>
                <w:szCs w:val="20"/>
              </w:rPr>
              <w:t>October 31</w:t>
            </w:r>
            <w:r w:rsidRPr="003E325A">
              <w:rPr>
                <w:rFonts w:cstheme="minorHAnsi"/>
                <w:b/>
                <w:bCs/>
                <w:color w:val="FFFFFF" w:themeColor="background1"/>
                <w:sz w:val="20"/>
                <w:szCs w:val="20"/>
              </w:rPr>
              <w:br/>
              <w:t>2022</w:t>
            </w:r>
          </w:p>
        </w:tc>
        <w:tc>
          <w:tcPr>
            <w:cnfStyle w:val="000010000000" w:firstRow="0" w:lastRow="0" w:firstColumn="0" w:lastColumn="0" w:oddVBand="1" w:evenVBand="0" w:oddHBand="0" w:evenHBand="0" w:firstRowFirstColumn="0" w:firstRowLastColumn="0" w:lastRowFirstColumn="0" w:lastRowLastColumn="0"/>
            <w:tcW w:w="1117" w:type="dxa"/>
            <w:shd w:val="clear" w:color="auto" w:fill="5B9BD5" w:themeFill="accent5"/>
            <w:vAlign w:val="center"/>
          </w:tcPr>
          <w:p w14:paraId="6C460ACA"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July 31</w:t>
            </w:r>
            <w:r w:rsidRPr="003E325A">
              <w:rPr>
                <w:rFonts w:cstheme="minorHAnsi"/>
                <w:b/>
                <w:bCs/>
                <w:color w:val="FFFFFF" w:themeColor="background1"/>
                <w:sz w:val="20"/>
                <w:szCs w:val="20"/>
              </w:rPr>
              <w:br/>
              <w:t>2022</w:t>
            </w:r>
          </w:p>
        </w:tc>
        <w:tc>
          <w:tcPr>
            <w:tcW w:w="1117" w:type="dxa"/>
            <w:shd w:val="clear" w:color="auto" w:fill="5B9BD5" w:themeFill="accent5"/>
            <w:vAlign w:val="center"/>
          </w:tcPr>
          <w:p w14:paraId="5618C917" w14:textId="77777777" w:rsidR="009B683A" w:rsidRPr="003E325A" w:rsidRDefault="009B683A" w:rsidP="00AF1377">
            <w:pPr>
              <w:pStyle w:val="ListParagraph"/>
              <w:spacing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0"/>
                <w:szCs w:val="20"/>
              </w:rPr>
            </w:pPr>
            <w:r w:rsidRPr="003E325A">
              <w:rPr>
                <w:rFonts w:cstheme="minorHAnsi"/>
                <w:b/>
                <w:bCs/>
                <w:color w:val="FFFFFF" w:themeColor="background1"/>
                <w:sz w:val="20"/>
                <w:szCs w:val="20"/>
              </w:rPr>
              <w:t>April 30</w:t>
            </w:r>
            <w:r w:rsidRPr="003E325A">
              <w:rPr>
                <w:rFonts w:cstheme="minorHAnsi"/>
                <w:b/>
                <w:bCs/>
                <w:color w:val="FFFFFF" w:themeColor="background1"/>
                <w:sz w:val="20"/>
                <w:szCs w:val="20"/>
              </w:rPr>
              <w:br/>
              <w:t>2022</w:t>
            </w:r>
          </w:p>
        </w:tc>
        <w:tc>
          <w:tcPr>
            <w:cnfStyle w:val="000010000000" w:firstRow="0" w:lastRow="0" w:firstColumn="0" w:lastColumn="0" w:oddVBand="1" w:evenVBand="0" w:oddHBand="0" w:evenHBand="0" w:firstRowFirstColumn="0" w:firstRowLastColumn="0" w:lastRowFirstColumn="0" w:lastRowLastColumn="0"/>
            <w:tcW w:w="1117" w:type="dxa"/>
            <w:shd w:val="clear" w:color="auto" w:fill="5B9BD5" w:themeFill="accent5"/>
            <w:vAlign w:val="center"/>
          </w:tcPr>
          <w:p w14:paraId="0FE74BCE"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January 31</w:t>
            </w:r>
            <w:r w:rsidRPr="003E325A">
              <w:rPr>
                <w:rFonts w:cstheme="minorHAnsi"/>
                <w:b/>
                <w:bCs/>
                <w:color w:val="FFFFFF" w:themeColor="background1"/>
                <w:sz w:val="20"/>
                <w:szCs w:val="20"/>
              </w:rPr>
              <w:br/>
              <w:t>2022</w:t>
            </w:r>
          </w:p>
        </w:tc>
        <w:tc>
          <w:tcPr>
            <w:tcW w:w="1117" w:type="dxa"/>
            <w:shd w:val="clear" w:color="auto" w:fill="5B9BD5" w:themeFill="accent5"/>
            <w:vAlign w:val="center"/>
          </w:tcPr>
          <w:p w14:paraId="3753C626" w14:textId="77777777" w:rsidR="009B683A" w:rsidRPr="003E325A" w:rsidRDefault="009B683A" w:rsidP="00AF1377">
            <w:pPr>
              <w:pStyle w:val="ListParagraph"/>
              <w:spacing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0"/>
                <w:szCs w:val="20"/>
              </w:rPr>
            </w:pPr>
            <w:r w:rsidRPr="003E325A">
              <w:rPr>
                <w:rFonts w:cstheme="minorHAnsi"/>
                <w:b/>
                <w:bCs/>
                <w:color w:val="FFFFFF" w:themeColor="background1"/>
                <w:sz w:val="20"/>
                <w:szCs w:val="20"/>
              </w:rPr>
              <w:t>October 31</w:t>
            </w:r>
            <w:r w:rsidRPr="003E325A">
              <w:rPr>
                <w:rFonts w:cstheme="minorHAnsi"/>
                <w:b/>
                <w:bCs/>
                <w:color w:val="FFFFFF" w:themeColor="background1"/>
                <w:sz w:val="20"/>
                <w:szCs w:val="20"/>
              </w:rPr>
              <w:br/>
              <w:t>2021</w:t>
            </w:r>
          </w:p>
        </w:tc>
        <w:tc>
          <w:tcPr>
            <w:cnfStyle w:val="000010000000" w:firstRow="0" w:lastRow="0" w:firstColumn="0" w:lastColumn="0" w:oddVBand="1" w:evenVBand="0" w:oddHBand="0" w:evenHBand="0" w:firstRowFirstColumn="0" w:firstRowLastColumn="0" w:lastRowFirstColumn="0" w:lastRowLastColumn="0"/>
            <w:tcW w:w="1117" w:type="dxa"/>
            <w:shd w:val="clear" w:color="auto" w:fill="5B9BD5" w:themeFill="accent5"/>
            <w:vAlign w:val="center"/>
          </w:tcPr>
          <w:p w14:paraId="23E56F02"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July 31</w:t>
            </w:r>
            <w:r w:rsidRPr="003E325A">
              <w:rPr>
                <w:rFonts w:cstheme="minorHAnsi"/>
                <w:b/>
                <w:bCs/>
                <w:color w:val="FFFFFF" w:themeColor="background1"/>
                <w:sz w:val="20"/>
                <w:szCs w:val="20"/>
              </w:rPr>
              <w:br/>
              <w:t>2021</w:t>
            </w:r>
          </w:p>
        </w:tc>
        <w:tc>
          <w:tcPr>
            <w:tcW w:w="1117" w:type="dxa"/>
            <w:shd w:val="clear" w:color="auto" w:fill="5B9BD5" w:themeFill="accent5"/>
            <w:vAlign w:val="center"/>
          </w:tcPr>
          <w:p w14:paraId="33E052FB" w14:textId="77777777" w:rsidR="009B683A" w:rsidRPr="003E325A" w:rsidRDefault="009B683A" w:rsidP="00AF1377">
            <w:pPr>
              <w:pStyle w:val="ListParagraph"/>
              <w:spacing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0"/>
                <w:szCs w:val="20"/>
              </w:rPr>
            </w:pPr>
            <w:r w:rsidRPr="003E325A">
              <w:rPr>
                <w:rFonts w:cstheme="minorHAnsi"/>
                <w:b/>
                <w:bCs/>
                <w:color w:val="FFFFFF" w:themeColor="background1"/>
                <w:sz w:val="20"/>
                <w:szCs w:val="20"/>
              </w:rPr>
              <w:t>April 30</w:t>
            </w:r>
            <w:r w:rsidRPr="003E325A">
              <w:rPr>
                <w:rFonts w:cstheme="minorHAnsi"/>
                <w:b/>
                <w:bCs/>
                <w:color w:val="FFFFFF" w:themeColor="background1"/>
                <w:sz w:val="20"/>
                <w:szCs w:val="20"/>
              </w:rPr>
              <w:br/>
              <w:t>2021</w:t>
            </w:r>
          </w:p>
        </w:tc>
        <w:tc>
          <w:tcPr>
            <w:cnfStyle w:val="000010000000" w:firstRow="0" w:lastRow="0" w:firstColumn="0" w:lastColumn="0" w:oddVBand="1" w:evenVBand="0" w:oddHBand="0" w:evenHBand="0" w:firstRowFirstColumn="0" w:firstRowLastColumn="0" w:lastRowFirstColumn="0" w:lastRowLastColumn="0"/>
            <w:tcW w:w="1117" w:type="dxa"/>
            <w:shd w:val="clear" w:color="auto" w:fill="5B9BD5" w:themeFill="accent5"/>
            <w:vAlign w:val="center"/>
          </w:tcPr>
          <w:p w14:paraId="3FDC23F3"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January 31</w:t>
            </w:r>
            <w:r w:rsidRPr="003E325A">
              <w:rPr>
                <w:rFonts w:cstheme="minorHAnsi"/>
                <w:b/>
                <w:bCs/>
                <w:color w:val="FFFFFF" w:themeColor="background1"/>
                <w:sz w:val="20"/>
                <w:szCs w:val="20"/>
              </w:rPr>
              <w:br/>
              <w:t>2022</w:t>
            </w:r>
          </w:p>
        </w:tc>
      </w:tr>
      <w:tr w:rsidR="009B683A" w:rsidRPr="003E325A" w14:paraId="41CBF1EA" w14:textId="77777777" w:rsidTr="00CF27C6">
        <w:trPr>
          <w:trHeight w:val="70"/>
        </w:trPr>
        <w:tc>
          <w:tcPr>
            <w:cnfStyle w:val="000010000000" w:firstRow="0" w:lastRow="0" w:firstColumn="0" w:lastColumn="0" w:oddVBand="1" w:evenVBand="0" w:oddHBand="0" w:evenHBand="0" w:firstRowFirstColumn="0" w:firstRowLastColumn="0" w:lastRowFirstColumn="0" w:lastRowLastColumn="0"/>
            <w:tcW w:w="1117" w:type="dxa"/>
            <w:shd w:val="clear" w:color="auto" w:fill="5B9BD5" w:themeFill="accent5"/>
            <w:vAlign w:val="center"/>
          </w:tcPr>
          <w:p w14:paraId="14868B03" w14:textId="77777777" w:rsidR="009B683A" w:rsidRPr="003E325A" w:rsidRDefault="009B683A" w:rsidP="00AF1377">
            <w:pPr>
              <w:pStyle w:val="ListParagraph"/>
              <w:spacing w:after="100" w:afterAutospacing="1" w:line="360" w:lineRule="auto"/>
              <w:ind w:left="0"/>
              <w:rPr>
                <w:rFonts w:cstheme="minorHAnsi"/>
                <w:b/>
                <w:bCs/>
                <w:sz w:val="20"/>
                <w:szCs w:val="20"/>
              </w:rPr>
            </w:pPr>
            <w:r w:rsidRPr="003E325A">
              <w:rPr>
                <w:rFonts w:cstheme="minorHAnsi"/>
                <w:b/>
                <w:bCs/>
                <w:color w:val="FFFFFF" w:themeColor="background1"/>
                <w:sz w:val="20"/>
                <w:szCs w:val="20"/>
              </w:rPr>
              <w:t>Effective tax rate (%)</w:t>
            </w:r>
          </w:p>
        </w:tc>
        <w:tc>
          <w:tcPr>
            <w:tcW w:w="1117" w:type="dxa"/>
            <w:vAlign w:val="center"/>
          </w:tcPr>
          <w:p w14:paraId="088FA21F" w14:textId="2E8531A9" w:rsidR="009B683A" w:rsidRPr="003E325A" w:rsidRDefault="009B683A" w:rsidP="00CF27C6">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18.5</w:t>
            </w:r>
          </w:p>
        </w:tc>
        <w:tc>
          <w:tcPr>
            <w:cnfStyle w:val="000010000000" w:firstRow="0" w:lastRow="0" w:firstColumn="0" w:lastColumn="0" w:oddVBand="1" w:evenVBand="0" w:oddHBand="0" w:evenHBand="0" w:firstRowFirstColumn="0" w:firstRowLastColumn="0" w:lastRowFirstColumn="0" w:lastRowLastColumn="0"/>
            <w:tcW w:w="1117" w:type="dxa"/>
            <w:vAlign w:val="center"/>
          </w:tcPr>
          <w:p w14:paraId="094B434D" w14:textId="46CEE1F5"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18.8</w:t>
            </w:r>
          </w:p>
        </w:tc>
        <w:tc>
          <w:tcPr>
            <w:tcW w:w="1117" w:type="dxa"/>
            <w:vAlign w:val="center"/>
          </w:tcPr>
          <w:p w14:paraId="276191C1" w14:textId="09BF4B60" w:rsidR="009B683A" w:rsidRPr="003E325A" w:rsidRDefault="009B683A" w:rsidP="00CF27C6">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22.9</w:t>
            </w:r>
          </w:p>
        </w:tc>
        <w:tc>
          <w:tcPr>
            <w:cnfStyle w:val="000010000000" w:firstRow="0" w:lastRow="0" w:firstColumn="0" w:lastColumn="0" w:oddVBand="1" w:evenVBand="0" w:oddHBand="0" w:evenHBand="0" w:firstRowFirstColumn="0" w:firstRowLastColumn="0" w:lastRowFirstColumn="0" w:lastRowLastColumn="0"/>
            <w:tcW w:w="1117" w:type="dxa"/>
            <w:vAlign w:val="center"/>
          </w:tcPr>
          <w:p w14:paraId="6521561A" w14:textId="0ABB4D69"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24.0</w:t>
            </w:r>
          </w:p>
        </w:tc>
        <w:tc>
          <w:tcPr>
            <w:tcW w:w="1117" w:type="dxa"/>
            <w:vAlign w:val="center"/>
          </w:tcPr>
          <w:p w14:paraId="4AF11E1A" w14:textId="4E957D13" w:rsidR="009B683A" w:rsidRPr="003E325A" w:rsidRDefault="009B683A" w:rsidP="00CF27C6">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21.2</w:t>
            </w:r>
          </w:p>
        </w:tc>
        <w:tc>
          <w:tcPr>
            <w:cnfStyle w:val="000010000000" w:firstRow="0" w:lastRow="0" w:firstColumn="0" w:lastColumn="0" w:oddVBand="1" w:evenVBand="0" w:oddHBand="0" w:evenHBand="0" w:firstRowFirstColumn="0" w:firstRowLastColumn="0" w:lastRowFirstColumn="0" w:lastRowLastColumn="0"/>
            <w:tcW w:w="1117" w:type="dxa"/>
            <w:vAlign w:val="center"/>
          </w:tcPr>
          <w:p w14:paraId="1F1CB28D" w14:textId="57EC2A20"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22.5</w:t>
            </w:r>
          </w:p>
        </w:tc>
        <w:tc>
          <w:tcPr>
            <w:tcW w:w="1117" w:type="dxa"/>
            <w:vAlign w:val="center"/>
          </w:tcPr>
          <w:p w14:paraId="2AFA7C4D" w14:textId="1A1900DE" w:rsidR="009B683A" w:rsidRPr="003E325A" w:rsidRDefault="009B683A" w:rsidP="00CF27C6">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23.2</w:t>
            </w:r>
          </w:p>
        </w:tc>
        <w:tc>
          <w:tcPr>
            <w:cnfStyle w:val="000010000000" w:firstRow="0" w:lastRow="0" w:firstColumn="0" w:lastColumn="0" w:oddVBand="1" w:evenVBand="0" w:oddHBand="0" w:evenHBand="0" w:firstRowFirstColumn="0" w:firstRowLastColumn="0" w:lastRowFirstColumn="0" w:lastRowLastColumn="0"/>
            <w:tcW w:w="1117" w:type="dxa"/>
            <w:vAlign w:val="center"/>
          </w:tcPr>
          <w:p w14:paraId="667F6ED6" w14:textId="4C43060F"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22.7</w:t>
            </w:r>
          </w:p>
        </w:tc>
      </w:tr>
    </w:tbl>
    <w:p w14:paraId="480C869C" w14:textId="77777777" w:rsidR="009B683A" w:rsidRDefault="009B683A" w:rsidP="00CF27C6">
      <w:pPr>
        <w:spacing w:after="100" w:afterAutospacing="1" w:line="240" w:lineRule="auto"/>
        <w:rPr>
          <w:rFonts w:cstheme="minorHAnsi"/>
          <w:b/>
          <w:bCs/>
        </w:rPr>
      </w:pPr>
    </w:p>
    <w:p w14:paraId="2394D807" w14:textId="6727A0F4" w:rsidR="009B683A" w:rsidRPr="00E03F2E" w:rsidRDefault="009B683A" w:rsidP="0030782C">
      <w:pPr>
        <w:rPr>
          <w:rStyle w:val="Heading2Char"/>
          <w:b/>
          <w:bCs/>
          <w:sz w:val="24"/>
          <w:szCs w:val="24"/>
        </w:rPr>
      </w:pPr>
      <w:bookmarkStart w:id="16" w:name="_Toc145702363"/>
      <w:r w:rsidRPr="00E03F2E">
        <w:rPr>
          <w:rStyle w:val="Heading2Char"/>
          <w:b/>
          <w:bCs/>
          <w:sz w:val="24"/>
          <w:szCs w:val="24"/>
        </w:rPr>
        <w:t>Financial Performance for International Banking (Adjusted):</w:t>
      </w:r>
      <w:bookmarkEnd w:id="16"/>
    </w:p>
    <w:tbl>
      <w:tblPr>
        <w:tblW w:w="10511"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0"/>
        <w:gridCol w:w="1417"/>
        <w:gridCol w:w="1559"/>
        <w:gridCol w:w="1560"/>
        <w:gridCol w:w="1559"/>
        <w:gridCol w:w="992"/>
        <w:gridCol w:w="1134"/>
      </w:tblGrid>
      <w:tr w:rsidR="00CF27C6" w:rsidRPr="003E325A" w14:paraId="1221DF13" w14:textId="77777777" w:rsidTr="00CF27C6">
        <w:trPr>
          <w:trHeight w:val="140"/>
        </w:trPr>
        <w:tc>
          <w:tcPr>
            <w:tcW w:w="2290" w:type="dxa"/>
            <w:shd w:val="clear" w:color="auto" w:fill="5B9BD5" w:themeFill="accent5"/>
            <w:vAlign w:val="center"/>
          </w:tcPr>
          <w:p w14:paraId="203057B7"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For the year ended October 31, 2022 ($ Mn)</w:t>
            </w:r>
          </w:p>
        </w:tc>
        <w:tc>
          <w:tcPr>
            <w:tcW w:w="1417" w:type="dxa"/>
            <w:shd w:val="clear" w:color="auto" w:fill="5B9BD5" w:themeFill="accent5"/>
            <w:vAlign w:val="center"/>
          </w:tcPr>
          <w:p w14:paraId="79A1D2C8" w14:textId="364E0734" w:rsidR="009B683A" w:rsidRPr="003E325A" w:rsidRDefault="009B683A" w:rsidP="00CF27C6">
            <w:pPr>
              <w:pStyle w:val="ListParagraph"/>
              <w:spacing w:after="100" w:afterAutospacing="1" w:line="360" w:lineRule="auto"/>
              <w:ind w:left="0"/>
              <w:jc w:val="center"/>
              <w:rPr>
                <w:rFonts w:cstheme="minorHAnsi"/>
                <w:b/>
                <w:bCs/>
                <w:color w:val="FFFFFF" w:themeColor="background1"/>
                <w:sz w:val="20"/>
                <w:szCs w:val="20"/>
              </w:rPr>
            </w:pPr>
            <w:r w:rsidRPr="003E325A">
              <w:rPr>
                <w:rFonts w:cstheme="minorHAnsi"/>
                <w:b/>
                <w:bCs/>
                <w:color w:val="FFFFFF" w:themeColor="background1"/>
                <w:sz w:val="20"/>
                <w:szCs w:val="20"/>
              </w:rPr>
              <w:t>Canadian Banking</w:t>
            </w:r>
          </w:p>
        </w:tc>
        <w:tc>
          <w:tcPr>
            <w:tcW w:w="1559" w:type="dxa"/>
            <w:shd w:val="clear" w:color="auto" w:fill="5B9BD5" w:themeFill="accent5"/>
            <w:vAlign w:val="center"/>
          </w:tcPr>
          <w:p w14:paraId="5020318D" w14:textId="6A771F51" w:rsidR="009B683A" w:rsidRPr="003E325A" w:rsidRDefault="009B683A" w:rsidP="00CF27C6">
            <w:pPr>
              <w:pStyle w:val="ListParagraph"/>
              <w:spacing w:after="100" w:afterAutospacing="1" w:line="360" w:lineRule="auto"/>
              <w:ind w:left="0"/>
              <w:jc w:val="center"/>
              <w:rPr>
                <w:rFonts w:cstheme="minorHAnsi"/>
                <w:b/>
                <w:bCs/>
                <w:color w:val="FFFFFF" w:themeColor="background1"/>
                <w:sz w:val="20"/>
                <w:szCs w:val="20"/>
              </w:rPr>
            </w:pPr>
            <w:r w:rsidRPr="003E325A">
              <w:rPr>
                <w:rFonts w:cstheme="minorHAnsi"/>
                <w:b/>
                <w:bCs/>
                <w:color w:val="FFFFFF" w:themeColor="background1"/>
                <w:sz w:val="20"/>
                <w:szCs w:val="20"/>
              </w:rPr>
              <w:t>International Banking</w:t>
            </w:r>
          </w:p>
        </w:tc>
        <w:tc>
          <w:tcPr>
            <w:tcW w:w="1560" w:type="dxa"/>
            <w:shd w:val="clear" w:color="auto" w:fill="5B9BD5" w:themeFill="accent5"/>
            <w:vAlign w:val="center"/>
          </w:tcPr>
          <w:p w14:paraId="7E19C177" w14:textId="76F966ED" w:rsidR="009B683A" w:rsidRPr="003E325A" w:rsidRDefault="009B683A" w:rsidP="00CF27C6">
            <w:pPr>
              <w:pStyle w:val="ListParagraph"/>
              <w:spacing w:after="100" w:afterAutospacing="1" w:line="360" w:lineRule="auto"/>
              <w:ind w:left="0"/>
              <w:jc w:val="center"/>
              <w:rPr>
                <w:rFonts w:cstheme="minorHAnsi"/>
                <w:b/>
                <w:bCs/>
                <w:color w:val="FFFFFF" w:themeColor="background1"/>
                <w:sz w:val="20"/>
                <w:szCs w:val="20"/>
              </w:rPr>
            </w:pPr>
            <w:r w:rsidRPr="003E325A">
              <w:rPr>
                <w:rFonts w:cstheme="minorHAnsi"/>
                <w:b/>
                <w:bCs/>
                <w:color w:val="FFFFFF" w:themeColor="background1"/>
                <w:sz w:val="20"/>
                <w:szCs w:val="20"/>
              </w:rPr>
              <w:t>Global Wealth Management</w:t>
            </w:r>
          </w:p>
        </w:tc>
        <w:tc>
          <w:tcPr>
            <w:tcW w:w="1559" w:type="dxa"/>
            <w:shd w:val="clear" w:color="auto" w:fill="5B9BD5" w:themeFill="accent5"/>
            <w:vAlign w:val="center"/>
          </w:tcPr>
          <w:p w14:paraId="3D1FEADE" w14:textId="58EE7FA4" w:rsidR="009B683A" w:rsidRPr="003E325A" w:rsidRDefault="009B683A" w:rsidP="00CF27C6">
            <w:pPr>
              <w:pStyle w:val="ListParagraph"/>
              <w:spacing w:after="100" w:afterAutospacing="1" w:line="360" w:lineRule="auto"/>
              <w:ind w:left="0"/>
              <w:jc w:val="center"/>
              <w:rPr>
                <w:rFonts w:cstheme="minorHAnsi"/>
                <w:b/>
                <w:bCs/>
                <w:color w:val="FFFFFF" w:themeColor="background1"/>
                <w:sz w:val="20"/>
                <w:szCs w:val="20"/>
              </w:rPr>
            </w:pPr>
            <w:r w:rsidRPr="003E325A">
              <w:rPr>
                <w:rFonts w:cstheme="minorHAnsi"/>
                <w:b/>
                <w:bCs/>
                <w:color w:val="FFFFFF" w:themeColor="background1"/>
                <w:sz w:val="20"/>
                <w:szCs w:val="20"/>
              </w:rPr>
              <w:t>Global Banking and Markets</w:t>
            </w:r>
          </w:p>
        </w:tc>
        <w:tc>
          <w:tcPr>
            <w:tcW w:w="992" w:type="dxa"/>
            <w:shd w:val="clear" w:color="auto" w:fill="5B9BD5" w:themeFill="accent5"/>
            <w:vAlign w:val="center"/>
          </w:tcPr>
          <w:p w14:paraId="0C820B36" w14:textId="50A3A5FF" w:rsidR="009B683A" w:rsidRPr="003E325A" w:rsidRDefault="009B683A" w:rsidP="00CF27C6">
            <w:pPr>
              <w:pStyle w:val="ListParagraph"/>
              <w:spacing w:after="100" w:afterAutospacing="1" w:line="360" w:lineRule="auto"/>
              <w:ind w:left="0"/>
              <w:jc w:val="center"/>
              <w:rPr>
                <w:rFonts w:cstheme="minorHAnsi"/>
                <w:b/>
                <w:bCs/>
                <w:color w:val="FFFFFF" w:themeColor="background1"/>
                <w:sz w:val="20"/>
                <w:szCs w:val="20"/>
              </w:rPr>
            </w:pPr>
            <w:r w:rsidRPr="003E325A">
              <w:rPr>
                <w:rFonts w:cstheme="minorHAnsi"/>
                <w:b/>
                <w:bCs/>
                <w:color w:val="FFFFFF" w:themeColor="background1"/>
                <w:sz w:val="20"/>
                <w:szCs w:val="20"/>
              </w:rPr>
              <w:t>Other</w:t>
            </w:r>
          </w:p>
        </w:tc>
        <w:tc>
          <w:tcPr>
            <w:tcW w:w="1134" w:type="dxa"/>
            <w:shd w:val="clear" w:color="auto" w:fill="5B9BD5" w:themeFill="accent5"/>
            <w:vAlign w:val="center"/>
          </w:tcPr>
          <w:p w14:paraId="73F4D1CF" w14:textId="3124054C" w:rsidR="009B683A" w:rsidRPr="003E325A" w:rsidRDefault="009B683A" w:rsidP="00CF27C6">
            <w:pPr>
              <w:pStyle w:val="ListParagraph"/>
              <w:spacing w:after="100" w:afterAutospacing="1" w:line="360" w:lineRule="auto"/>
              <w:ind w:left="0"/>
              <w:jc w:val="center"/>
              <w:rPr>
                <w:rFonts w:cstheme="minorHAnsi"/>
                <w:b/>
                <w:bCs/>
                <w:color w:val="FFFFFF" w:themeColor="background1"/>
                <w:sz w:val="20"/>
                <w:szCs w:val="20"/>
              </w:rPr>
            </w:pPr>
            <w:r w:rsidRPr="003E325A">
              <w:rPr>
                <w:rFonts w:cstheme="minorHAnsi"/>
                <w:b/>
                <w:bCs/>
                <w:color w:val="FFFFFF" w:themeColor="background1"/>
                <w:sz w:val="20"/>
                <w:szCs w:val="20"/>
              </w:rPr>
              <w:t>Total</w:t>
            </w:r>
          </w:p>
        </w:tc>
      </w:tr>
      <w:tr w:rsidR="00CF27C6" w:rsidRPr="003E325A" w14:paraId="7CC2D4B0" w14:textId="77777777" w:rsidTr="00CF27C6">
        <w:trPr>
          <w:trHeight w:val="70"/>
        </w:trPr>
        <w:tc>
          <w:tcPr>
            <w:tcW w:w="2290" w:type="dxa"/>
            <w:shd w:val="clear" w:color="auto" w:fill="5B9BD5" w:themeFill="accent5"/>
            <w:vAlign w:val="center"/>
          </w:tcPr>
          <w:p w14:paraId="38778C88"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Net interest income </w:t>
            </w:r>
          </w:p>
        </w:tc>
        <w:tc>
          <w:tcPr>
            <w:tcW w:w="1417" w:type="dxa"/>
            <w:vAlign w:val="center"/>
          </w:tcPr>
          <w:p w14:paraId="5D5712D3" w14:textId="0D2759F1"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$9,001</w:t>
            </w:r>
          </w:p>
        </w:tc>
        <w:tc>
          <w:tcPr>
            <w:tcW w:w="1559" w:type="dxa"/>
            <w:vAlign w:val="center"/>
          </w:tcPr>
          <w:p w14:paraId="707A0530" w14:textId="39B23B75"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$6,900</w:t>
            </w:r>
          </w:p>
        </w:tc>
        <w:tc>
          <w:tcPr>
            <w:tcW w:w="1560" w:type="dxa"/>
            <w:vAlign w:val="center"/>
          </w:tcPr>
          <w:p w14:paraId="1425E8CB" w14:textId="059FC73B"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$764</w:t>
            </w:r>
          </w:p>
        </w:tc>
        <w:tc>
          <w:tcPr>
            <w:tcW w:w="1559" w:type="dxa"/>
            <w:vAlign w:val="center"/>
          </w:tcPr>
          <w:p w14:paraId="0D606C05" w14:textId="5DAAE019"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$1,630</w:t>
            </w:r>
          </w:p>
        </w:tc>
        <w:tc>
          <w:tcPr>
            <w:tcW w:w="992" w:type="dxa"/>
            <w:vAlign w:val="center"/>
          </w:tcPr>
          <w:p w14:paraId="471CBF1A" w14:textId="7F640BB9"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$(180)</w:t>
            </w:r>
          </w:p>
        </w:tc>
        <w:tc>
          <w:tcPr>
            <w:tcW w:w="1134" w:type="dxa"/>
            <w:vAlign w:val="center"/>
          </w:tcPr>
          <w:p w14:paraId="34DC26A2" w14:textId="3C22C6F2"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$18,115</w:t>
            </w:r>
          </w:p>
        </w:tc>
      </w:tr>
      <w:tr w:rsidR="00CF27C6" w:rsidRPr="003E325A" w14:paraId="3DBA7E33" w14:textId="77777777" w:rsidTr="00CF27C6">
        <w:trPr>
          <w:trHeight w:val="70"/>
        </w:trPr>
        <w:tc>
          <w:tcPr>
            <w:tcW w:w="2290" w:type="dxa"/>
            <w:shd w:val="clear" w:color="auto" w:fill="5B9BD5" w:themeFill="accent5"/>
            <w:vAlign w:val="center"/>
          </w:tcPr>
          <w:p w14:paraId="59665AD9"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Non-interest income </w:t>
            </w:r>
          </w:p>
        </w:tc>
        <w:tc>
          <w:tcPr>
            <w:tcW w:w="1417" w:type="dxa"/>
            <w:vAlign w:val="center"/>
          </w:tcPr>
          <w:p w14:paraId="46B81ADC" w14:textId="1D370CCE"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3,029</w:t>
            </w:r>
          </w:p>
        </w:tc>
        <w:tc>
          <w:tcPr>
            <w:tcW w:w="1559" w:type="dxa"/>
            <w:vAlign w:val="center"/>
          </w:tcPr>
          <w:p w14:paraId="1FEB5692" w14:textId="63F2FAF9"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2,827</w:t>
            </w:r>
          </w:p>
        </w:tc>
        <w:tc>
          <w:tcPr>
            <w:tcW w:w="1560" w:type="dxa"/>
            <w:vAlign w:val="center"/>
          </w:tcPr>
          <w:p w14:paraId="2264E10E" w14:textId="7B930EE0"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4,617</w:t>
            </w:r>
          </w:p>
        </w:tc>
        <w:tc>
          <w:tcPr>
            <w:tcW w:w="1559" w:type="dxa"/>
            <w:vAlign w:val="center"/>
          </w:tcPr>
          <w:p w14:paraId="131A8A8A" w14:textId="53AEA135"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3,542</w:t>
            </w:r>
          </w:p>
        </w:tc>
        <w:tc>
          <w:tcPr>
            <w:tcW w:w="992" w:type="dxa"/>
            <w:vAlign w:val="center"/>
          </w:tcPr>
          <w:p w14:paraId="7C41894D" w14:textId="6D6B5594"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(353)</w:t>
            </w:r>
          </w:p>
        </w:tc>
        <w:tc>
          <w:tcPr>
            <w:tcW w:w="1134" w:type="dxa"/>
            <w:vAlign w:val="center"/>
          </w:tcPr>
          <w:p w14:paraId="793D3F83" w14:textId="49BEFB1D"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13,662</w:t>
            </w:r>
          </w:p>
        </w:tc>
      </w:tr>
      <w:tr w:rsidR="00CF27C6" w:rsidRPr="003E325A" w14:paraId="4B1CFE9F" w14:textId="77777777" w:rsidTr="00CF27C6">
        <w:trPr>
          <w:trHeight w:val="70"/>
        </w:trPr>
        <w:tc>
          <w:tcPr>
            <w:tcW w:w="2290" w:type="dxa"/>
            <w:shd w:val="clear" w:color="auto" w:fill="5B9BD5" w:themeFill="accent5"/>
            <w:vAlign w:val="center"/>
          </w:tcPr>
          <w:p w14:paraId="36883CE0" w14:textId="719A9C04"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Total </w:t>
            </w:r>
            <w:r w:rsidR="003B309A" w:rsidRPr="003E325A">
              <w:rPr>
                <w:rFonts w:cstheme="minorHAnsi"/>
                <w:b/>
                <w:bCs/>
                <w:color w:val="FFFFFF" w:themeColor="background1"/>
                <w:sz w:val="20"/>
                <w:szCs w:val="20"/>
              </w:rPr>
              <w:t>R</w:t>
            </w:r>
            <w:r w:rsidRPr="003E325A">
              <w:rPr>
                <w:rFonts w:cstheme="minorHAnsi"/>
                <w:b/>
                <w:bCs/>
                <w:color w:val="FFFFFF" w:themeColor="background1"/>
                <w:sz w:val="20"/>
                <w:szCs w:val="20"/>
              </w:rPr>
              <w:t xml:space="preserve">evenue </w:t>
            </w:r>
          </w:p>
        </w:tc>
        <w:tc>
          <w:tcPr>
            <w:tcW w:w="1417" w:type="dxa"/>
            <w:vAlign w:val="center"/>
          </w:tcPr>
          <w:p w14:paraId="239428C1" w14:textId="3EB45430"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12,030</w:t>
            </w:r>
          </w:p>
        </w:tc>
        <w:tc>
          <w:tcPr>
            <w:tcW w:w="1559" w:type="dxa"/>
            <w:vAlign w:val="center"/>
          </w:tcPr>
          <w:p w14:paraId="05EC439E" w14:textId="270E884F"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9,727</w:t>
            </w:r>
          </w:p>
        </w:tc>
        <w:tc>
          <w:tcPr>
            <w:tcW w:w="1560" w:type="dxa"/>
            <w:vAlign w:val="center"/>
          </w:tcPr>
          <w:p w14:paraId="53EAAD29" w14:textId="7390147D"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5,381</w:t>
            </w:r>
          </w:p>
        </w:tc>
        <w:tc>
          <w:tcPr>
            <w:tcW w:w="1559" w:type="dxa"/>
            <w:vAlign w:val="center"/>
          </w:tcPr>
          <w:p w14:paraId="6D01D08A" w14:textId="796EFEC9"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5,172</w:t>
            </w:r>
          </w:p>
        </w:tc>
        <w:tc>
          <w:tcPr>
            <w:tcW w:w="992" w:type="dxa"/>
            <w:vAlign w:val="center"/>
          </w:tcPr>
          <w:p w14:paraId="79AA2561" w14:textId="32315D21"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(533)</w:t>
            </w:r>
          </w:p>
        </w:tc>
        <w:tc>
          <w:tcPr>
            <w:tcW w:w="1134" w:type="dxa"/>
            <w:vAlign w:val="center"/>
          </w:tcPr>
          <w:p w14:paraId="0F690622" w14:textId="2ACE9B6C"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31,777</w:t>
            </w:r>
          </w:p>
        </w:tc>
      </w:tr>
      <w:tr w:rsidR="00CF27C6" w:rsidRPr="003E325A" w14:paraId="3BFC35D0" w14:textId="77777777" w:rsidTr="00CF27C6">
        <w:trPr>
          <w:trHeight w:val="70"/>
        </w:trPr>
        <w:tc>
          <w:tcPr>
            <w:tcW w:w="2290" w:type="dxa"/>
            <w:shd w:val="clear" w:color="auto" w:fill="5B9BD5" w:themeFill="accent5"/>
            <w:vAlign w:val="center"/>
          </w:tcPr>
          <w:p w14:paraId="32610369"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Provision for credit losses </w:t>
            </w:r>
          </w:p>
        </w:tc>
        <w:tc>
          <w:tcPr>
            <w:tcW w:w="1417" w:type="dxa"/>
            <w:vAlign w:val="center"/>
          </w:tcPr>
          <w:p w14:paraId="4ECCB154" w14:textId="532D4F4E"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209</w:t>
            </w:r>
          </w:p>
        </w:tc>
        <w:tc>
          <w:tcPr>
            <w:tcW w:w="1559" w:type="dxa"/>
            <w:vAlign w:val="center"/>
          </w:tcPr>
          <w:p w14:paraId="1DBBC9B8" w14:textId="0C4851B5"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1,230</w:t>
            </w:r>
          </w:p>
        </w:tc>
        <w:tc>
          <w:tcPr>
            <w:tcW w:w="1560" w:type="dxa"/>
            <w:vAlign w:val="center"/>
          </w:tcPr>
          <w:p w14:paraId="48366864" w14:textId="4D735595"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6</w:t>
            </w:r>
          </w:p>
        </w:tc>
        <w:tc>
          <w:tcPr>
            <w:tcW w:w="1559" w:type="dxa"/>
            <w:vAlign w:val="center"/>
          </w:tcPr>
          <w:p w14:paraId="6A4FA848" w14:textId="5CA7243F"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(66)</w:t>
            </w:r>
          </w:p>
        </w:tc>
        <w:tc>
          <w:tcPr>
            <w:tcW w:w="992" w:type="dxa"/>
            <w:vAlign w:val="center"/>
          </w:tcPr>
          <w:p w14:paraId="0CF7B7D6" w14:textId="13266D0A"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3</w:t>
            </w:r>
          </w:p>
        </w:tc>
        <w:tc>
          <w:tcPr>
            <w:tcW w:w="1134" w:type="dxa"/>
            <w:vAlign w:val="center"/>
          </w:tcPr>
          <w:p w14:paraId="165452E1" w14:textId="4431DE8A"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1,382</w:t>
            </w:r>
          </w:p>
        </w:tc>
      </w:tr>
      <w:tr w:rsidR="00CF27C6" w:rsidRPr="003E325A" w14:paraId="6094E966" w14:textId="77777777" w:rsidTr="00CF27C6">
        <w:trPr>
          <w:trHeight w:val="70"/>
        </w:trPr>
        <w:tc>
          <w:tcPr>
            <w:tcW w:w="2290" w:type="dxa"/>
            <w:shd w:val="clear" w:color="auto" w:fill="5B9BD5" w:themeFill="accent5"/>
            <w:vAlign w:val="center"/>
          </w:tcPr>
          <w:p w14:paraId="55A94F9E"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Non-interest expenses </w:t>
            </w:r>
          </w:p>
        </w:tc>
        <w:tc>
          <w:tcPr>
            <w:tcW w:w="1417" w:type="dxa"/>
            <w:vAlign w:val="center"/>
          </w:tcPr>
          <w:p w14:paraId="5B603F2E" w14:textId="48334008"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5,366</w:t>
            </w:r>
          </w:p>
        </w:tc>
        <w:tc>
          <w:tcPr>
            <w:tcW w:w="1559" w:type="dxa"/>
            <w:vAlign w:val="center"/>
          </w:tcPr>
          <w:p w14:paraId="1664BF4D" w14:textId="712C3BF5"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5,173</w:t>
            </w:r>
          </w:p>
        </w:tc>
        <w:tc>
          <w:tcPr>
            <w:tcW w:w="1560" w:type="dxa"/>
            <w:vAlign w:val="center"/>
          </w:tcPr>
          <w:p w14:paraId="320B9C8E" w14:textId="49052A07"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3,223</w:t>
            </w:r>
          </w:p>
        </w:tc>
        <w:tc>
          <w:tcPr>
            <w:tcW w:w="1559" w:type="dxa"/>
            <w:vAlign w:val="center"/>
          </w:tcPr>
          <w:p w14:paraId="0281B42E" w14:textId="662A2A7A"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2,674</w:t>
            </w:r>
          </w:p>
        </w:tc>
        <w:tc>
          <w:tcPr>
            <w:tcW w:w="992" w:type="dxa"/>
            <w:vAlign w:val="center"/>
          </w:tcPr>
          <w:p w14:paraId="44E9EBDA" w14:textId="7AAC85A6"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351</w:t>
            </w:r>
          </w:p>
        </w:tc>
        <w:tc>
          <w:tcPr>
            <w:tcW w:w="1134" w:type="dxa"/>
            <w:vAlign w:val="center"/>
          </w:tcPr>
          <w:p w14:paraId="5D09EB4E" w14:textId="479030C2"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16,787</w:t>
            </w:r>
          </w:p>
        </w:tc>
      </w:tr>
      <w:tr w:rsidR="00CF27C6" w:rsidRPr="003E325A" w14:paraId="0B717D03" w14:textId="77777777" w:rsidTr="00CF27C6">
        <w:trPr>
          <w:trHeight w:val="70"/>
        </w:trPr>
        <w:tc>
          <w:tcPr>
            <w:tcW w:w="2290" w:type="dxa"/>
            <w:shd w:val="clear" w:color="auto" w:fill="5B9BD5" w:themeFill="accent5"/>
            <w:vAlign w:val="center"/>
          </w:tcPr>
          <w:p w14:paraId="4BCAD4A2"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Provision for income taxes </w:t>
            </w:r>
          </w:p>
        </w:tc>
        <w:tc>
          <w:tcPr>
            <w:tcW w:w="1417" w:type="dxa"/>
            <w:vAlign w:val="center"/>
          </w:tcPr>
          <w:p w14:paraId="3F4C17E1" w14:textId="01AB5B45"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1,676</w:t>
            </w:r>
          </w:p>
        </w:tc>
        <w:tc>
          <w:tcPr>
            <w:tcW w:w="1559" w:type="dxa"/>
            <w:vAlign w:val="center"/>
          </w:tcPr>
          <w:p w14:paraId="653CE216" w14:textId="25D922E9"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629</w:t>
            </w:r>
          </w:p>
        </w:tc>
        <w:tc>
          <w:tcPr>
            <w:tcW w:w="1560" w:type="dxa"/>
            <w:vAlign w:val="center"/>
          </w:tcPr>
          <w:p w14:paraId="6BBA4D8A" w14:textId="161D0B02"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560</w:t>
            </w:r>
          </w:p>
        </w:tc>
        <w:tc>
          <w:tcPr>
            <w:tcW w:w="1559" w:type="dxa"/>
            <w:vAlign w:val="center"/>
          </w:tcPr>
          <w:p w14:paraId="653DA862" w14:textId="733C0558"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653</w:t>
            </w:r>
          </w:p>
        </w:tc>
        <w:tc>
          <w:tcPr>
            <w:tcW w:w="992" w:type="dxa"/>
            <w:vAlign w:val="center"/>
          </w:tcPr>
          <w:p w14:paraId="09719E2F" w14:textId="60A5F4F5"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(659)</w:t>
            </w:r>
          </w:p>
        </w:tc>
        <w:tc>
          <w:tcPr>
            <w:tcW w:w="1134" w:type="dxa"/>
            <w:vAlign w:val="center"/>
          </w:tcPr>
          <w:p w14:paraId="66CE17BC" w14:textId="59B33BBC"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2,859</w:t>
            </w:r>
          </w:p>
        </w:tc>
      </w:tr>
      <w:tr w:rsidR="00CF27C6" w:rsidRPr="003E325A" w14:paraId="3377503B" w14:textId="77777777" w:rsidTr="00CF27C6">
        <w:trPr>
          <w:trHeight w:val="70"/>
        </w:trPr>
        <w:tc>
          <w:tcPr>
            <w:tcW w:w="2290" w:type="dxa"/>
            <w:shd w:val="clear" w:color="auto" w:fill="5B9BD5" w:themeFill="accent5"/>
            <w:vAlign w:val="center"/>
          </w:tcPr>
          <w:p w14:paraId="1BD59D48"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Net income </w:t>
            </w:r>
          </w:p>
        </w:tc>
        <w:tc>
          <w:tcPr>
            <w:tcW w:w="1417" w:type="dxa"/>
            <w:vAlign w:val="center"/>
          </w:tcPr>
          <w:p w14:paraId="6CFF87AE" w14:textId="4C07883E"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$4,779</w:t>
            </w:r>
          </w:p>
        </w:tc>
        <w:tc>
          <w:tcPr>
            <w:tcW w:w="1559" w:type="dxa"/>
            <w:vAlign w:val="center"/>
          </w:tcPr>
          <w:p w14:paraId="220504B7" w14:textId="58029068"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$2,695</w:t>
            </w:r>
          </w:p>
        </w:tc>
        <w:tc>
          <w:tcPr>
            <w:tcW w:w="1560" w:type="dxa"/>
            <w:vAlign w:val="center"/>
          </w:tcPr>
          <w:p w14:paraId="3592A68A" w14:textId="756AD678"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$1,592</w:t>
            </w:r>
          </w:p>
        </w:tc>
        <w:tc>
          <w:tcPr>
            <w:tcW w:w="1559" w:type="dxa"/>
            <w:vAlign w:val="center"/>
          </w:tcPr>
          <w:p w14:paraId="560BCF9A" w14:textId="1EB2C0FE"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$1,911</w:t>
            </w:r>
          </w:p>
        </w:tc>
        <w:tc>
          <w:tcPr>
            <w:tcW w:w="992" w:type="dxa"/>
            <w:vAlign w:val="center"/>
          </w:tcPr>
          <w:p w14:paraId="1E282E20" w14:textId="4AA28C71"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$(228)</w:t>
            </w:r>
          </w:p>
        </w:tc>
        <w:tc>
          <w:tcPr>
            <w:tcW w:w="1134" w:type="dxa"/>
            <w:vAlign w:val="center"/>
          </w:tcPr>
          <w:p w14:paraId="067E39AD" w14:textId="58F29F6B"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$10,749</w:t>
            </w:r>
          </w:p>
        </w:tc>
      </w:tr>
      <w:tr w:rsidR="00CF27C6" w:rsidRPr="003E325A" w14:paraId="2EE05DBD" w14:textId="77777777" w:rsidTr="00CF27C6">
        <w:trPr>
          <w:trHeight w:val="171"/>
        </w:trPr>
        <w:tc>
          <w:tcPr>
            <w:tcW w:w="2290" w:type="dxa"/>
            <w:shd w:val="clear" w:color="auto" w:fill="5B9BD5" w:themeFill="accent5"/>
            <w:vAlign w:val="center"/>
          </w:tcPr>
          <w:p w14:paraId="034DAB9F"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Net income attributable to non-controlling interests in subsidiaries </w:t>
            </w:r>
          </w:p>
        </w:tc>
        <w:tc>
          <w:tcPr>
            <w:tcW w:w="1417" w:type="dxa"/>
            <w:vAlign w:val="center"/>
          </w:tcPr>
          <w:p w14:paraId="55BDB17A" w14:textId="6EDAB9F0"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w:t>
            </w:r>
          </w:p>
        </w:tc>
        <w:tc>
          <w:tcPr>
            <w:tcW w:w="1559" w:type="dxa"/>
            <w:vAlign w:val="center"/>
          </w:tcPr>
          <w:p w14:paraId="694E706F" w14:textId="581C25DF"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249</w:t>
            </w:r>
          </w:p>
        </w:tc>
        <w:tc>
          <w:tcPr>
            <w:tcW w:w="1560" w:type="dxa"/>
            <w:vAlign w:val="center"/>
          </w:tcPr>
          <w:p w14:paraId="013C3E60" w14:textId="4AE5B540"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9</w:t>
            </w:r>
          </w:p>
        </w:tc>
        <w:tc>
          <w:tcPr>
            <w:tcW w:w="1559" w:type="dxa"/>
            <w:vAlign w:val="center"/>
          </w:tcPr>
          <w:p w14:paraId="7F319980" w14:textId="69673EE6"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w:t>
            </w:r>
          </w:p>
        </w:tc>
        <w:tc>
          <w:tcPr>
            <w:tcW w:w="992" w:type="dxa"/>
            <w:vAlign w:val="center"/>
          </w:tcPr>
          <w:p w14:paraId="2CDABF49" w14:textId="38E4F7EA"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w:t>
            </w:r>
          </w:p>
        </w:tc>
        <w:tc>
          <w:tcPr>
            <w:tcW w:w="1134" w:type="dxa"/>
            <w:vAlign w:val="center"/>
          </w:tcPr>
          <w:p w14:paraId="5EE9153B" w14:textId="4307973C"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259</w:t>
            </w:r>
          </w:p>
        </w:tc>
      </w:tr>
      <w:tr w:rsidR="00CF27C6" w:rsidRPr="003E325A" w14:paraId="63316F54" w14:textId="77777777" w:rsidTr="00CF27C6">
        <w:trPr>
          <w:trHeight w:val="70"/>
        </w:trPr>
        <w:tc>
          <w:tcPr>
            <w:tcW w:w="2290" w:type="dxa"/>
            <w:shd w:val="clear" w:color="auto" w:fill="5B9BD5" w:themeFill="accent5"/>
            <w:vAlign w:val="center"/>
          </w:tcPr>
          <w:p w14:paraId="7078E550" w14:textId="77777777" w:rsidR="009B683A" w:rsidRPr="003E325A" w:rsidRDefault="009B683A" w:rsidP="00AF1377">
            <w:pPr>
              <w:pStyle w:val="ListParagraph"/>
              <w:spacing w:after="100" w:afterAutospacing="1" w:line="360" w:lineRule="auto"/>
              <w:ind w:left="0"/>
              <w:rPr>
                <w:rFonts w:cstheme="minorHAnsi"/>
                <w:b/>
                <w:bCs/>
                <w:sz w:val="20"/>
                <w:szCs w:val="20"/>
              </w:rPr>
            </w:pPr>
            <w:r w:rsidRPr="003E325A">
              <w:rPr>
                <w:rFonts w:cstheme="minorHAnsi"/>
                <w:b/>
                <w:bCs/>
                <w:color w:val="FFFFFF" w:themeColor="background1"/>
                <w:sz w:val="20"/>
                <w:szCs w:val="20"/>
              </w:rPr>
              <w:t xml:space="preserve">Net income attributable to equity holders of the Bank </w:t>
            </w:r>
          </w:p>
        </w:tc>
        <w:tc>
          <w:tcPr>
            <w:tcW w:w="1417" w:type="dxa"/>
            <w:vAlign w:val="center"/>
          </w:tcPr>
          <w:p w14:paraId="69021D1B" w14:textId="1541C0BA"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$4,779</w:t>
            </w:r>
          </w:p>
        </w:tc>
        <w:tc>
          <w:tcPr>
            <w:tcW w:w="1559" w:type="dxa"/>
            <w:vAlign w:val="center"/>
          </w:tcPr>
          <w:p w14:paraId="11237625" w14:textId="168B5094"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$2,446</w:t>
            </w:r>
          </w:p>
        </w:tc>
        <w:tc>
          <w:tcPr>
            <w:tcW w:w="1560" w:type="dxa"/>
            <w:vAlign w:val="center"/>
          </w:tcPr>
          <w:p w14:paraId="18781B0C" w14:textId="799EE94C"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$1,583</w:t>
            </w:r>
          </w:p>
        </w:tc>
        <w:tc>
          <w:tcPr>
            <w:tcW w:w="1559" w:type="dxa"/>
            <w:vAlign w:val="center"/>
          </w:tcPr>
          <w:p w14:paraId="52B25846" w14:textId="6068F6E7"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$1,911</w:t>
            </w:r>
          </w:p>
        </w:tc>
        <w:tc>
          <w:tcPr>
            <w:tcW w:w="992" w:type="dxa"/>
            <w:vAlign w:val="center"/>
          </w:tcPr>
          <w:p w14:paraId="1EF1691F" w14:textId="35D4E425"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$(229)</w:t>
            </w:r>
          </w:p>
        </w:tc>
        <w:tc>
          <w:tcPr>
            <w:tcW w:w="1134" w:type="dxa"/>
            <w:vAlign w:val="center"/>
          </w:tcPr>
          <w:p w14:paraId="2E5A8F1F" w14:textId="43412C51" w:rsidR="009B683A" w:rsidRPr="003E325A" w:rsidRDefault="009B683A" w:rsidP="00CF27C6">
            <w:pPr>
              <w:pStyle w:val="ListParagraph"/>
              <w:spacing w:after="100" w:afterAutospacing="1" w:line="360" w:lineRule="auto"/>
              <w:ind w:left="0"/>
              <w:jc w:val="center"/>
              <w:rPr>
                <w:rFonts w:cstheme="minorHAnsi"/>
                <w:sz w:val="20"/>
                <w:szCs w:val="20"/>
              </w:rPr>
            </w:pPr>
            <w:r w:rsidRPr="003E325A">
              <w:rPr>
                <w:rFonts w:cstheme="minorHAnsi"/>
                <w:sz w:val="20"/>
                <w:szCs w:val="20"/>
              </w:rPr>
              <w:t>$10,490</w:t>
            </w:r>
          </w:p>
        </w:tc>
      </w:tr>
    </w:tbl>
    <w:p w14:paraId="7A88C5E6" w14:textId="308B641D" w:rsidR="009B683A" w:rsidRPr="00257DA0" w:rsidRDefault="00000000" w:rsidP="009B683A">
      <w:pPr>
        <w:spacing w:after="100" w:afterAutospacing="1" w:line="360" w:lineRule="auto"/>
        <w:rPr>
          <w:rFonts w:cstheme="minorHAnsi"/>
          <w:b/>
          <w:bCs/>
        </w:rPr>
      </w:pPr>
      <w:sdt>
        <w:sdtPr>
          <w:rPr>
            <w:rFonts w:cstheme="minorHAnsi"/>
            <w:b/>
            <w:bCs/>
          </w:rPr>
          <w:id w:val="-904608586"/>
          <w:citation/>
        </w:sdtPr>
        <w:sdtContent>
          <w:r w:rsidR="009B683A">
            <w:rPr>
              <w:rFonts w:cstheme="minorHAnsi"/>
              <w:b/>
              <w:bCs/>
            </w:rPr>
            <w:fldChar w:fldCharType="begin"/>
          </w:r>
          <w:r w:rsidR="009B683A">
            <w:rPr>
              <w:rFonts w:cstheme="minorHAnsi"/>
              <w:b/>
              <w:bCs/>
            </w:rPr>
            <w:instrText xml:space="preserve">CITATION Placeholder4 \l 16393 </w:instrText>
          </w:r>
          <w:r w:rsidR="009B683A">
            <w:rPr>
              <w:rFonts w:cstheme="minorHAnsi"/>
              <w:b/>
              <w:bCs/>
            </w:rPr>
            <w:fldChar w:fldCharType="separate"/>
          </w:r>
          <w:r w:rsidR="00AD2C7A" w:rsidRPr="00AD2C7A">
            <w:rPr>
              <w:rFonts w:cstheme="minorHAnsi"/>
              <w:noProof/>
            </w:rPr>
            <w:t>(Scotiabank, 2022)</w:t>
          </w:r>
          <w:r w:rsidR="009B683A">
            <w:rPr>
              <w:rFonts w:cstheme="minorHAnsi"/>
              <w:b/>
              <w:bCs/>
            </w:rPr>
            <w:fldChar w:fldCharType="end"/>
          </w:r>
        </w:sdtContent>
      </w:sdt>
    </w:p>
    <w:p w14:paraId="6C1D0755" w14:textId="1A635442" w:rsidR="009B683A" w:rsidRPr="00E03F2E" w:rsidRDefault="009B683A" w:rsidP="005F1362">
      <w:pPr>
        <w:rPr>
          <w:rStyle w:val="Heading3Char"/>
          <w:b/>
          <w:bCs/>
        </w:rPr>
      </w:pPr>
      <w:bookmarkStart w:id="17" w:name="_Toc145702364"/>
      <w:r w:rsidRPr="00E03F2E">
        <w:rPr>
          <w:rStyle w:val="Heading3Char"/>
          <w:b/>
          <w:bCs/>
        </w:rPr>
        <w:t>Analysis of AUA and AUM:</w:t>
      </w:r>
      <w:bookmarkEnd w:id="17"/>
    </w:p>
    <w:tbl>
      <w:tblPr>
        <w:tblStyle w:val="ListTable3-Accent5"/>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5"/>
        <w:gridCol w:w="3386"/>
        <w:gridCol w:w="3389"/>
      </w:tblGrid>
      <w:tr w:rsidR="009B683A" w:rsidRPr="00970FD5" w14:paraId="2C24F0F6" w14:textId="77777777" w:rsidTr="00686CE7">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3385" w:type="dxa"/>
            <w:tcBorders>
              <w:top w:val="none" w:sz="0" w:space="0" w:color="auto"/>
              <w:left w:val="none" w:sz="0" w:space="0" w:color="auto"/>
              <w:bottom w:val="none" w:sz="0" w:space="0" w:color="auto"/>
              <w:right w:val="none" w:sz="0" w:space="0" w:color="auto"/>
            </w:tcBorders>
            <w:shd w:val="clear" w:color="auto" w:fill="5B9BD5" w:themeFill="accent5"/>
            <w:vAlign w:val="center"/>
          </w:tcPr>
          <w:p w14:paraId="30AF2E9B" w14:textId="107DD369" w:rsidR="009B683A" w:rsidRPr="003E325A" w:rsidRDefault="009B683A" w:rsidP="00CF27C6">
            <w:pPr>
              <w:pStyle w:val="ListParagraph"/>
              <w:spacing w:after="100" w:afterAutospacing="1" w:line="360" w:lineRule="auto"/>
              <w:ind w:left="0"/>
              <w:jc w:val="center"/>
              <w:rPr>
                <w:rFonts w:cstheme="minorHAnsi"/>
                <w:b/>
                <w:bCs/>
                <w:color w:val="FFFFFF" w:themeColor="background1"/>
                <w:sz w:val="20"/>
                <w:szCs w:val="20"/>
              </w:rPr>
            </w:pPr>
            <w:r w:rsidRPr="003E325A">
              <w:rPr>
                <w:rFonts w:cstheme="minorHAnsi"/>
                <w:b/>
                <w:bCs/>
                <w:color w:val="FFFFFF" w:themeColor="background1"/>
                <w:sz w:val="20"/>
                <w:szCs w:val="20"/>
              </w:rPr>
              <w:t>Assets under administration and management ($Bn)</w:t>
            </w:r>
          </w:p>
        </w:tc>
        <w:tc>
          <w:tcPr>
            <w:tcW w:w="3386" w:type="dxa"/>
            <w:tcBorders>
              <w:top w:val="none" w:sz="0" w:space="0" w:color="auto"/>
              <w:bottom w:val="none" w:sz="0" w:space="0" w:color="auto"/>
            </w:tcBorders>
            <w:shd w:val="clear" w:color="auto" w:fill="5B9BD5" w:themeFill="accent5"/>
            <w:vAlign w:val="center"/>
          </w:tcPr>
          <w:p w14:paraId="4B9BCB59" w14:textId="46242E4C" w:rsidR="009B683A" w:rsidRPr="003E325A" w:rsidRDefault="009B683A" w:rsidP="00CF27C6">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0"/>
                <w:szCs w:val="20"/>
              </w:rPr>
            </w:pPr>
            <w:r w:rsidRPr="003E325A">
              <w:rPr>
                <w:rFonts w:cstheme="minorHAnsi"/>
                <w:b/>
                <w:bCs/>
                <w:color w:val="FFFFFF" w:themeColor="background1"/>
                <w:sz w:val="20"/>
                <w:szCs w:val="20"/>
              </w:rPr>
              <w:t>2022</w:t>
            </w:r>
          </w:p>
        </w:tc>
        <w:tc>
          <w:tcPr>
            <w:cnfStyle w:val="000010000000" w:firstRow="0" w:lastRow="0" w:firstColumn="0" w:lastColumn="0" w:oddVBand="1" w:evenVBand="0" w:oddHBand="0" w:evenHBand="0" w:firstRowFirstColumn="0" w:firstRowLastColumn="0" w:lastRowFirstColumn="0" w:lastRowLastColumn="0"/>
            <w:tcW w:w="3389" w:type="dxa"/>
            <w:tcBorders>
              <w:top w:val="none" w:sz="0" w:space="0" w:color="auto"/>
              <w:left w:val="none" w:sz="0" w:space="0" w:color="auto"/>
              <w:bottom w:val="none" w:sz="0" w:space="0" w:color="auto"/>
              <w:right w:val="none" w:sz="0" w:space="0" w:color="auto"/>
            </w:tcBorders>
            <w:shd w:val="clear" w:color="auto" w:fill="5B9BD5" w:themeFill="accent5"/>
            <w:vAlign w:val="center"/>
          </w:tcPr>
          <w:p w14:paraId="32D4E369" w14:textId="7510FA90" w:rsidR="009B683A" w:rsidRPr="003E325A" w:rsidRDefault="009B683A" w:rsidP="00CF27C6">
            <w:pPr>
              <w:pStyle w:val="ListParagraph"/>
              <w:spacing w:after="100" w:afterAutospacing="1" w:line="360" w:lineRule="auto"/>
              <w:ind w:left="0"/>
              <w:jc w:val="center"/>
              <w:rPr>
                <w:rFonts w:cstheme="minorHAnsi"/>
                <w:b/>
                <w:bCs/>
                <w:color w:val="FFFFFF" w:themeColor="background1"/>
                <w:sz w:val="20"/>
                <w:szCs w:val="20"/>
              </w:rPr>
            </w:pPr>
            <w:r w:rsidRPr="003E325A">
              <w:rPr>
                <w:rFonts w:cstheme="minorHAnsi"/>
                <w:b/>
                <w:bCs/>
                <w:color w:val="FFFFFF" w:themeColor="background1"/>
                <w:sz w:val="20"/>
                <w:szCs w:val="20"/>
              </w:rPr>
              <w:t>2021</w:t>
            </w:r>
          </w:p>
        </w:tc>
      </w:tr>
      <w:tr w:rsidR="009B683A" w:rsidRPr="00970FD5" w14:paraId="5AA717A0" w14:textId="77777777" w:rsidTr="00686CE7">
        <w:trPr>
          <w:trHeight w:val="70"/>
        </w:trPr>
        <w:tc>
          <w:tcPr>
            <w:cnfStyle w:val="000010000000" w:firstRow="0" w:lastRow="0" w:firstColumn="0" w:lastColumn="0" w:oddVBand="1" w:evenVBand="0" w:oddHBand="0" w:evenHBand="0" w:firstRowFirstColumn="0" w:firstRowLastColumn="0" w:lastRowFirstColumn="0" w:lastRowLastColumn="0"/>
            <w:tcW w:w="10160" w:type="dxa"/>
            <w:gridSpan w:val="3"/>
            <w:tcBorders>
              <w:left w:val="none" w:sz="0" w:space="0" w:color="auto"/>
              <w:right w:val="none" w:sz="0" w:space="0" w:color="auto"/>
            </w:tcBorders>
            <w:shd w:val="clear" w:color="auto" w:fill="5B9BD5" w:themeFill="accent5"/>
            <w:vAlign w:val="center"/>
          </w:tcPr>
          <w:p w14:paraId="203CE197" w14:textId="28A30183" w:rsidR="009B683A" w:rsidRPr="003E325A" w:rsidRDefault="009B683A" w:rsidP="00CF27C6">
            <w:pPr>
              <w:pStyle w:val="ListParagraph"/>
              <w:spacing w:after="100" w:afterAutospacing="1" w:line="360" w:lineRule="auto"/>
              <w:ind w:left="0"/>
              <w:jc w:val="center"/>
              <w:rPr>
                <w:rFonts w:cstheme="minorHAnsi"/>
                <w:b/>
                <w:bCs/>
                <w:color w:val="FFFFFF" w:themeColor="background1"/>
                <w:sz w:val="20"/>
                <w:szCs w:val="20"/>
              </w:rPr>
            </w:pPr>
            <w:r w:rsidRPr="003E325A">
              <w:rPr>
                <w:rFonts w:cstheme="minorHAnsi"/>
                <w:b/>
                <w:bCs/>
                <w:color w:val="FFFFFF" w:themeColor="background1"/>
                <w:sz w:val="20"/>
                <w:szCs w:val="20"/>
              </w:rPr>
              <w:t>Assets under administration</w:t>
            </w:r>
          </w:p>
        </w:tc>
      </w:tr>
      <w:tr w:rsidR="009B683A" w:rsidRPr="00970FD5" w14:paraId="2152A86E" w14:textId="77777777" w:rsidTr="00686CE7">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0160" w:type="dxa"/>
            <w:gridSpan w:val="3"/>
            <w:tcBorders>
              <w:top w:val="none" w:sz="0" w:space="0" w:color="auto"/>
              <w:left w:val="none" w:sz="0" w:space="0" w:color="auto"/>
              <w:bottom w:val="none" w:sz="0" w:space="0" w:color="auto"/>
              <w:right w:val="none" w:sz="0" w:space="0" w:color="auto"/>
            </w:tcBorders>
            <w:shd w:val="clear" w:color="auto" w:fill="5B9BD5" w:themeFill="accent5"/>
            <w:vAlign w:val="center"/>
          </w:tcPr>
          <w:p w14:paraId="574230B0"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Personal </w:t>
            </w:r>
          </w:p>
        </w:tc>
      </w:tr>
      <w:tr w:rsidR="009B683A" w:rsidRPr="00970FD5" w14:paraId="6433B664" w14:textId="77777777" w:rsidTr="00686CE7">
        <w:trPr>
          <w:trHeight w:val="70"/>
        </w:trPr>
        <w:tc>
          <w:tcPr>
            <w:cnfStyle w:val="000010000000" w:firstRow="0" w:lastRow="0" w:firstColumn="0" w:lastColumn="0" w:oddVBand="1" w:evenVBand="0" w:oddHBand="0" w:evenHBand="0" w:firstRowFirstColumn="0" w:firstRowLastColumn="0" w:lastRowFirstColumn="0" w:lastRowLastColumn="0"/>
            <w:tcW w:w="3385" w:type="dxa"/>
            <w:tcBorders>
              <w:left w:val="none" w:sz="0" w:space="0" w:color="auto"/>
              <w:right w:val="none" w:sz="0" w:space="0" w:color="auto"/>
            </w:tcBorders>
            <w:shd w:val="clear" w:color="auto" w:fill="5B9BD5" w:themeFill="accent5"/>
            <w:vAlign w:val="center"/>
          </w:tcPr>
          <w:p w14:paraId="7B144B4A"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Retail brokerage </w:t>
            </w:r>
          </w:p>
        </w:tc>
        <w:tc>
          <w:tcPr>
            <w:tcW w:w="3386" w:type="dxa"/>
            <w:vAlign w:val="center"/>
          </w:tcPr>
          <w:p w14:paraId="54995316" w14:textId="772C1170"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$192.4</w:t>
            </w:r>
          </w:p>
        </w:tc>
        <w:tc>
          <w:tcPr>
            <w:cnfStyle w:val="000010000000" w:firstRow="0" w:lastRow="0" w:firstColumn="0" w:lastColumn="0" w:oddVBand="1" w:evenVBand="0" w:oddHBand="0" w:evenHBand="0" w:firstRowFirstColumn="0" w:firstRowLastColumn="0" w:lastRowFirstColumn="0" w:lastRowLastColumn="0"/>
            <w:tcW w:w="3389" w:type="dxa"/>
            <w:tcBorders>
              <w:left w:val="none" w:sz="0" w:space="0" w:color="auto"/>
              <w:right w:val="none" w:sz="0" w:space="0" w:color="auto"/>
            </w:tcBorders>
            <w:vAlign w:val="center"/>
          </w:tcPr>
          <w:p w14:paraId="191560EA" w14:textId="70A5EEB2" w:rsidR="009B683A" w:rsidRPr="003E325A" w:rsidRDefault="009B683A" w:rsidP="003E325A">
            <w:pPr>
              <w:pStyle w:val="ListParagraph"/>
              <w:spacing w:after="100" w:afterAutospacing="1" w:line="360" w:lineRule="auto"/>
              <w:ind w:left="0"/>
              <w:jc w:val="center"/>
              <w:rPr>
                <w:rFonts w:cstheme="minorHAnsi"/>
                <w:sz w:val="20"/>
                <w:szCs w:val="20"/>
              </w:rPr>
            </w:pPr>
            <w:r w:rsidRPr="003E325A">
              <w:rPr>
                <w:rFonts w:cstheme="minorHAnsi"/>
                <w:sz w:val="20"/>
                <w:szCs w:val="20"/>
              </w:rPr>
              <w:t>$201.0</w:t>
            </w:r>
          </w:p>
        </w:tc>
      </w:tr>
      <w:tr w:rsidR="009B683A" w:rsidRPr="00970FD5" w14:paraId="53548D1F" w14:textId="77777777" w:rsidTr="00686CE7">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3385" w:type="dxa"/>
            <w:tcBorders>
              <w:top w:val="none" w:sz="0" w:space="0" w:color="auto"/>
              <w:left w:val="none" w:sz="0" w:space="0" w:color="auto"/>
              <w:bottom w:val="none" w:sz="0" w:space="0" w:color="auto"/>
              <w:right w:val="none" w:sz="0" w:space="0" w:color="auto"/>
            </w:tcBorders>
            <w:shd w:val="clear" w:color="auto" w:fill="5B9BD5" w:themeFill="accent5"/>
            <w:vAlign w:val="center"/>
          </w:tcPr>
          <w:p w14:paraId="2EE8FBD0"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Investment management and trust </w:t>
            </w:r>
          </w:p>
        </w:tc>
        <w:tc>
          <w:tcPr>
            <w:tcW w:w="3386" w:type="dxa"/>
            <w:tcBorders>
              <w:top w:val="none" w:sz="0" w:space="0" w:color="auto"/>
              <w:bottom w:val="none" w:sz="0" w:space="0" w:color="auto"/>
            </w:tcBorders>
            <w:vAlign w:val="center"/>
          </w:tcPr>
          <w:p w14:paraId="3B111A1A" w14:textId="28C309FE"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162.7</w:t>
            </w:r>
          </w:p>
        </w:tc>
        <w:tc>
          <w:tcPr>
            <w:cnfStyle w:val="000010000000" w:firstRow="0" w:lastRow="0" w:firstColumn="0" w:lastColumn="0" w:oddVBand="1" w:evenVBand="0" w:oddHBand="0" w:evenHBand="0" w:firstRowFirstColumn="0" w:firstRowLastColumn="0" w:lastRowFirstColumn="0" w:lastRowLastColumn="0"/>
            <w:tcW w:w="3389" w:type="dxa"/>
            <w:tcBorders>
              <w:top w:val="none" w:sz="0" w:space="0" w:color="auto"/>
              <w:left w:val="none" w:sz="0" w:space="0" w:color="auto"/>
              <w:bottom w:val="none" w:sz="0" w:space="0" w:color="auto"/>
              <w:right w:val="none" w:sz="0" w:space="0" w:color="auto"/>
            </w:tcBorders>
            <w:vAlign w:val="center"/>
          </w:tcPr>
          <w:p w14:paraId="1A23327C" w14:textId="5D631B54" w:rsidR="009B683A" w:rsidRPr="003E325A" w:rsidRDefault="009B683A" w:rsidP="003E325A">
            <w:pPr>
              <w:pStyle w:val="ListParagraph"/>
              <w:spacing w:after="100" w:afterAutospacing="1" w:line="360" w:lineRule="auto"/>
              <w:ind w:left="0"/>
              <w:jc w:val="center"/>
              <w:rPr>
                <w:rFonts w:cstheme="minorHAnsi"/>
                <w:sz w:val="20"/>
                <w:szCs w:val="20"/>
              </w:rPr>
            </w:pPr>
            <w:r w:rsidRPr="003E325A">
              <w:rPr>
                <w:rFonts w:cstheme="minorHAnsi"/>
                <w:sz w:val="20"/>
                <w:szCs w:val="20"/>
              </w:rPr>
              <w:t>144.7</w:t>
            </w:r>
          </w:p>
        </w:tc>
      </w:tr>
      <w:tr w:rsidR="009B683A" w:rsidRPr="00970FD5" w14:paraId="77246016" w14:textId="77777777" w:rsidTr="00686CE7">
        <w:trPr>
          <w:trHeight w:val="70"/>
        </w:trPr>
        <w:tc>
          <w:tcPr>
            <w:cnfStyle w:val="000010000000" w:firstRow="0" w:lastRow="0" w:firstColumn="0" w:lastColumn="0" w:oddVBand="1" w:evenVBand="0" w:oddHBand="0" w:evenHBand="0" w:firstRowFirstColumn="0" w:firstRowLastColumn="0" w:lastRowFirstColumn="0" w:lastRowLastColumn="0"/>
            <w:tcW w:w="3385" w:type="dxa"/>
            <w:tcBorders>
              <w:left w:val="none" w:sz="0" w:space="0" w:color="auto"/>
              <w:right w:val="none" w:sz="0" w:space="0" w:color="auto"/>
            </w:tcBorders>
            <w:shd w:val="clear" w:color="auto" w:fill="5B9BD5" w:themeFill="accent5"/>
            <w:vAlign w:val="center"/>
          </w:tcPr>
          <w:p w14:paraId="6DB6C270"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Mutual funds </w:t>
            </w:r>
          </w:p>
        </w:tc>
        <w:tc>
          <w:tcPr>
            <w:tcW w:w="3386" w:type="dxa"/>
            <w:vAlign w:val="center"/>
          </w:tcPr>
          <w:p w14:paraId="174E3D46" w14:textId="3E1C5F59"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198.8</w:t>
            </w:r>
          </w:p>
        </w:tc>
        <w:tc>
          <w:tcPr>
            <w:cnfStyle w:val="000010000000" w:firstRow="0" w:lastRow="0" w:firstColumn="0" w:lastColumn="0" w:oddVBand="1" w:evenVBand="0" w:oddHBand="0" w:evenHBand="0" w:firstRowFirstColumn="0" w:firstRowLastColumn="0" w:lastRowFirstColumn="0" w:lastRowLastColumn="0"/>
            <w:tcW w:w="3389" w:type="dxa"/>
            <w:tcBorders>
              <w:left w:val="none" w:sz="0" w:space="0" w:color="auto"/>
              <w:right w:val="none" w:sz="0" w:space="0" w:color="auto"/>
            </w:tcBorders>
            <w:vAlign w:val="center"/>
          </w:tcPr>
          <w:p w14:paraId="2F916033" w14:textId="6182C082" w:rsidR="009B683A" w:rsidRPr="003E325A" w:rsidRDefault="009B683A" w:rsidP="003E325A">
            <w:pPr>
              <w:pStyle w:val="ListParagraph"/>
              <w:spacing w:after="100" w:afterAutospacing="1" w:line="360" w:lineRule="auto"/>
              <w:ind w:left="0"/>
              <w:jc w:val="center"/>
              <w:rPr>
                <w:rFonts w:cstheme="minorHAnsi"/>
                <w:sz w:val="20"/>
                <w:szCs w:val="20"/>
              </w:rPr>
            </w:pPr>
            <w:r w:rsidRPr="003E325A">
              <w:rPr>
                <w:rFonts w:cstheme="minorHAnsi"/>
                <w:sz w:val="20"/>
                <w:szCs w:val="20"/>
              </w:rPr>
              <w:t>225.2</w:t>
            </w:r>
          </w:p>
        </w:tc>
      </w:tr>
      <w:tr w:rsidR="009B683A" w:rsidRPr="00970FD5" w14:paraId="5876EED1" w14:textId="77777777" w:rsidTr="00686CE7">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3385" w:type="dxa"/>
            <w:tcBorders>
              <w:top w:val="none" w:sz="0" w:space="0" w:color="auto"/>
              <w:left w:val="none" w:sz="0" w:space="0" w:color="auto"/>
              <w:bottom w:val="none" w:sz="0" w:space="0" w:color="auto"/>
              <w:right w:val="none" w:sz="0" w:space="0" w:color="auto"/>
            </w:tcBorders>
            <w:shd w:val="clear" w:color="auto" w:fill="5B9BD5" w:themeFill="accent5"/>
            <w:vAlign w:val="center"/>
          </w:tcPr>
          <w:p w14:paraId="49872AD8"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Institutional </w:t>
            </w:r>
          </w:p>
        </w:tc>
        <w:tc>
          <w:tcPr>
            <w:tcW w:w="3386" w:type="dxa"/>
            <w:tcBorders>
              <w:top w:val="none" w:sz="0" w:space="0" w:color="auto"/>
              <w:bottom w:val="none" w:sz="0" w:space="0" w:color="auto"/>
            </w:tcBorders>
            <w:vAlign w:val="center"/>
          </w:tcPr>
          <w:p w14:paraId="61838E3D" w14:textId="702019A2"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87.7</w:t>
            </w:r>
          </w:p>
        </w:tc>
        <w:tc>
          <w:tcPr>
            <w:cnfStyle w:val="000010000000" w:firstRow="0" w:lastRow="0" w:firstColumn="0" w:lastColumn="0" w:oddVBand="1" w:evenVBand="0" w:oddHBand="0" w:evenHBand="0" w:firstRowFirstColumn="0" w:firstRowLastColumn="0" w:lastRowFirstColumn="0" w:lastRowLastColumn="0"/>
            <w:tcW w:w="3389" w:type="dxa"/>
            <w:tcBorders>
              <w:top w:val="none" w:sz="0" w:space="0" w:color="auto"/>
              <w:left w:val="none" w:sz="0" w:space="0" w:color="auto"/>
              <w:bottom w:val="none" w:sz="0" w:space="0" w:color="auto"/>
              <w:right w:val="none" w:sz="0" w:space="0" w:color="auto"/>
            </w:tcBorders>
            <w:vAlign w:val="center"/>
          </w:tcPr>
          <w:p w14:paraId="0EF497F9" w14:textId="1A8456F6" w:rsidR="009B683A" w:rsidRPr="003E325A" w:rsidRDefault="009B683A" w:rsidP="003E325A">
            <w:pPr>
              <w:pStyle w:val="ListParagraph"/>
              <w:spacing w:after="100" w:afterAutospacing="1" w:line="360" w:lineRule="auto"/>
              <w:ind w:left="0"/>
              <w:jc w:val="center"/>
              <w:rPr>
                <w:rFonts w:cstheme="minorHAnsi"/>
                <w:sz w:val="20"/>
                <w:szCs w:val="20"/>
              </w:rPr>
            </w:pPr>
            <w:r w:rsidRPr="003E325A">
              <w:rPr>
                <w:rFonts w:cstheme="minorHAnsi"/>
                <w:sz w:val="20"/>
                <w:szCs w:val="20"/>
              </w:rPr>
              <w:t>82.0</w:t>
            </w:r>
          </w:p>
        </w:tc>
      </w:tr>
      <w:tr w:rsidR="009B683A" w:rsidRPr="00970FD5" w14:paraId="67A4D30B" w14:textId="77777777" w:rsidTr="00686CE7">
        <w:trPr>
          <w:trHeight w:val="70"/>
        </w:trPr>
        <w:tc>
          <w:tcPr>
            <w:cnfStyle w:val="000010000000" w:firstRow="0" w:lastRow="0" w:firstColumn="0" w:lastColumn="0" w:oddVBand="1" w:evenVBand="0" w:oddHBand="0" w:evenHBand="0" w:firstRowFirstColumn="0" w:firstRowLastColumn="0" w:lastRowFirstColumn="0" w:lastRowLastColumn="0"/>
            <w:tcW w:w="3385" w:type="dxa"/>
            <w:tcBorders>
              <w:left w:val="none" w:sz="0" w:space="0" w:color="auto"/>
              <w:right w:val="none" w:sz="0" w:space="0" w:color="auto"/>
            </w:tcBorders>
            <w:shd w:val="clear" w:color="auto" w:fill="5B9BD5" w:themeFill="accent5"/>
            <w:vAlign w:val="center"/>
          </w:tcPr>
          <w:p w14:paraId="65B4AD14"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Total </w:t>
            </w:r>
          </w:p>
        </w:tc>
        <w:tc>
          <w:tcPr>
            <w:tcW w:w="3386" w:type="dxa"/>
            <w:vAlign w:val="center"/>
          </w:tcPr>
          <w:p w14:paraId="5F60BA58" w14:textId="6208DFA0"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$641.6</w:t>
            </w:r>
          </w:p>
        </w:tc>
        <w:tc>
          <w:tcPr>
            <w:cnfStyle w:val="000010000000" w:firstRow="0" w:lastRow="0" w:firstColumn="0" w:lastColumn="0" w:oddVBand="1" w:evenVBand="0" w:oddHBand="0" w:evenHBand="0" w:firstRowFirstColumn="0" w:firstRowLastColumn="0" w:lastRowFirstColumn="0" w:lastRowLastColumn="0"/>
            <w:tcW w:w="3389" w:type="dxa"/>
            <w:tcBorders>
              <w:left w:val="none" w:sz="0" w:space="0" w:color="auto"/>
              <w:right w:val="none" w:sz="0" w:space="0" w:color="auto"/>
            </w:tcBorders>
            <w:vAlign w:val="center"/>
          </w:tcPr>
          <w:p w14:paraId="1CD9B942" w14:textId="0977E92D" w:rsidR="009B683A" w:rsidRPr="003E325A" w:rsidRDefault="009B683A" w:rsidP="003E325A">
            <w:pPr>
              <w:pStyle w:val="ListParagraph"/>
              <w:spacing w:after="100" w:afterAutospacing="1" w:line="360" w:lineRule="auto"/>
              <w:ind w:left="0"/>
              <w:jc w:val="center"/>
              <w:rPr>
                <w:rFonts w:cstheme="minorHAnsi"/>
                <w:sz w:val="20"/>
                <w:szCs w:val="20"/>
              </w:rPr>
            </w:pPr>
            <w:r w:rsidRPr="003E325A">
              <w:rPr>
                <w:rFonts w:cstheme="minorHAnsi"/>
                <w:sz w:val="20"/>
                <w:szCs w:val="20"/>
              </w:rPr>
              <w:t>$652.9</w:t>
            </w:r>
          </w:p>
        </w:tc>
      </w:tr>
      <w:tr w:rsidR="009B683A" w:rsidRPr="00970FD5" w14:paraId="17EB1E55" w14:textId="77777777" w:rsidTr="00686CE7">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0160" w:type="dxa"/>
            <w:gridSpan w:val="3"/>
            <w:tcBorders>
              <w:top w:val="none" w:sz="0" w:space="0" w:color="auto"/>
              <w:left w:val="none" w:sz="0" w:space="0" w:color="auto"/>
              <w:bottom w:val="none" w:sz="0" w:space="0" w:color="auto"/>
              <w:right w:val="none" w:sz="0" w:space="0" w:color="auto"/>
            </w:tcBorders>
            <w:shd w:val="clear" w:color="auto" w:fill="5B9BD5" w:themeFill="accent5"/>
            <w:vAlign w:val="center"/>
          </w:tcPr>
          <w:p w14:paraId="3941446F" w14:textId="0800FAD2" w:rsidR="009B683A" w:rsidRPr="003E325A" w:rsidRDefault="009B683A" w:rsidP="003E325A">
            <w:pPr>
              <w:pStyle w:val="ListParagraph"/>
              <w:spacing w:after="100" w:afterAutospacing="1" w:line="360" w:lineRule="auto"/>
              <w:ind w:left="0"/>
              <w:jc w:val="center"/>
              <w:rPr>
                <w:rFonts w:cstheme="minorHAnsi"/>
                <w:b/>
                <w:bCs/>
                <w:color w:val="FFFFFF" w:themeColor="background1"/>
                <w:sz w:val="20"/>
                <w:szCs w:val="20"/>
              </w:rPr>
            </w:pPr>
            <w:r w:rsidRPr="003E325A">
              <w:rPr>
                <w:rFonts w:cstheme="minorHAnsi"/>
                <w:b/>
                <w:bCs/>
                <w:color w:val="FFFFFF" w:themeColor="background1"/>
                <w:sz w:val="20"/>
                <w:szCs w:val="20"/>
              </w:rPr>
              <w:t>Assets under management</w:t>
            </w:r>
          </w:p>
        </w:tc>
      </w:tr>
      <w:tr w:rsidR="009B683A" w:rsidRPr="00970FD5" w14:paraId="286F4D51" w14:textId="77777777" w:rsidTr="00686CE7">
        <w:trPr>
          <w:trHeight w:val="70"/>
        </w:trPr>
        <w:tc>
          <w:tcPr>
            <w:cnfStyle w:val="000010000000" w:firstRow="0" w:lastRow="0" w:firstColumn="0" w:lastColumn="0" w:oddVBand="1" w:evenVBand="0" w:oddHBand="0" w:evenHBand="0" w:firstRowFirstColumn="0" w:firstRowLastColumn="0" w:lastRowFirstColumn="0" w:lastRowLastColumn="0"/>
            <w:tcW w:w="3385" w:type="dxa"/>
            <w:tcBorders>
              <w:left w:val="none" w:sz="0" w:space="0" w:color="auto"/>
              <w:right w:val="none" w:sz="0" w:space="0" w:color="auto"/>
            </w:tcBorders>
            <w:shd w:val="clear" w:color="auto" w:fill="5B9BD5" w:themeFill="accent5"/>
            <w:vAlign w:val="center"/>
          </w:tcPr>
          <w:p w14:paraId="31F76BB6"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Personal </w:t>
            </w:r>
          </w:p>
        </w:tc>
        <w:tc>
          <w:tcPr>
            <w:tcW w:w="3386" w:type="dxa"/>
            <w:vAlign w:val="center"/>
          </w:tcPr>
          <w:p w14:paraId="7BEBEDDF" w14:textId="583913FA"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$76.7</w:t>
            </w:r>
          </w:p>
        </w:tc>
        <w:tc>
          <w:tcPr>
            <w:cnfStyle w:val="000010000000" w:firstRow="0" w:lastRow="0" w:firstColumn="0" w:lastColumn="0" w:oddVBand="1" w:evenVBand="0" w:oddHBand="0" w:evenHBand="0" w:firstRowFirstColumn="0" w:firstRowLastColumn="0" w:lastRowFirstColumn="0" w:lastRowLastColumn="0"/>
            <w:tcW w:w="3389" w:type="dxa"/>
            <w:tcBorders>
              <w:left w:val="none" w:sz="0" w:space="0" w:color="auto"/>
              <w:right w:val="none" w:sz="0" w:space="0" w:color="auto"/>
            </w:tcBorders>
            <w:vAlign w:val="center"/>
          </w:tcPr>
          <w:p w14:paraId="25116C2A" w14:textId="20C0333E" w:rsidR="009B683A" w:rsidRPr="003E325A" w:rsidRDefault="009B683A" w:rsidP="003E325A">
            <w:pPr>
              <w:pStyle w:val="ListParagraph"/>
              <w:spacing w:after="100" w:afterAutospacing="1" w:line="360" w:lineRule="auto"/>
              <w:ind w:left="0"/>
              <w:jc w:val="center"/>
              <w:rPr>
                <w:rFonts w:cstheme="minorHAnsi"/>
                <w:sz w:val="20"/>
                <w:szCs w:val="20"/>
              </w:rPr>
            </w:pPr>
            <w:r w:rsidRPr="003E325A">
              <w:rPr>
                <w:rFonts w:cstheme="minorHAnsi"/>
                <w:sz w:val="20"/>
                <w:szCs w:val="20"/>
              </w:rPr>
              <w:t>$76.3</w:t>
            </w:r>
          </w:p>
        </w:tc>
      </w:tr>
      <w:tr w:rsidR="009B683A" w:rsidRPr="00970FD5" w14:paraId="251589B2" w14:textId="77777777" w:rsidTr="00686CE7">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3385" w:type="dxa"/>
            <w:tcBorders>
              <w:top w:val="none" w:sz="0" w:space="0" w:color="auto"/>
              <w:left w:val="none" w:sz="0" w:space="0" w:color="auto"/>
              <w:bottom w:val="none" w:sz="0" w:space="0" w:color="auto"/>
              <w:right w:val="none" w:sz="0" w:space="0" w:color="auto"/>
            </w:tcBorders>
            <w:shd w:val="clear" w:color="auto" w:fill="5B9BD5" w:themeFill="accent5"/>
            <w:vAlign w:val="center"/>
          </w:tcPr>
          <w:p w14:paraId="50F5EFE5"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Mutual funds </w:t>
            </w:r>
          </w:p>
        </w:tc>
        <w:tc>
          <w:tcPr>
            <w:tcW w:w="3386" w:type="dxa"/>
            <w:tcBorders>
              <w:top w:val="none" w:sz="0" w:space="0" w:color="auto"/>
              <w:bottom w:val="none" w:sz="0" w:space="0" w:color="auto"/>
            </w:tcBorders>
            <w:vAlign w:val="center"/>
          </w:tcPr>
          <w:p w14:paraId="06010B5F" w14:textId="087A87B3"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184.1</w:t>
            </w:r>
          </w:p>
        </w:tc>
        <w:tc>
          <w:tcPr>
            <w:cnfStyle w:val="000010000000" w:firstRow="0" w:lastRow="0" w:firstColumn="0" w:lastColumn="0" w:oddVBand="1" w:evenVBand="0" w:oddHBand="0" w:evenHBand="0" w:firstRowFirstColumn="0" w:firstRowLastColumn="0" w:lastRowFirstColumn="0" w:lastRowLastColumn="0"/>
            <w:tcW w:w="3389" w:type="dxa"/>
            <w:tcBorders>
              <w:top w:val="none" w:sz="0" w:space="0" w:color="auto"/>
              <w:left w:val="none" w:sz="0" w:space="0" w:color="auto"/>
              <w:bottom w:val="none" w:sz="0" w:space="0" w:color="auto"/>
              <w:right w:val="none" w:sz="0" w:space="0" w:color="auto"/>
            </w:tcBorders>
            <w:vAlign w:val="center"/>
          </w:tcPr>
          <w:p w14:paraId="711DF38E" w14:textId="5FB49E04" w:rsidR="009B683A" w:rsidRPr="003E325A" w:rsidRDefault="009B683A" w:rsidP="003E325A">
            <w:pPr>
              <w:pStyle w:val="ListParagraph"/>
              <w:spacing w:after="100" w:afterAutospacing="1" w:line="360" w:lineRule="auto"/>
              <w:ind w:left="0"/>
              <w:jc w:val="center"/>
              <w:rPr>
                <w:rFonts w:cstheme="minorHAnsi"/>
                <w:sz w:val="20"/>
                <w:szCs w:val="20"/>
              </w:rPr>
            </w:pPr>
            <w:r w:rsidRPr="003E325A">
              <w:rPr>
                <w:rFonts w:cstheme="minorHAnsi"/>
                <w:sz w:val="20"/>
                <w:szCs w:val="20"/>
              </w:rPr>
              <w:t>206.9</w:t>
            </w:r>
          </w:p>
        </w:tc>
      </w:tr>
      <w:tr w:rsidR="009B683A" w:rsidRPr="00970FD5" w14:paraId="023442BA" w14:textId="77777777" w:rsidTr="00686CE7">
        <w:trPr>
          <w:trHeight w:val="70"/>
        </w:trPr>
        <w:tc>
          <w:tcPr>
            <w:cnfStyle w:val="000010000000" w:firstRow="0" w:lastRow="0" w:firstColumn="0" w:lastColumn="0" w:oddVBand="1" w:evenVBand="0" w:oddHBand="0" w:evenHBand="0" w:firstRowFirstColumn="0" w:firstRowLastColumn="0" w:lastRowFirstColumn="0" w:lastRowLastColumn="0"/>
            <w:tcW w:w="3385" w:type="dxa"/>
            <w:tcBorders>
              <w:left w:val="none" w:sz="0" w:space="0" w:color="auto"/>
              <w:right w:val="none" w:sz="0" w:space="0" w:color="auto"/>
            </w:tcBorders>
            <w:shd w:val="clear" w:color="auto" w:fill="5B9BD5" w:themeFill="accent5"/>
            <w:vAlign w:val="center"/>
          </w:tcPr>
          <w:p w14:paraId="465035EC"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t xml:space="preserve">Institutional </w:t>
            </w:r>
          </w:p>
        </w:tc>
        <w:tc>
          <w:tcPr>
            <w:tcW w:w="3386" w:type="dxa"/>
            <w:vAlign w:val="center"/>
          </w:tcPr>
          <w:p w14:paraId="0E318AC9" w14:textId="2F1EDDF0" w:rsidR="009B683A" w:rsidRPr="003E325A" w:rsidRDefault="009B683A" w:rsidP="003E325A">
            <w:pPr>
              <w:pStyle w:val="ListParagraph"/>
              <w:spacing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50.3</w:t>
            </w:r>
          </w:p>
        </w:tc>
        <w:tc>
          <w:tcPr>
            <w:cnfStyle w:val="000010000000" w:firstRow="0" w:lastRow="0" w:firstColumn="0" w:lastColumn="0" w:oddVBand="1" w:evenVBand="0" w:oddHBand="0" w:evenHBand="0" w:firstRowFirstColumn="0" w:firstRowLastColumn="0" w:lastRowFirstColumn="0" w:lastRowLastColumn="0"/>
            <w:tcW w:w="3389" w:type="dxa"/>
            <w:tcBorders>
              <w:left w:val="none" w:sz="0" w:space="0" w:color="auto"/>
              <w:right w:val="none" w:sz="0" w:space="0" w:color="auto"/>
            </w:tcBorders>
            <w:vAlign w:val="center"/>
          </w:tcPr>
          <w:p w14:paraId="1DA5F1A7" w14:textId="4E351BE6" w:rsidR="009B683A" w:rsidRPr="003E325A" w:rsidRDefault="009B683A" w:rsidP="003E325A">
            <w:pPr>
              <w:pStyle w:val="ListParagraph"/>
              <w:spacing w:after="100" w:afterAutospacing="1" w:line="360" w:lineRule="auto"/>
              <w:ind w:left="0"/>
              <w:jc w:val="center"/>
              <w:rPr>
                <w:rFonts w:cstheme="minorHAnsi"/>
                <w:sz w:val="20"/>
                <w:szCs w:val="20"/>
              </w:rPr>
            </w:pPr>
            <w:r w:rsidRPr="003E325A">
              <w:rPr>
                <w:rFonts w:cstheme="minorHAnsi"/>
                <w:sz w:val="20"/>
                <w:szCs w:val="20"/>
              </w:rPr>
              <w:t>62.6</w:t>
            </w:r>
          </w:p>
        </w:tc>
      </w:tr>
      <w:tr w:rsidR="009B683A" w:rsidRPr="00970FD5" w14:paraId="61231C6E" w14:textId="77777777" w:rsidTr="00686CE7">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3385" w:type="dxa"/>
            <w:tcBorders>
              <w:top w:val="none" w:sz="0" w:space="0" w:color="auto"/>
              <w:left w:val="none" w:sz="0" w:space="0" w:color="auto"/>
              <w:bottom w:val="none" w:sz="0" w:space="0" w:color="auto"/>
              <w:right w:val="none" w:sz="0" w:space="0" w:color="auto"/>
            </w:tcBorders>
            <w:shd w:val="clear" w:color="auto" w:fill="5B9BD5" w:themeFill="accent5"/>
            <w:vAlign w:val="center"/>
          </w:tcPr>
          <w:p w14:paraId="29F08FBF" w14:textId="77777777" w:rsidR="009B683A" w:rsidRPr="003E325A" w:rsidRDefault="009B683A" w:rsidP="00AF1377">
            <w:pPr>
              <w:pStyle w:val="ListParagraph"/>
              <w:spacing w:after="100" w:afterAutospacing="1" w:line="360" w:lineRule="auto"/>
              <w:ind w:left="0"/>
              <w:rPr>
                <w:rFonts w:cstheme="minorHAnsi"/>
                <w:b/>
                <w:bCs/>
                <w:color w:val="FFFFFF" w:themeColor="background1"/>
                <w:sz w:val="20"/>
                <w:szCs w:val="20"/>
              </w:rPr>
            </w:pPr>
            <w:r w:rsidRPr="003E325A">
              <w:rPr>
                <w:rFonts w:cstheme="minorHAnsi"/>
                <w:b/>
                <w:bCs/>
                <w:color w:val="FFFFFF" w:themeColor="background1"/>
                <w:sz w:val="20"/>
                <w:szCs w:val="20"/>
              </w:rPr>
              <w:lastRenderedPageBreak/>
              <w:t xml:space="preserve">Total </w:t>
            </w:r>
          </w:p>
        </w:tc>
        <w:tc>
          <w:tcPr>
            <w:tcW w:w="3386" w:type="dxa"/>
            <w:tcBorders>
              <w:top w:val="none" w:sz="0" w:space="0" w:color="auto"/>
              <w:bottom w:val="none" w:sz="0" w:space="0" w:color="auto"/>
            </w:tcBorders>
            <w:vAlign w:val="center"/>
          </w:tcPr>
          <w:p w14:paraId="0CC75262" w14:textId="667C2CFB" w:rsidR="009B683A" w:rsidRPr="003E325A" w:rsidRDefault="009B683A" w:rsidP="003E325A">
            <w:pPr>
              <w:pStyle w:val="ListParagraph"/>
              <w:spacing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$311.1</w:t>
            </w:r>
          </w:p>
        </w:tc>
        <w:tc>
          <w:tcPr>
            <w:cnfStyle w:val="000010000000" w:firstRow="0" w:lastRow="0" w:firstColumn="0" w:lastColumn="0" w:oddVBand="1" w:evenVBand="0" w:oddHBand="0" w:evenHBand="0" w:firstRowFirstColumn="0" w:firstRowLastColumn="0" w:lastRowFirstColumn="0" w:lastRowLastColumn="0"/>
            <w:tcW w:w="3389" w:type="dxa"/>
            <w:tcBorders>
              <w:top w:val="none" w:sz="0" w:space="0" w:color="auto"/>
              <w:left w:val="none" w:sz="0" w:space="0" w:color="auto"/>
              <w:bottom w:val="none" w:sz="0" w:space="0" w:color="auto"/>
              <w:right w:val="none" w:sz="0" w:space="0" w:color="auto"/>
            </w:tcBorders>
            <w:vAlign w:val="center"/>
          </w:tcPr>
          <w:p w14:paraId="55B0225D" w14:textId="44D67EA3" w:rsidR="009B683A" w:rsidRPr="003E325A" w:rsidRDefault="009B683A" w:rsidP="003E325A">
            <w:pPr>
              <w:pStyle w:val="ListParagraph"/>
              <w:spacing w:after="100" w:afterAutospacing="1" w:line="360" w:lineRule="auto"/>
              <w:ind w:left="0"/>
              <w:jc w:val="center"/>
              <w:rPr>
                <w:rFonts w:cstheme="minorHAnsi"/>
                <w:sz w:val="20"/>
                <w:szCs w:val="20"/>
              </w:rPr>
            </w:pPr>
            <w:r w:rsidRPr="003E325A">
              <w:rPr>
                <w:rFonts w:cstheme="minorHAnsi"/>
                <w:sz w:val="20"/>
                <w:szCs w:val="20"/>
              </w:rPr>
              <w:t>$345.8</w:t>
            </w:r>
          </w:p>
        </w:tc>
      </w:tr>
    </w:tbl>
    <w:p w14:paraId="1B068F37" w14:textId="26855F53" w:rsidR="009B683A" w:rsidRPr="00257DA0" w:rsidRDefault="00000000" w:rsidP="009B683A">
      <w:pPr>
        <w:spacing w:after="100" w:afterAutospacing="1" w:line="360" w:lineRule="auto"/>
        <w:rPr>
          <w:rFonts w:cstheme="minorHAnsi"/>
          <w:b/>
          <w:bCs/>
        </w:rPr>
      </w:pPr>
      <w:sdt>
        <w:sdtPr>
          <w:rPr>
            <w:rFonts w:cstheme="minorHAnsi"/>
            <w:b/>
            <w:bCs/>
          </w:rPr>
          <w:id w:val="-1097788234"/>
          <w:citation/>
        </w:sdtPr>
        <w:sdtContent>
          <w:r w:rsidR="009B683A">
            <w:rPr>
              <w:rFonts w:cstheme="minorHAnsi"/>
              <w:b/>
              <w:bCs/>
            </w:rPr>
            <w:fldChar w:fldCharType="begin"/>
          </w:r>
          <w:r w:rsidR="009B683A">
            <w:rPr>
              <w:rFonts w:cstheme="minorHAnsi"/>
              <w:b/>
              <w:bCs/>
            </w:rPr>
            <w:instrText xml:space="preserve">CITATION Placeholder4 \l 16393 </w:instrText>
          </w:r>
          <w:r w:rsidR="009B683A">
            <w:rPr>
              <w:rFonts w:cstheme="minorHAnsi"/>
              <w:b/>
              <w:bCs/>
            </w:rPr>
            <w:fldChar w:fldCharType="separate"/>
          </w:r>
          <w:r w:rsidR="00AD2C7A" w:rsidRPr="00AD2C7A">
            <w:rPr>
              <w:rFonts w:cstheme="minorHAnsi"/>
              <w:noProof/>
            </w:rPr>
            <w:t>(Scotiabank, 2022)</w:t>
          </w:r>
          <w:r w:rsidR="009B683A">
            <w:rPr>
              <w:rFonts w:cstheme="minorHAnsi"/>
              <w:b/>
              <w:bCs/>
            </w:rPr>
            <w:fldChar w:fldCharType="end"/>
          </w:r>
        </w:sdtContent>
      </w:sdt>
    </w:p>
    <w:p w14:paraId="65B0EFFE" w14:textId="087122CC" w:rsidR="009B683A" w:rsidRPr="00686CE7" w:rsidRDefault="009B683A" w:rsidP="005F1362">
      <w:pPr>
        <w:rPr>
          <w:rStyle w:val="Heading3Char"/>
          <w:b/>
          <w:bCs/>
        </w:rPr>
      </w:pPr>
      <w:bookmarkStart w:id="18" w:name="_Toc145702365"/>
      <w:r w:rsidRPr="00686CE7">
        <w:rPr>
          <w:rStyle w:val="Heading3Char"/>
          <w:b/>
          <w:bCs/>
        </w:rPr>
        <w:t>Expenditure classification:</w:t>
      </w:r>
      <w:bookmarkEnd w:id="18"/>
    </w:p>
    <w:tbl>
      <w:tblPr>
        <w:tblStyle w:val="GridTable4-Accent1"/>
        <w:tblW w:w="10060" w:type="dxa"/>
        <w:tblLook w:val="04A0" w:firstRow="1" w:lastRow="0" w:firstColumn="1" w:lastColumn="0" w:noHBand="0" w:noVBand="1"/>
      </w:tblPr>
      <w:tblGrid>
        <w:gridCol w:w="2263"/>
        <w:gridCol w:w="1535"/>
        <w:gridCol w:w="2151"/>
        <w:gridCol w:w="4111"/>
      </w:tblGrid>
      <w:tr w:rsidR="009B683A" w:rsidRPr="003E325A" w14:paraId="73EFA0E9" w14:textId="77777777" w:rsidTr="003E32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4FF3DA42"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Non-interest expenses and productivity ($ Mn) </w:t>
            </w:r>
          </w:p>
        </w:tc>
        <w:tc>
          <w:tcPr>
            <w:tcW w:w="1535" w:type="dxa"/>
          </w:tcPr>
          <w:p w14:paraId="590900E6" w14:textId="77777777" w:rsidR="009B683A" w:rsidRPr="003E325A" w:rsidRDefault="009B683A" w:rsidP="00AF1377">
            <w:pPr>
              <w:spacing w:after="100" w:afterAutospacing="1"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3E325A">
              <w:rPr>
                <w:rFonts w:cstheme="minorHAnsi"/>
                <w:sz w:val="20"/>
                <w:szCs w:val="20"/>
              </w:rPr>
              <w:t xml:space="preserve">2022 </w:t>
            </w:r>
          </w:p>
        </w:tc>
        <w:tc>
          <w:tcPr>
            <w:tcW w:w="2151" w:type="dxa"/>
          </w:tcPr>
          <w:p w14:paraId="4974591C" w14:textId="77777777" w:rsidR="009B683A" w:rsidRPr="003E325A" w:rsidRDefault="009B683A" w:rsidP="00AF1377">
            <w:pPr>
              <w:spacing w:after="100" w:afterAutospacing="1"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3E325A">
              <w:rPr>
                <w:rFonts w:cstheme="minorHAnsi"/>
                <w:sz w:val="20"/>
                <w:szCs w:val="20"/>
              </w:rPr>
              <w:t xml:space="preserve">2021 </w:t>
            </w:r>
          </w:p>
        </w:tc>
        <w:tc>
          <w:tcPr>
            <w:tcW w:w="4111" w:type="dxa"/>
          </w:tcPr>
          <w:p w14:paraId="0F8B740C" w14:textId="77777777" w:rsidR="009B683A" w:rsidRPr="003E325A" w:rsidRDefault="009B683A" w:rsidP="00AF1377">
            <w:pPr>
              <w:spacing w:after="100" w:afterAutospacing="1" w:line="36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3E325A">
              <w:rPr>
                <w:rFonts w:cstheme="minorHAnsi"/>
                <w:sz w:val="20"/>
                <w:szCs w:val="20"/>
              </w:rPr>
              <w:t xml:space="preserve">2022 versus 2021 </w:t>
            </w:r>
          </w:p>
        </w:tc>
      </w:tr>
      <w:tr w:rsidR="009B683A" w:rsidRPr="003E325A" w14:paraId="66E10C3C" w14:textId="77777777" w:rsidTr="003E325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0060" w:type="dxa"/>
            <w:gridSpan w:val="4"/>
          </w:tcPr>
          <w:p w14:paraId="4AFCFF75" w14:textId="0E0BA09C" w:rsidR="009B683A" w:rsidRPr="003E325A" w:rsidRDefault="009B683A" w:rsidP="003E325A">
            <w:pPr>
              <w:spacing w:after="100" w:afterAutospacing="1" w:line="360" w:lineRule="auto"/>
              <w:jc w:val="center"/>
              <w:rPr>
                <w:rFonts w:cstheme="minorHAnsi"/>
                <w:b w:val="0"/>
                <w:bCs w:val="0"/>
                <w:sz w:val="20"/>
                <w:szCs w:val="20"/>
              </w:rPr>
            </w:pPr>
            <w:r w:rsidRPr="003E325A">
              <w:rPr>
                <w:rFonts w:cstheme="minorHAnsi"/>
                <w:sz w:val="20"/>
                <w:szCs w:val="20"/>
              </w:rPr>
              <w:t>Salaries and employee benefits</w:t>
            </w:r>
          </w:p>
        </w:tc>
      </w:tr>
      <w:tr w:rsidR="009B683A" w:rsidRPr="003E325A" w14:paraId="5A2A92DD" w14:textId="77777777" w:rsidTr="003E325A">
        <w:trPr>
          <w:trHeight w:val="387"/>
        </w:trPr>
        <w:tc>
          <w:tcPr>
            <w:cnfStyle w:val="001000000000" w:firstRow="0" w:lastRow="0" w:firstColumn="1" w:lastColumn="0" w:oddVBand="0" w:evenVBand="0" w:oddHBand="0" w:evenHBand="0" w:firstRowFirstColumn="0" w:firstRowLastColumn="0" w:lastRowFirstColumn="0" w:lastRowLastColumn="0"/>
            <w:tcW w:w="2263" w:type="dxa"/>
          </w:tcPr>
          <w:p w14:paraId="629F46BE"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Salaries </w:t>
            </w:r>
          </w:p>
        </w:tc>
        <w:tc>
          <w:tcPr>
            <w:tcW w:w="1535" w:type="dxa"/>
          </w:tcPr>
          <w:p w14:paraId="1369C4E9" w14:textId="2E1C75CC"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$4,989</w:t>
            </w:r>
          </w:p>
        </w:tc>
        <w:tc>
          <w:tcPr>
            <w:tcW w:w="2151" w:type="dxa"/>
          </w:tcPr>
          <w:p w14:paraId="5BB3E8F9" w14:textId="14DFE4DC"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$4,694</w:t>
            </w:r>
          </w:p>
        </w:tc>
        <w:tc>
          <w:tcPr>
            <w:tcW w:w="4111" w:type="dxa"/>
          </w:tcPr>
          <w:p w14:paraId="1FFD797E" w14:textId="6C5B85EA"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6%</w:t>
            </w:r>
          </w:p>
        </w:tc>
      </w:tr>
      <w:tr w:rsidR="009B683A" w:rsidRPr="003E325A" w14:paraId="51B7E05E" w14:textId="77777777" w:rsidTr="003E325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263" w:type="dxa"/>
          </w:tcPr>
          <w:p w14:paraId="2E511C0D"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Performance-based compensation </w:t>
            </w:r>
          </w:p>
        </w:tc>
        <w:tc>
          <w:tcPr>
            <w:tcW w:w="1535" w:type="dxa"/>
          </w:tcPr>
          <w:p w14:paraId="78ADEA8C" w14:textId="0E2D527B"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2,004</w:t>
            </w:r>
          </w:p>
        </w:tc>
        <w:tc>
          <w:tcPr>
            <w:tcW w:w="2151" w:type="dxa"/>
          </w:tcPr>
          <w:p w14:paraId="430BF62B" w14:textId="7BC1DE85"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2,086</w:t>
            </w:r>
          </w:p>
        </w:tc>
        <w:tc>
          <w:tcPr>
            <w:tcW w:w="4111" w:type="dxa"/>
          </w:tcPr>
          <w:p w14:paraId="3CEFAC75" w14:textId="77777777"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-4%</w:t>
            </w:r>
          </w:p>
        </w:tc>
      </w:tr>
      <w:tr w:rsidR="009B683A" w:rsidRPr="003E325A" w14:paraId="26795AD2" w14:textId="77777777" w:rsidTr="003E325A">
        <w:trPr>
          <w:trHeight w:val="387"/>
        </w:trPr>
        <w:tc>
          <w:tcPr>
            <w:cnfStyle w:val="001000000000" w:firstRow="0" w:lastRow="0" w:firstColumn="1" w:lastColumn="0" w:oddVBand="0" w:evenVBand="0" w:oddHBand="0" w:evenHBand="0" w:firstRowFirstColumn="0" w:firstRowLastColumn="0" w:lastRowFirstColumn="0" w:lastRowLastColumn="0"/>
            <w:tcW w:w="2263" w:type="dxa"/>
          </w:tcPr>
          <w:p w14:paraId="16274427"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Share-based payments </w:t>
            </w:r>
          </w:p>
        </w:tc>
        <w:tc>
          <w:tcPr>
            <w:tcW w:w="1535" w:type="dxa"/>
          </w:tcPr>
          <w:p w14:paraId="7B6E4303" w14:textId="57828A1A"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335</w:t>
            </w:r>
          </w:p>
        </w:tc>
        <w:tc>
          <w:tcPr>
            <w:tcW w:w="2151" w:type="dxa"/>
          </w:tcPr>
          <w:p w14:paraId="500DC8CB" w14:textId="45F8F5F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223</w:t>
            </w:r>
          </w:p>
        </w:tc>
        <w:tc>
          <w:tcPr>
            <w:tcW w:w="4111" w:type="dxa"/>
          </w:tcPr>
          <w:p w14:paraId="3BDCF394" w14:textId="7777777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50%</w:t>
            </w:r>
          </w:p>
        </w:tc>
      </w:tr>
      <w:tr w:rsidR="009B683A" w:rsidRPr="003E325A" w14:paraId="72DD081F" w14:textId="77777777" w:rsidTr="003E325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189DECE7"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Other employee benefits </w:t>
            </w:r>
          </w:p>
        </w:tc>
        <w:tc>
          <w:tcPr>
            <w:tcW w:w="1535" w:type="dxa"/>
          </w:tcPr>
          <w:p w14:paraId="7D961FBF" w14:textId="7B00DB7F"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1,508</w:t>
            </w:r>
          </w:p>
        </w:tc>
        <w:tc>
          <w:tcPr>
            <w:tcW w:w="2151" w:type="dxa"/>
          </w:tcPr>
          <w:p w14:paraId="034CEDAF" w14:textId="6AF17E03"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1,538</w:t>
            </w:r>
          </w:p>
        </w:tc>
        <w:tc>
          <w:tcPr>
            <w:tcW w:w="4111" w:type="dxa"/>
          </w:tcPr>
          <w:p w14:paraId="3946F976" w14:textId="77777777"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-2%</w:t>
            </w:r>
          </w:p>
        </w:tc>
      </w:tr>
      <w:tr w:rsidR="009B683A" w:rsidRPr="003E325A" w14:paraId="26B25BDA" w14:textId="77777777" w:rsidTr="003E325A">
        <w:trPr>
          <w:trHeight w:val="398"/>
        </w:trPr>
        <w:tc>
          <w:tcPr>
            <w:cnfStyle w:val="001000000000" w:firstRow="0" w:lastRow="0" w:firstColumn="1" w:lastColumn="0" w:oddVBand="0" w:evenVBand="0" w:oddHBand="0" w:evenHBand="0" w:firstRowFirstColumn="0" w:firstRowLastColumn="0" w:lastRowFirstColumn="0" w:lastRowLastColumn="0"/>
            <w:tcW w:w="2263" w:type="dxa"/>
          </w:tcPr>
          <w:p w14:paraId="248D7F74" w14:textId="77777777" w:rsidR="009B683A" w:rsidRPr="003E325A" w:rsidRDefault="009B683A" w:rsidP="00AF1377">
            <w:pPr>
              <w:spacing w:after="100" w:afterAutospacing="1" w:line="360" w:lineRule="auto"/>
              <w:rPr>
                <w:rFonts w:cstheme="minorHAnsi"/>
                <w:b w:val="0"/>
                <w:bCs w:val="0"/>
                <w:sz w:val="20"/>
                <w:szCs w:val="20"/>
              </w:rPr>
            </w:pPr>
          </w:p>
        </w:tc>
        <w:tc>
          <w:tcPr>
            <w:tcW w:w="1535" w:type="dxa"/>
          </w:tcPr>
          <w:p w14:paraId="635F5816" w14:textId="7777777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$8,836</w:t>
            </w:r>
          </w:p>
        </w:tc>
        <w:tc>
          <w:tcPr>
            <w:tcW w:w="2151" w:type="dxa"/>
          </w:tcPr>
          <w:p w14:paraId="5BC320C1" w14:textId="7777777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$8,541</w:t>
            </w:r>
          </w:p>
        </w:tc>
        <w:tc>
          <w:tcPr>
            <w:tcW w:w="4111" w:type="dxa"/>
          </w:tcPr>
          <w:p w14:paraId="67CC6101" w14:textId="7777777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3%</w:t>
            </w:r>
          </w:p>
        </w:tc>
      </w:tr>
      <w:tr w:rsidR="009B683A" w:rsidRPr="003E325A" w14:paraId="2B412BFC" w14:textId="77777777" w:rsidTr="003E325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0060" w:type="dxa"/>
            <w:gridSpan w:val="4"/>
          </w:tcPr>
          <w:p w14:paraId="237A70AC" w14:textId="4D7C2210" w:rsidR="009B683A" w:rsidRPr="003E325A" w:rsidRDefault="009B683A" w:rsidP="003E325A">
            <w:pPr>
              <w:spacing w:after="100" w:afterAutospacing="1" w:line="360" w:lineRule="auto"/>
              <w:jc w:val="center"/>
              <w:rPr>
                <w:rFonts w:cstheme="minorHAnsi"/>
                <w:sz w:val="20"/>
                <w:szCs w:val="20"/>
              </w:rPr>
            </w:pPr>
            <w:r w:rsidRPr="003E325A">
              <w:rPr>
                <w:rFonts w:cstheme="minorHAnsi"/>
                <w:sz w:val="20"/>
                <w:szCs w:val="20"/>
              </w:rPr>
              <w:t>Premises and technology</w:t>
            </w:r>
          </w:p>
        </w:tc>
      </w:tr>
      <w:tr w:rsidR="009B683A" w:rsidRPr="003E325A" w14:paraId="617D8438" w14:textId="77777777" w:rsidTr="003E325A">
        <w:trPr>
          <w:trHeight w:val="398"/>
        </w:trPr>
        <w:tc>
          <w:tcPr>
            <w:cnfStyle w:val="001000000000" w:firstRow="0" w:lastRow="0" w:firstColumn="1" w:lastColumn="0" w:oddVBand="0" w:evenVBand="0" w:oddHBand="0" w:evenHBand="0" w:firstRowFirstColumn="0" w:firstRowLastColumn="0" w:lastRowFirstColumn="0" w:lastRowLastColumn="0"/>
            <w:tcW w:w="2263" w:type="dxa"/>
          </w:tcPr>
          <w:p w14:paraId="7E41308B"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Premises </w:t>
            </w:r>
          </w:p>
        </w:tc>
        <w:tc>
          <w:tcPr>
            <w:tcW w:w="1535" w:type="dxa"/>
          </w:tcPr>
          <w:p w14:paraId="25F04812" w14:textId="2E33AC16"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516</w:t>
            </w:r>
          </w:p>
        </w:tc>
        <w:tc>
          <w:tcPr>
            <w:tcW w:w="2151" w:type="dxa"/>
          </w:tcPr>
          <w:p w14:paraId="0E09B2E2" w14:textId="0F5D8D8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513</w:t>
            </w:r>
          </w:p>
        </w:tc>
        <w:tc>
          <w:tcPr>
            <w:tcW w:w="4111" w:type="dxa"/>
          </w:tcPr>
          <w:p w14:paraId="25204180" w14:textId="7777777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w:t>
            </w:r>
          </w:p>
        </w:tc>
      </w:tr>
      <w:tr w:rsidR="009B683A" w:rsidRPr="003E325A" w14:paraId="5BAC65E6" w14:textId="77777777" w:rsidTr="003E325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27464571"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Technology </w:t>
            </w:r>
          </w:p>
        </w:tc>
        <w:tc>
          <w:tcPr>
            <w:tcW w:w="1535" w:type="dxa"/>
          </w:tcPr>
          <w:p w14:paraId="4DE2C582" w14:textId="130B3D1A"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1,908</w:t>
            </w:r>
          </w:p>
        </w:tc>
        <w:tc>
          <w:tcPr>
            <w:tcW w:w="2151" w:type="dxa"/>
          </w:tcPr>
          <w:p w14:paraId="0FBFF4AE" w14:textId="3133C5BE"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1,838</w:t>
            </w:r>
          </w:p>
        </w:tc>
        <w:tc>
          <w:tcPr>
            <w:tcW w:w="4111" w:type="dxa"/>
          </w:tcPr>
          <w:p w14:paraId="521A72A1" w14:textId="77777777"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4%</w:t>
            </w:r>
          </w:p>
        </w:tc>
      </w:tr>
      <w:tr w:rsidR="009B683A" w:rsidRPr="003E325A" w14:paraId="27AAD797" w14:textId="77777777" w:rsidTr="003E325A">
        <w:trPr>
          <w:trHeight w:val="387"/>
        </w:trPr>
        <w:tc>
          <w:tcPr>
            <w:cnfStyle w:val="001000000000" w:firstRow="0" w:lastRow="0" w:firstColumn="1" w:lastColumn="0" w:oddVBand="0" w:evenVBand="0" w:oddHBand="0" w:evenHBand="0" w:firstRowFirstColumn="0" w:firstRowLastColumn="0" w:lastRowFirstColumn="0" w:lastRowLastColumn="0"/>
            <w:tcW w:w="2263" w:type="dxa"/>
          </w:tcPr>
          <w:p w14:paraId="7FCE1978" w14:textId="77777777" w:rsidR="009B683A" w:rsidRPr="003E325A" w:rsidRDefault="009B683A" w:rsidP="00AF1377">
            <w:pPr>
              <w:spacing w:after="100" w:afterAutospacing="1" w:line="360" w:lineRule="auto"/>
              <w:rPr>
                <w:rFonts w:cstheme="minorHAnsi"/>
                <w:b w:val="0"/>
                <w:bCs w:val="0"/>
                <w:sz w:val="20"/>
                <w:szCs w:val="20"/>
              </w:rPr>
            </w:pPr>
          </w:p>
        </w:tc>
        <w:tc>
          <w:tcPr>
            <w:tcW w:w="1535" w:type="dxa"/>
          </w:tcPr>
          <w:p w14:paraId="20B40688" w14:textId="2A35E5D0"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$2,424</w:t>
            </w:r>
          </w:p>
        </w:tc>
        <w:tc>
          <w:tcPr>
            <w:tcW w:w="2151" w:type="dxa"/>
          </w:tcPr>
          <w:p w14:paraId="356B65A6" w14:textId="70BE2398"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$2,351</w:t>
            </w:r>
          </w:p>
        </w:tc>
        <w:tc>
          <w:tcPr>
            <w:tcW w:w="4111" w:type="dxa"/>
          </w:tcPr>
          <w:p w14:paraId="74276DC3" w14:textId="7777777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3%</w:t>
            </w:r>
          </w:p>
        </w:tc>
      </w:tr>
      <w:tr w:rsidR="009B683A" w:rsidRPr="003E325A" w14:paraId="6598124A" w14:textId="77777777" w:rsidTr="003E325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0060" w:type="dxa"/>
            <w:gridSpan w:val="4"/>
          </w:tcPr>
          <w:p w14:paraId="601D782C" w14:textId="49685F8D" w:rsidR="009B683A" w:rsidRPr="003E325A" w:rsidRDefault="009B683A" w:rsidP="003E325A">
            <w:pPr>
              <w:spacing w:after="100" w:afterAutospacing="1" w:line="360" w:lineRule="auto"/>
              <w:jc w:val="center"/>
              <w:rPr>
                <w:rFonts w:cstheme="minorHAnsi"/>
                <w:sz w:val="20"/>
                <w:szCs w:val="20"/>
              </w:rPr>
            </w:pPr>
            <w:r w:rsidRPr="003E325A">
              <w:rPr>
                <w:rFonts w:cstheme="minorHAnsi"/>
                <w:sz w:val="20"/>
                <w:szCs w:val="20"/>
              </w:rPr>
              <w:t>Depreciation and amortization</w:t>
            </w:r>
          </w:p>
        </w:tc>
      </w:tr>
      <w:tr w:rsidR="009B683A" w:rsidRPr="003E325A" w14:paraId="47E469A5" w14:textId="77777777" w:rsidTr="003E325A">
        <w:trPr>
          <w:trHeight w:val="387"/>
        </w:trPr>
        <w:tc>
          <w:tcPr>
            <w:cnfStyle w:val="001000000000" w:firstRow="0" w:lastRow="0" w:firstColumn="1" w:lastColumn="0" w:oddVBand="0" w:evenVBand="0" w:oddHBand="0" w:evenHBand="0" w:firstRowFirstColumn="0" w:firstRowLastColumn="0" w:lastRowFirstColumn="0" w:lastRowLastColumn="0"/>
            <w:tcW w:w="2263" w:type="dxa"/>
          </w:tcPr>
          <w:p w14:paraId="160286B7"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Depreciation </w:t>
            </w:r>
          </w:p>
        </w:tc>
        <w:tc>
          <w:tcPr>
            <w:tcW w:w="1535" w:type="dxa"/>
          </w:tcPr>
          <w:p w14:paraId="79F6C82F" w14:textId="44267C43"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749</w:t>
            </w:r>
          </w:p>
        </w:tc>
        <w:tc>
          <w:tcPr>
            <w:tcW w:w="2151" w:type="dxa"/>
          </w:tcPr>
          <w:p w14:paraId="0B6AABA3" w14:textId="137A009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769</w:t>
            </w:r>
          </w:p>
        </w:tc>
        <w:tc>
          <w:tcPr>
            <w:tcW w:w="4111" w:type="dxa"/>
          </w:tcPr>
          <w:p w14:paraId="164749BC" w14:textId="4A756A0F"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-3%</w:t>
            </w:r>
          </w:p>
        </w:tc>
      </w:tr>
      <w:tr w:rsidR="009B683A" w:rsidRPr="003E325A" w14:paraId="4C5C8519" w14:textId="77777777" w:rsidTr="003E325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20B5A933"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Amortization of intangible assets </w:t>
            </w:r>
          </w:p>
        </w:tc>
        <w:tc>
          <w:tcPr>
            <w:tcW w:w="1535" w:type="dxa"/>
          </w:tcPr>
          <w:p w14:paraId="7428BD3A" w14:textId="1572AD0D"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782</w:t>
            </w:r>
          </w:p>
        </w:tc>
        <w:tc>
          <w:tcPr>
            <w:tcW w:w="2151" w:type="dxa"/>
          </w:tcPr>
          <w:p w14:paraId="59F040A5" w14:textId="6B6578E7"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742</w:t>
            </w:r>
          </w:p>
        </w:tc>
        <w:tc>
          <w:tcPr>
            <w:tcW w:w="4111" w:type="dxa"/>
          </w:tcPr>
          <w:p w14:paraId="70ECED67" w14:textId="77777777"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5%</w:t>
            </w:r>
          </w:p>
        </w:tc>
      </w:tr>
      <w:tr w:rsidR="009B683A" w:rsidRPr="003E325A" w14:paraId="73A6EB99" w14:textId="77777777" w:rsidTr="003E325A">
        <w:trPr>
          <w:trHeight w:val="398"/>
        </w:trPr>
        <w:tc>
          <w:tcPr>
            <w:cnfStyle w:val="001000000000" w:firstRow="0" w:lastRow="0" w:firstColumn="1" w:lastColumn="0" w:oddVBand="0" w:evenVBand="0" w:oddHBand="0" w:evenHBand="0" w:firstRowFirstColumn="0" w:firstRowLastColumn="0" w:lastRowFirstColumn="0" w:lastRowLastColumn="0"/>
            <w:tcW w:w="2263" w:type="dxa"/>
          </w:tcPr>
          <w:p w14:paraId="146AF384" w14:textId="77777777" w:rsidR="009B683A" w:rsidRPr="003E325A" w:rsidRDefault="009B683A" w:rsidP="00AF1377">
            <w:pPr>
              <w:spacing w:after="100" w:afterAutospacing="1" w:line="360" w:lineRule="auto"/>
              <w:rPr>
                <w:rFonts w:cstheme="minorHAnsi"/>
                <w:b w:val="0"/>
                <w:bCs w:val="0"/>
                <w:sz w:val="20"/>
                <w:szCs w:val="20"/>
              </w:rPr>
            </w:pPr>
          </w:p>
        </w:tc>
        <w:tc>
          <w:tcPr>
            <w:tcW w:w="1535" w:type="dxa"/>
          </w:tcPr>
          <w:p w14:paraId="660CC3DA" w14:textId="2EDC2410"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$1,531</w:t>
            </w:r>
          </w:p>
        </w:tc>
        <w:tc>
          <w:tcPr>
            <w:tcW w:w="2151" w:type="dxa"/>
          </w:tcPr>
          <w:p w14:paraId="12C2652E" w14:textId="7777777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$1,511</w:t>
            </w:r>
          </w:p>
        </w:tc>
        <w:tc>
          <w:tcPr>
            <w:tcW w:w="4111" w:type="dxa"/>
          </w:tcPr>
          <w:p w14:paraId="46B0472A" w14:textId="7777777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w:t>
            </w:r>
          </w:p>
        </w:tc>
      </w:tr>
      <w:tr w:rsidR="009B683A" w:rsidRPr="003E325A" w14:paraId="1FD98A2C" w14:textId="77777777" w:rsidTr="003E325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65A94883"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Communications </w:t>
            </w:r>
          </w:p>
        </w:tc>
        <w:tc>
          <w:tcPr>
            <w:tcW w:w="1535" w:type="dxa"/>
          </w:tcPr>
          <w:p w14:paraId="2A4FB437" w14:textId="4E605440"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$361</w:t>
            </w:r>
          </w:p>
        </w:tc>
        <w:tc>
          <w:tcPr>
            <w:tcW w:w="2151" w:type="dxa"/>
          </w:tcPr>
          <w:p w14:paraId="4EC167AA" w14:textId="608CFE4E"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$369</w:t>
            </w:r>
          </w:p>
        </w:tc>
        <w:tc>
          <w:tcPr>
            <w:tcW w:w="4111" w:type="dxa"/>
          </w:tcPr>
          <w:p w14:paraId="6CB2BBBF" w14:textId="1C04D51F"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2 %</w:t>
            </w:r>
          </w:p>
        </w:tc>
      </w:tr>
      <w:tr w:rsidR="009B683A" w:rsidRPr="003E325A" w14:paraId="0D19431A" w14:textId="77777777" w:rsidTr="003E325A">
        <w:trPr>
          <w:trHeight w:val="398"/>
        </w:trPr>
        <w:tc>
          <w:tcPr>
            <w:cnfStyle w:val="001000000000" w:firstRow="0" w:lastRow="0" w:firstColumn="1" w:lastColumn="0" w:oddVBand="0" w:evenVBand="0" w:oddHBand="0" w:evenHBand="0" w:firstRowFirstColumn="0" w:firstRowLastColumn="0" w:lastRowFirstColumn="0" w:lastRowLastColumn="0"/>
            <w:tcW w:w="2263" w:type="dxa"/>
          </w:tcPr>
          <w:p w14:paraId="77967028"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Advertising and business development </w:t>
            </w:r>
          </w:p>
        </w:tc>
        <w:tc>
          <w:tcPr>
            <w:tcW w:w="1535" w:type="dxa"/>
          </w:tcPr>
          <w:p w14:paraId="615994E2" w14:textId="0070D77D"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$480</w:t>
            </w:r>
          </w:p>
        </w:tc>
        <w:tc>
          <w:tcPr>
            <w:tcW w:w="2151" w:type="dxa"/>
          </w:tcPr>
          <w:p w14:paraId="44B180BC" w14:textId="040785FE"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$404</w:t>
            </w:r>
          </w:p>
        </w:tc>
        <w:tc>
          <w:tcPr>
            <w:tcW w:w="4111" w:type="dxa"/>
          </w:tcPr>
          <w:p w14:paraId="68A495F2" w14:textId="2FAC21DD"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19%</w:t>
            </w:r>
          </w:p>
        </w:tc>
      </w:tr>
      <w:tr w:rsidR="009B683A" w:rsidRPr="003E325A" w14:paraId="1729F242" w14:textId="77777777" w:rsidTr="003E325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1D2FFC49"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Professional </w:t>
            </w:r>
          </w:p>
        </w:tc>
        <w:tc>
          <w:tcPr>
            <w:tcW w:w="1535" w:type="dxa"/>
          </w:tcPr>
          <w:p w14:paraId="54EE4D11" w14:textId="799BF049"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$826</w:t>
            </w:r>
          </w:p>
        </w:tc>
        <w:tc>
          <w:tcPr>
            <w:tcW w:w="2151" w:type="dxa"/>
          </w:tcPr>
          <w:p w14:paraId="550F6921" w14:textId="6E5E08A1"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$789</w:t>
            </w:r>
          </w:p>
        </w:tc>
        <w:tc>
          <w:tcPr>
            <w:tcW w:w="4111" w:type="dxa"/>
          </w:tcPr>
          <w:p w14:paraId="4B40FCAA" w14:textId="287E047F"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5%</w:t>
            </w:r>
          </w:p>
        </w:tc>
      </w:tr>
      <w:tr w:rsidR="009B683A" w:rsidRPr="003E325A" w14:paraId="026D0FC8" w14:textId="77777777" w:rsidTr="003E325A">
        <w:trPr>
          <w:trHeight w:val="387"/>
        </w:trPr>
        <w:tc>
          <w:tcPr>
            <w:cnfStyle w:val="001000000000" w:firstRow="0" w:lastRow="0" w:firstColumn="1" w:lastColumn="0" w:oddVBand="0" w:evenVBand="0" w:oddHBand="0" w:evenHBand="0" w:firstRowFirstColumn="0" w:firstRowLastColumn="0" w:lastRowFirstColumn="0" w:lastRowLastColumn="0"/>
            <w:tcW w:w="10060" w:type="dxa"/>
            <w:gridSpan w:val="4"/>
          </w:tcPr>
          <w:p w14:paraId="3F3F820D" w14:textId="057F474B" w:rsidR="009B683A" w:rsidRPr="003E325A" w:rsidRDefault="009B683A" w:rsidP="003E325A">
            <w:pPr>
              <w:spacing w:after="100" w:afterAutospacing="1" w:line="360" w:lineRule="auto"/>
              <w:jc w:val="center"/>
              <w:rPr>
                <w:rFonts w:cstheme="minorHAnsi"/>
                <w:sz w:val="20"/>
                <w:szCs w:val="20"/>
              </w:rPr>
            </w:pPr>
            <w:r w:rsidRPr="003E325A">
              <w:rPr>
                <w:rFonts w:cstheme="minorHAnsi"/>
                <w:sz w:val="20"/>
                <w:szCs w:val="20"/>
              </w:rPr>
              <w:t>Business and capital taxes</w:t>
            </w:r>
          </w:p>
        </w:tc>
      </w:tr>
      <w:tr w:rsidR="009B683A" w:rsidRPr="003E325A" w14:paraId="3A95A9FC" w14:textId="77777777" w:rsidTr="003E325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263" w:type="dxa"/>
          </w:tcPr>
          <w:p w14:paraId="2D032414"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Business taxes </w:t>
            </w:r>
          </w:p>
        </w:tc>
        <w:tc>
          <w:tcPr>
            <w:tcW w:w="1535" w:type="dxa"/>
          </w:tcPr>
          <w:p w14:paraId="6C8BE47D" w14:textId="7EDEC2D6"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483</w:t>
            </w:r>
          </w:p>
        </w:tc>
        <w:tc>
          <w:tcPr>
            <w:tcW w:w="2151" w:type="dxa"/>
          </w:tcPr>
          <w:p w14:paraId="4DC97C5B" w14:textId="42E58D98"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461</w:t>
            </w:r>
          </w:p>
        </w:tc>
        <w:tc>
          <w:tcPr>
            <w:tcW w:w="4111" w:type="dxa"/>
          </w:tcPr>
          <w:p w14:paraId="45B48D18" w14:textId="77777777"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5 %</w:t>
            </w:r>
          </w:p>
        </w:tc>
      </w:tr>
      <w:tr w:rsidR="009B683A" w:rsidRPr="003E325A" w14:paraId="7DB74F5A" w14:textId="77777777" w:rsidTr="003E325A">
        <w:trPr>
          <w:trHeight w:val="387"/>
        </w:trPr>
        <w:tc>
          <w:tcPr>
            <w:cnfStyle w:val="001000000000" w:firstRow="0" w:lastRow="0" w:firstColumn="1" w:lastColumn="0" w:oddVBand="0" w:evenVBand="0" w:oddHBand="0" w:evenHBand="0" w:firstRowFirstColumn="0" w:firstRowLastColumn="0" w:lastRowFirstColumn="0" w:lastRowLastColumn="0"/>
            <w:tcW w:w="2263" w:type="dxa"/>
          </w:tcPr>
          <w:p w14:paraId="1AA70157"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Capital taxes </w:t>
            </w:r>
          </w:p>
        </w:tc>
        <w:tc>
          <w:tcPr>
            <w:tcW w:w="1535" w:type="dxa"/>
          </w:tcPr>
          <w:p w14:paraId="13EB2373" w14:textId="7B75D1D0"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58</w:t>
            </w:r>
          </w:p>
        </w:tc>
        <w:tc>
          <w:tcPr>
            <w:tcW w:w="2151" w:type="dxa"/>
          </w:tcPr>
          <w:p w14:paraId="3EBBB923" w14:textId="71FF1158"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50</w:t>
            </w:r>
          </w:p>
        </w:tc>
        <w:tc>
          <w:tcPr>
            <w:tcW w:w="4111" w:type="dxa"/>
          </w:tcPr>
          <w:p w14:paraId="42BA3CB2" w14:textId="77777777"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16 %</w:t>
            </w:r>
          </w:p>
        </w:tc>
      </w:tr>
      <w:tr w:rsidR="009B683A" w:rsidRPr="003E325A" w14:paraId="42D78240" w14:textId="77777777" w:rsidTr="003E325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263" w:type="dxa"/>
          </w:tcPr>
          <w:p w14:paraId="7C6C35F7" w14:textId="77777777" w:rsidR="009B683A" w:rsidRPr="003E325A" w:rsidRDefault="009B683A" w:rsidP="00AF1377">
            <w:pPr>
              <w:spacing w:after="100" w:afterAutospacing="1" w:line="360" w:lineRule="auto"/>
              <w:rPr>
                <w:rFonts w:cstheme="minorHAnsi"/>
                <w:b w:val="0"/>
                <w:bCs w:val="0"/>
                <w:sz w:val="20"/>
                <w:szCs w:val="20"/>
              </w:rPr>
            </w:pPr>
          </w:p>
        </w:tc>
        <w:tc>
          <w:tcPr>
            <w:tcW w:w="1535" w:type="dxa"/>
          </w:tcPr>
          <w:p w14:paraId="5E5F31C0" w14:textId="614955AD"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$541</w:t>
            </w:r>
          </w:p>
        </w:tc>
        <w:tc>
          <w:tcPr>
            <w:tcW w:w="2151" w:type="dxa"/>
          </w:tcPr>
          <w:p w14:paraId="050477AF" w14:textId="5568BFAA"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$511</w:t>
            </w:r>
          </w:p>
        </w:tc>
        <w:tc>
          <w:tcPr>
            <w:tcW w:w="4111" w:type="dxa"/>
          </w:tcPr>
          <w:p w14:paraId="17701B64" w14:textId="77777777"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6%</w:t>
            </w:r>
          </w:p>
        </w:tc>
      </w:tr>
      <w:tr w:rsidR="009B683A" w:rsidRPr="003E325A" w14:paraId="005FA76B" w14:textId="77777777" w:rsidTr="003E325A">
        <w:trPr>
          <w:trHeight w:val="387"/>
        </w:trPr>
        <w:tc>
          <w:tcPr>
            <w:cnfStyle w:val="001000000000" w:firstRow="0" w:lastRow="0" w:firstColumn="1" w:lastColumn="0" w:oddVBand="0" w:evenVBand="0" w:oddHBand="0" w:evenHBand="0" w:firstRowFirstColumn="0" w:firstRowLastColumn="0" w:lastRowFirstColumn="0" w:lastRowLastColumn="0"/>
            <w:tcW w:w="2263" w:type="dxa"/>
          </w:tcPr>
          <w:p w14:paraId="60ACB08F"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Other </w:t>
            </w:r>
          </w:p>
        </w:tc>
        <w:tc>
          <w:tcPr>
            <w:tcW w:w="1535" w:type="dxa"/>
          </w:tcPr>
          <w:p w14:paraId="5BFE3996" w14:textId="2E8DB33A"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$2,103</w:t>
            </w:r>
          </w:p>
        </w:tc>
        <w:tc>
          <w:tcPr>
            <w:tcW w:w="2151" w:type="dxa"/>
          </w:tcPr>
          <w:p w14:paraId="42F40EF3" w14:textId="0D218314"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$2,142</w:t>
            </w:r>
          </w:p>
        </w:tc>
        <w:tc>
          <w:tcPr>
            <w:tcW w:w="4111" w:type="dxa"/>
          </w:tcPr>
          <w:p w14:paraId="27EE69DA" w14:textId="59AE42EC" w:rsidR="009B683A" w:rsidRPr="003E325A" w:rsidRDefault="009B683A" w:rsidP="003E325A">
            <w:pPr>
              <w:spacing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325A">
              <w:rPr>
                <w:rFonts w:cstheme="minorHAnsi"/>
                <w:sz w:val="20"/>
                <w:szCs w:val="20"/>
              </w:rPr>
              <w:t>2%</w:t>
            </w:r>
          </w:p>
        </w:tc>
      </w:tr>
      <w:tr w:rsidR="009B683A" w:rsidRPr="003E325A" w14:paraId="20BD409F" w14:textId="77777777" w:rsidTr="003E325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70A65177" w14:textId="77777777" w:rsidR="009B683A" w:rsidRPr="003E325A" w:rsidRDefault="009B683A" w:rsidP="00AF1377">
            <w:pPr>
              <w:spacing w:after="100" w:afterAutospacing="1" w:line="360" w:lineRule="auto"/>
              <w:rPr>
                <w:rFonts w:cstheme="minorHAnsi"/>
                <w:b w:val="0"/>
                <w:bCs w:val="0"/>
                <w:sz w:val="20"/>
                <w:szCs w:val="20"/>
              </w:rPr>
            </w:pPr>
            <w:r w:rsidRPr="003E325A">
              <w:rPr>
                <w:rFonts w:cstheme="minorHAnsi"/>
                <w:sz w:val="20"/>
                <w:szCs w:val="20"/>
              </w:rPr>
              <w:t xml:space="preserve">Total non-interest expenses </w:t>
            </w:r>
          </w:p>
        </w:tc>
        <w:tc>
          <w:tcPr>
            <w:tcW w:w="1535" w:type="dxa"/>
          </w:tcPr>
          <w:p w14:paraId="379038C5" w14:textId="0D4A3B78"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$17,102</w:t>
            </w:r>
          </w:p>
        </w:tc>
        <w:tc>
          <w:tcPr>
            <w:tcW w:w="2151" w:type="dxa"/>
          </w:tcPr>
          <w:p w14:paraId="32DEAD11" w14:textId="73D81500"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$16,618</w:t>
            </w:r>
          </w:p>
        </w:tc>
        <w:tc>
          <w:tcPr>
            <w:tcW w:w="4111" w:type="dxa"/>
          </w:tcPr>
          <w:p w14:paraId="23A2344D" w14:textId="43AA99DC" w:rsidR="009B683A" w:rsidRPr="003E325A" w:rsidRDefault="009B683A" w:rsidP="003E325A">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325A">
              <w:rPr>
                <w:rFonts w:cstheme="minorHAnsi"/>
                <w:sz w:val="20"/>
                <w:szCs w:val="20"/>
              </w:rPr>
              <w:t>3%</w:t>
            </w:r>
          </w:p>
        </w:tc>
      </w:tr>
    </w:tbl>
    <w:p w14:paraId="1764D4A7" w14:textId="28072511" w:rsidR="009B683A" w:rsidRPr="00C76DBB" w:rsidRDefault="00000000" w:rsidP="009B683A">
      <w:pPr>
        <w:spacing w:after="100" w:afterAutospacing="1" w:line="360" w:lineRule="auto"/>
        <w:rPr>
          <w:rFonts w:cstheme="minorHAnsi"/>
          <w:b/>
          <w:bCs/>
        </w:rPr>
      </w:pPr>
      <w:sdt>
        <w:sdtPr>
          <w:rPr>
            <w:rFonts w:cstheme="minorHAnsi"/>
            <w:b/>
            <w:bCs/>
          </w:rPr>
          <w:id w:val="405425838"/>
          <w:citation/>
        </w:sdtPr>
        <w:sdtContent>
          <w:r w:rsidR="009B683A">
            <w:rPr>
              <w:rFonts w:cstheme="minorHAnsi"/>
              <w:b/>
              <w:bCs/>
            </w:rPr>
            <w:fldChar w:fldCharType="begin"/>
          </w:r>
          <w:r w:rsidR="009B683A">
            <w:rPr>
              <w:rFonts w:cstheme="minorHAnsi"/>
              <w:b/>
              <w:bCs/>
            </w:rPr>
            <w:instrText xml:space="preserve">CITATION Placeholder4 \l 16393 </w:instrText>
          </w:r>
          <w:r w:rsidR="009B683A">
            <w:rPr>
              <w:rFonts w:cstheme="minorHAnsi"/>
              <w:b/>
              <w:bCs/>
            </w:rPr>
            <w:fldChar w:fldCharType="separate"/>
          </w:r>
          <w:r w:rsidR="00AD2C7A" w:rsidRPr="00AD2C7A">
            <w:rPr>
              <w:rFonts w:cstheme="minorHAnsi"/>
              <w:noProof/>
            </w:rPr>
            <w:t>(Scotiabank, 2022)</w:t>
          </w:r>
          <w:r w:rsidR="009B683A">
            <w:rPr>
              <w:rFonts w:cstheme="minorHAnsi"/>
              <w:b/>
              <w:bCs/>
            </w:rPr>
            <w:fldChar w:fldCharType="end"/>
          </w:r>
        </w:sdtContent>
      </w:sdt>
    </w:p>
    <w:p w14:paraId="265B198D" w14:textId="30C620B9" w:rsidR="009B683A" w:rsidRPr="003E325A" w:rsidRDefault="009B683A" w:rsidP="003E325A">
      <w:pPr>
        <w:pStyle w:val="Heading1"/>
        <w:jc w:val="center"/>
        <w:rPr>
          <w:b/>
          <w:bCs/>
        </w:rPr>
      </w:pPr>
      <w:bookmarkStart w:id="19" w:name="_Toc145702366"/>
      <w:r w:rsidRPr="003E325A">
        <w:rPr>
          <w:b/>
          <w:bCs/>
        </w:rPr>
        <w:lastRenderedPageBreak/>
        <w:t>Organizational Structure and Head Office Structure</w:t>
      </w:r>
      <w:bookmarkEnd w:id="19"/>
      <w:r w:rsidRPr="003E325A">
        <w:rPr>
          <w:b/>
          <w:bCs/>
        </w:rPr>
        <w:t xml:space="preserve"> </w:t>
      </w:r>
    </w:p>
    <w:p w14:paraId="0FEFFCBC" w14:textId="677742EA" w:rsidR="009B683A" w:rsidRDefault="009B683A" w:rsidP="009B683A"/>
    <w:p w14:paraId="04BF68DB" w14:textId="068E99E7" w:rsidR="009B683A" w:rsidRDefault="009B683A" w:rsidP="009B683A">
      <w:r>
        <w:t>The Organizational Structure of Scotiabank is as shown below (The Org, n.d.):</w:t>
      </w:r>
    </w:p>
    <w:p w14:paraId="3E2641A5" w14:textId="0AFD9A48" w:rsidR="009B683A" w:rsidRDefault="00F14B98" w:rsidP="009B683A">
      <w:r w:rsidRPr="00F14B98">
        <w:rPr>
          <w:noProof/>
        </w:rPr>
        <w:drawing>
          <wp:inline distT="0" distB="0" distL="0" distR="0" wp14:anchorId="3E146E6F" wp14:editId="5F5AD0B3">
            <wp:extent cx="6391020" cy="5722620"/>
            <wp:effectExtent l="0" t="0" r="0" b="0"/>
            <wp:docPr id="962370444" name="Picture 1" descr="A blu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70444" name="Picture 1" descr="A blue rectangular box with white text&#10;&#10;Description automatically generated"/>
                    <pic:cNvPicPr/>
                  </pic:nvPicPr>
                  <pic:blipFill>
                    <a:blip r:embed="rId13"/>
                    <a:stretch>
                      <a:fillRect/>
                    </a:stretch>
                  </pic:blipFill>
                  <pic:spPr>
                    <a:xfrm>
                      <a:off x="0" y="0"/>
                      <a:ext cx="6394472" cy="5725711"/>
                    </a:xfrm>
                    <a:prstGeom prst="rect">
                      <a:avLst/>
                    </a:prstGeom>
                  </pic:spPr>
                </pic:pic>
              </a:graphicData>
            </a:graphic>
          </wp:inline>
        </w:drawing>
      </w:r>
    </w:p>
    <w:p w14:paraId="5CB13799" w14:textId="77777777" w:rsidR="009B683A" w:rsidRDefault="009B683A" w:rsidP="009B683A"/>
    <w:p w14:paraId="6E859F54" w14:textId="0D063E61" w:rsidR="009B683A" w:rsidRDefault="009B683A" w:rsidP="00F659D3">
      <w:pPr>
        <w:tabs>
          <w:tab w:val="left" w:pos="6936"/>
        </w:tabs>
      </w:pPr>
    </w:p>
    <w:p w14:paraId="173E5573" w14:textId="77777777" w:rsidR="009B683A" w:rsidRDefault="009B683A" w:rsidP="009B683A"/>
    <w:p w14:paraId="4D60E109" w14:textId="1D3551C7" w:rsidR="009B683A" w:rsidRDefault="009B683A" w:rsidP="009B683A"/>
    <w:p w14:paraId="18A60252" w14:textId="77777777" w:rsidR="009B683A" w:rsidRDefault="009B683A" w:rsidP="009B683A"/>
    <w:p w14:paraId="33B3B46B" w14:textId="10D5E421" w:rsidR="009B683A" w:rsidRDefault="009B683A" w:rsidP="009B683A"/>
    <w:p w14:paraId="101D424B" w14:textId="77777777" w:rsidR="009B683A" w:rsidRDefault="009B683A" w:rsidP="009B683A"/>
    <w:p w14:paraId="4D84ED6B" w14:textId="481951F5" w:rsidR="009B683A" w:rsidRDefault="00C7087D" w:rsidP="009B683A">
      <w:r w:rsidRPr="00C7087D">
        <w:rPr>
          <w:noProof/>
        </w:rPr>
        <w:lastRenderedPageBreak/>
        <w:drawing>
          <wp:inline distT="0" distB="0" distL="0" distR="0" wp14:anchorId="0E6A1214" wp14:editId="5CE91DB6">
            <wp:extent cx="5608646" cy="6073139"/>
            <wp:effectExtent l="0" t="0" r="0" b="4445"/>
            <wp:docPr id="1949813469" name="Picture 1" descr="A blue rectangular structur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3469" name="Picture 1" descr="A blue rectangular structure with text&#10;&#10;Description automatically generated"/>
                    <pic:cNvPicPr/>
                  </pic:nvPicPr>
                  <pic:blipFill>
                    <a:blip r:embed="rId14"/>
                    <a:stretch>
                      <a:fillRect/>
                    </a:stretch>
                  </pic:blipFill>
                  <pic:spPr>
                    <a:xfrm>
                      <a:off x="0" y="0"/>
                      <a:ext cx="5621443" cy="6086995"/>
                    </a:xfrm>
                    <a:prstGeom prst="rect">
                      <a:avLst/>
                    </a:prstGeom>
                  </pic:spPr>
                </pic:pic>
              </a:graphicData>
            </a:graphic>
          </wp:inline>
        </w:drawing>
      </w:r>
    </w:p>
    <w:p w14:paraId="7F950838" w14:textId="51F33E75" w:rsidR="009B683A" w:rsidRDefault="00452BBA" w:rsidP="009B683A">
      <w:r>
        <w:t xml:space="preserve">                                       </w:t>
      </w:r>
      <w:r w:rsidR="00135ED8" w:rsidRPr="00135ED8">
        <w:rPr>
          <w:noProof/>
        </w:rPr>
        <w:drawing>
          <wp:inline distT="0" distB="0" distL="0" distR="0" wp14:anchorId="4F0ABD5C" wp14:editId="6A0F48BD">
            <wp:extent cx="3238781" cy="1242168"/>
            <wp:effectExtent l="0" t="0" r="0" b="0"/>
            <wp:docPr id="12706981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9811" name="Picture 1" descr="A diagram of a company structure&#10;&#10;Description automatically generated"/>
                    <pic:cNvPicPr/>
                  </pic:nvPicPr>
                  <pic:blipFill>
                    <a:blip r:embed="rId15"/>
                    <a:stretch>
                      <a:fillRect/>
                    </a:stretch>
                  </pic:blipFill>
                  <pic:spPr>
                    <a:xfrm>
                      <a:off x="0" y="0"/>
                      <a:ext cx="3238781" cy="1242168"/>
                    </a:xfrm>
                    <a:prstGeom prst="rect">
                      <a:avLst/>
                    </a:prstGeom>
                  </pic:spPr>
                </pic:pic>
              </a:graphicData>
            </a:graphic>
          </wp:inline>
        </w:drawing>
      </w:r>
    </w:p>
    <w:p w14:paraId="13695132" w14:textId="77777777" w:rsidR="009B683A" w:rsidRDefault="009B683A" w:rsidP="009B683A"/>
    <w:p w14:paraId="4A5CA096" w14:textId="217FE369" w:rsidR="009B683A" w:rsidRDefault="009B683A" w:rsidP="009B683A"/>
    <w:p w14:paraId="5E8987E3" w14:textId="59254393" w:rsidR="009B683A" w:rsidRDefault="009B683A" w:rsidP="009B683A"/>
    <w:p w14:paraId="3BB9A38C" w14:textId="77777777" w:rsidR="00F659D3" w:rsidRDefault="00F659D3" w:rsidP="009B683A"/>
    <w:p w14:paraId="0C160C6E" w14:textId="77777777" w:rsidR="009B683A" w:rsidRPr="003E325A" w:rsidRDefault="009B683A" w:rsidP="003E325A">
      <w:pPr>
        <w:pStyle w:val="Heading1"/>
        <w:jc w:val="center"/>
        <w:rPr>
          <w:b/>
          <w:bCs/>
        </w:rPr>
      </w:pPr>
      <w:bookmarkStart w:id="20" w:name="_Toc145702367"/>
      <w:r w:rsidRPr="003E325A">
        <w:rPr>
          <w:b/>
          <w:bCs/>
        </w:rPr>
        <w:lastRenderedPageBreak/>
        <w:t>Executive Team</w:t>
      </w:r>
      <w:bookmarkEnd w:id="20"/>
    </w:p>
    <w:p w14:paraId="44E77C60" w14:textId="77777777" w:rsidR="009B683A" w:rsidRPr="006E7067" w:rsidRDefault="009B683A" w:rsidP="009B683A">
      <w:pPr>
        <w:spacing w:after="0"/>
        <w:rPr>
          <w:b/>
          <w:bCs/>
          <w:sz w:val="24"/>
          <w:szCs w:val="24"/>
        </w:rPr>
      </w:pPr>
    </w:p>
    <w:p w14:paraId="3748001D" w14:textId="6C35916B" w:rsidR="003E325A" w:rsidRDefault="009B683A" w:rsidP="00EF1D65">
      <w:pPr>
        <w:ind w:left="720" w:hanging="720"/>
      </w:pPr>
      <w:r>
        <w:t>The Executive Team members of Scotiabank are listed below (Scotiabank, n.d.)</w:t>
      </w:r>
    </w:p>
    <w:p w14:paraId="04D993CB" w14:textId="77777777" w:rsidR="009B683A" w:rsidRPr="00611936" w:rsidRDefault="009B683A" w:rsidP="00611936">
      <w:pPr>
        <w:pStyle w:val="ListParagraph"/>
        <w:numPr>
          <w:ilvl w:val="0"/>
          <w:numId w:val="30"/>
        </w:numPr>
        <w:rPr>
          <w:b/>
          <w:bCs/>
          <w:sz w:val="24"/>
          <w:szCs w:val="24"/>
        </w:rPr>
      </w:pPr>
      <w:r w:rsidRPr="00611936">
        <w:rPr>
          <w:b/>
          <w:bCs/>
          <w:sz w:val="24"/>
          <w:szCs w:val="24"/>
        </w:rPr>
        <w:t>Scott Thomson</w:t>
      </w:r>
    </w:p>
    <w:p w14:paraId="7C2E1BF7" w14:textId="15691576" w:rsidR="009B683A" w:rsidRDefault="009B683A" w:rsidP="00611936">
      <w:pPr>
        <w:pStyle w:val="ListParagraph"/>
        <w:rPr>
          <w:sz w:val="24"/>
          <w:szCs w:val="24"/>
        </w:rPr>
      </w:pPr>
      <w:r w:rsidRPr="00611936">
        <w:rPr>
          <w:sz w:val="24"/>
          <w:szCs w:val="24"/>
        </w:rPr>
        <w:t xml:space="preserve">President and Chief Executive Officer </w:t>
      </w:r>
    </w:p>
    <w:p w14:paraId="0C6D0DC2" w14:textId="77777777" w:rsidR="00611936" w:rsidRPr="00611936" w:rsidRDefault="00611936" w:rsidP="00611936">
      <w:pPr>
        <w:pStyle w:val="ListParagraph"/>
        <w:rPr>
          <w:sz w:val="24"/>
          <w:szCs w:val="24"/>
        </w:rPr>
      </w:pPr>
    </w:p>
    <w:p w14:paraId="0FF3C380" w14:textId="77777777" w:rsidR="009B683A" w:rsidRPr="00611936" w:rsidRDefault="009B683A" w:rsidP="00611936">
      <w:pPr>
        <w:pStyle w:val="ListParagraph"/>
        <w:numPr>
          <w:ilvl w:val="0"/>
          <w:numId w:val="30"/>
        </w:numPr>
        <w:rPr>
          <w:b/>
          <w:bCs/>
        </w:rPr>
      </w:pPr>
      <w:r w:rsidRPr="00611936">
        <w:rPr>
          <w:b/>
          <w:bCs/>
        </w:rPr>
        <w:t>Francisco Aristeguieta</w:t>
      </w:r>
    </w:p>
    <w:p w14:paraId="2DAA47EC" w14:textId="7B691E50" w:rsidR="009B683A" w:rsidRDefault="009B683A" w:rsidP="00611936">
      <w:pPr>
        <w:pStyle w:val="ListParagraph"/>
      </w:pPr>
      <w:r>
        <w:t>Group Head, International Banking</w:t>
      </w:r>
    </w:p>
    <w:p w14:paraId="2724222A" w14:textId="77777777" w:rsidR="00611936" w:rsidRDefault="00611936" w:rsidP="00611936">
      <w:pPr>
        <w:pStyle w:val="ListParagraph"/>
      </w:pPr>
    </w:p>
    <w:p w14:paraId="7895F263" w14:textId="77777777" w:rsidR="009B683A" w:rsidRPr="00611936" w:rsidRDefault="009B683A" w:rsidP="00611936">
      <w:pPr>
        <w:pStyle w:val="ListParagraph"/>
        <w:numPr>
          <w:ilvl w:val="0"/>
          <w:numId w:val="30"/>
        </w:numPr>
        <w:rPr>
          <w:b/>
          <w:bCs/>
        </w:rPr>
      </w:pPr>
      <w:r w:rsidRPr="00611936">
        <w:rPr>
          <w:b/>
          <w:bCs/>
        </w:rPr>
        <w:t>Aris Bogdaneris</w:t>
      </w:r>
    </w:p>
    <w:p w14:paraId="02C6C110" w14:textId="303F6433" w:rsidR="009B683A" w:rsidRDefault="009B683A" w:rsidP="00611936">
      <w:pPr>
        <w:pStyle w:val="ListParagraph"/>
      </w:pPr>
      <w:r>
        <w:t>Group Head, Digital Transformation, Tangerine, Marketing and Analytics</w:t>
      </w:r>
    </w:p>
    <w:p w14:paraId="446D4DC1" w14:textId="77777777" w:rsidR="00611936" w:rsidRDefault="00611936" w:rsidP="00611936">
      <w:pPr>
        <w:pStyle w:val="ListParagraph"/>
      </w:pPr>
    </w:p>
    <w:p w14:paraId="1DE9346B" w14:textId="77777777" w:rsidR="009B683A" w:rsidRPr="00611936" w:rsidRDefault="009B683A" w:rsidP="00611936">
      <w:pPr>
        <w:pStyle w:val="ListParagraph"/>
        <w:numPr>
          <w:ilvl w:val="0"/>
          <w:numId w:val="31"/>
        </w:numPr>
        <w:rPr>
          <w:b/>
          <w:bCs/>
        </w:rPr>
      </w:pPr>
      <w:r w:rsidRPr="00611936">
        <w:rPr>
          <w:b/>
          <w:bCs/>
        </w:rPr>
        <w:t>Nicole Frew</w:t>
      </w:r>
    </w:p>
    <w:p w14:paraId="2D5A8EB7" w14:textId="304CC64C" w:rsidR="009B683A" w:rsidRDefault="009B683A" w:rsidP="00611936">
      <w:pPr>
        <w:pStyle w:val="ListParagraph"/>
      </w:pPr>
      <w:r>
        <w:t>Executive Vice President and Chief Compliance Officer</w:t>
      </w:r>
    </w:p>
    <w:p w14:paraId="5E1127BC" w14:textId="77777777" w:rsidR="00611936" w:rsidRDefault="00611936" w:rsidP="00611936">
      <w:pPr>
        <w:pStyle w:val="ListParagraph"/>
      </w:pPr>
    </w:p>
    <w:p w14:paraId="0621BE47" w14:textId="77777777" w:rsidR="009B683A" w:rsidRPr="00611936" w:rsidRDefault="009B683A" w:rsidP="00611936">
      <w:pPr>
        <w:pStyle w:val="ListParagraph"/>
        <w:numPr>
          <w:ilvl w:val="0"/>
          <w:numId w:val="31"/>
        </w:numPr>
        <w:rPr>
          <w:b/>
          <w:bCs/>
        </w:rPr>
      </w:pPr>
      <w:r w:rsidRPr="00611936">
        <w:rPr>
          <w:b/>
          <w:bCs/>
        </w:rPr>
        <w:t>Glen Gowland</w:t>
      </w:r>
    </w:p>
    <w:p w14:paraId="64F53519" w14:textId="532E4A3C" w:rsidR="009B683A" w:rsidRDefault="009B683A" w:rsidP="00611936">
      <w:pPr>
        <w:pStyle w:val="ListParagraph"/>
      </w:pPr>
      <w:r>
        <w:t>Group Head, Global Wealth Management</w:t>
      </w:r>
    </w:p>
    <w:p w14:paraId="65A189B9" w14:textId="77777777" w:rsidR="00611936" w:rsidRDefault="00611936" w:rsidP="00611936">
      <w:pPr>
        <w:pStyle w:val="ListParagraph"/>
      </w:pPr>
    </w:p>
    <w:p w14:paraId="2E02F7E5" w14:textId="77777777" w:rsidR="009B683A" w:rsidRPr="00611936" w:rsidRDefault="009B683A" w:rsidP="00611936">
      <w:pPr>
        <w:pStyle w:val="ListParagraph"/>
        <w:numPr>
          <w:ilvl w:val="0"/>
          <w:numId w:val="31"/>
        </w:numPr>
        <w:rPr>
          <w:b/>
          <w:bCs/>
        </w:rPr>
      </w:pPr>
      <w:r w:rsidRPr="00611936">
        <w:rPr>
          <w:b/>
          <w:bCs/>
        </w:rPr>
        <w:t>Jake Lawrence</w:t>
      </w:r>
    </w:p>
    <w:p w14:paraId="120E5770" w14:textId="012D7D37" w:rsidR="009B683A" w:rsidRDefault="009B683A" w:rsidP="00611936">
      <w:pPr>
        <w:pStyle w:val="ListParagraph"/>
      </w:pPr>
      <w:r>
        <w:t>CEO and Group Head, Global Banking and Markets</w:t>
      </w:r>
    </w:p>
    <w:p w14:paraId="51D0B411" w14:textId="77777777" w:rsidR="00611936" w:rsidRDefault="00611936" w:rsidP="00611936">
      <w:pPr>
        <w:pStyle w:val="ListParagraph"/>
      </w:pPr>
    </w:p>
    <w:p w14:paraId="4B3D2E51" w14:textId="77777777" w:rsidR="009B683A" w:rsidRPr="00611936" w:rsidRDefault="009B683A" w:rsidP="00611936">
      <w:pPr>
        <w:pStyle w:val="ListParagraph"/>
        <w:numPr>
          <w:ilvl w:val="0"/>
          <w:numId w:val="31"/>
        </w:numPr>
        <w:rPr>
          <w:b/>
          <w:bCs/>
        </w:rPr>
      </w:pPr>
      <w:r w:rsidRPr="00611936">
        <w:rPr>
          <w:b/>
          <w:bCs/>
        </w:rPr>
        <w:t>Barbara Mason</w:t>
      </w:r>
    </w:p>
    <w:p w14:paraId="38398F11" w14:textId="4E98C3DF" w:rsidR="009B683A" w:rsidRDefault="009B683A" w:rsidP="00611936">
      <w:pPr>
        <w:pStyle w:val="ListParagraph"/>
      </w:pPr>
      <w:r>
        <w:t>Group Head, Chief Human Resources Officer</w:t>
      </w:r>
    </w:p>
    <w:p w14:paraId="535E32FB" w14:textId="77777777" w:rsidR="00611936" w:rsidRDefault="00611936" w:rsidP="00611936">
      <w:pPr>
        <w:pStyle w:val="ListParagraph"/>
      </w:pPr>
    </w:p>
    <w:p w14:paraId="13324E14" w14:textId="77777777" w:rsidR="009B683A" w:rsidRPr="00611936" w:rsidRDefault="009B683A" w:rsidP="00611936">
      <w:pPr>
        <w:pStyle w:val="ListParagraph"/>
        <w:numPr>
          <w:ilvl w:val="0"/>
          <w:numId w:val="31"/>
        </w:numPr>
        <w:rPr>
          <w:b/>
          <w:bCs/>
        </w:rPr>
      </w:pPr>
      <w:r w:rsidRPr="00611936">
        <w:rPr>
          <w:b/>
          <w:bCs/>
        </w:rPr>
        <w:t>James Neate</w:t>
      </w:r>
    </w:p>
    <w:p w14:paraId="2DE800FB" w14:textId="6449C02D" w:rsidR="009B683A" w:rsidRDefault="009B683A" w:rsidP="00611936">
      <w:pPr>
        <w:pStyle w:val="ListParagraph"/>
      </w:pPr>
      <w:r>
        <w:t xml:space="preserve">President and Group Head, Corporate and Investment Banking </w:t>
      </w:r>
    </w:p>
    <w:p w14:paraId="4B2D7251" w14:textId="77777777" w:rsidR="00611936" w:rsidRPr="00611936" w:rsidRDefault="00611936" w:rsidP="00611936">
      <w:pPr>
        <w:pStyle w:val="ListParagraph"/>
      </w:pPr>
    </w:p>
    <w:p w14:paraId="387A5B13" w14:textId="77777777" w:rsidR="009B683A" w:rsidRPr="00611936" w:rsidRDefault="009B683A" w:rsidP="00611936">
      <w:pPr>
        <w:pStyle w:val="ListParagraph"/>
        <w:numPr>
          <w:ilvl w:val="0"/>
          <w:numId w:val="31"/>
        </w:numPr>
        <w:rPr>
          <w:b/>
          <w:bCs/>
        </w:rPr>
      </w:pPr>
      <w:r w:rsidRPr="00611936">
        <w:rPr>
          <w:b/>
          <w:bCs/>
        </w:rPr>
        <w:t>Dan Rees</w:t>
      </w:r>
    </w:p>
    <w:p w14:paraId="314F6316" w14:textId="29875B47" w:rsidR="009B683A" w:rsidRDefault="009B683A" w:rsidP="00611936">
      <w:pPr>
        <w:pStyle w:val="ListParagraph"/>
      </w:pPr>
      <w:r>
        <w:t>Group Head, Canadian Banking</w:t>
      </w:r>
    </w:p>
    <w:p w14:paraId="5C1BA6C2" w14:textId="77777777" w:rsidR="00611936" w:rsidRDefault="00611936" w:rsidP="00611936">
      <w:pPr>
        <w:pStyle w:val="ListParagraph"/>
      </w:pPr>
    </w:p>
    <w:p w14:paraId="4D9917F6" w14:textId="77777777" w:rsidR="009B683A" w:rsidRPr="00611936" w:rsidRDefault="009B683A" w:rsidP="00611936">
      <w:pPr>
        <w:pStyle w:val="ListParagraph"/>
        <w:numPr>
          <w:ilvl w:val="0"/>
          <w:numId w:val="31"/>
        </w:numPr>
        <w:rPr>
          <w:b/>
          <w:bCs/>
        </w:rPr>
      </w:pPr>
      <w:r w:rsidRPr="00611936">
        <w:rPr>
          <w:b/>
          <w:bCs/>
        </w:rPr>
        <w:t>Phil Thomas</w:t>
      </w:r>
    </w:p>
    <w:p w14:paraId="795F8E37" w14:textId="2BD93F7D" w:rsidR="009B683A" w:rsidRDefault="009B683A" w:rsidP="00611936">
      <w:pPr>
        <w:pStyle w:val="ListParagraph"/>
      </w:pPr>
      <w:r>
        <w:t>Group Head and Chief Risk Officer</w:t>
      </w:r>
    </w:p>
    <w:p w14:paraId="73DAADED" w14:textId="77777777" w:rsidR="00611936" w:rsidRDefault="00611936" w:rsidP="00611936">
      <w:pPr>
        <w:pStyle w:val="ListParagraph"/>
      </w:pPr>
    </w:p>
    <w:p w14:paraId="61DFD694" w14:textId="77777777" w:rsidR="009B683A" w:rsidRPr="00611936" w:rsidRDefault="009B683A" w:rsidP="00611936">
      <w:pPr>
        <w:pStyle w:val="ListParagraph"/>
        <w:numPr>
          <w:ilvl w:val="0"/>
          <w:numId w:val="31"/>
        </w:numPr>
        <w:rPr>
          <w:b/>
          <w:bCs/>
        </w:rPr>
      </w:pPr>
      <w:r w:rsidRPr="00611936">
        <w:rPr>
          <w:b/>
          <w:bCs/>
        </w:rPr>
        <w:t>Raj Viswanathan</w:t>
      </w:r>
    </w:p>
    <w:p w14:paraId="7119F525" w14:textId="274F452D" w:rsidR="009B683A" w:rsidRDefault="009B683A" w:rsidP="00611936">
      <w:pPr>
        <w:pStyle w:val="ListParagraph"/>
      </w:pPr>
      <w:r>
        <w:t>Group Head and Chief Financial Officer</w:t>
      </w:r>
    </w:p>
    <w:p w14:paraId="33EB5669" w14:textId="77777777" w:rsidR="00611936" w:rsidRDefault="00611936" w:rsidP="00611936">
      <w:pPr>
        <w:pStyle w:val="ListParagraph"/>
      </w:pPr>
    </w:p>
    <w:p w14:paraId="0BDE88E7" w14:textId="77777777" w:rsidR="009B683A" w:rsidRPr="00611936" w:rsidRDefault="009B683A" w:rsidP="00611936">
      <w:pPr>
        <w:pStyle w:val="ListParagraph"/>
        <w:numPr>
          <w:ilvl w:val="0"/>
          <w:numId w:val="31"/>
        </w:numPr>
        <w:rPr>
          <w:b/>
          <w:bCs/>
        </w:rPr>
      </w:pPr>
      <w:r w:rsidRPr="00611936">
        <w:rPr>
          <w:b/>
          <w:bCs/>
        </w:rPr>
        <w:t>Michael Zerbs</w:t>
      </w:r>
    </w:p>
    <w:p w14:paraId="13C3FCC4" w14:textId="665EBEB4" w:rsidR="009B683A" w:rsidRDefault="009B683A" w:rsidP="00611936">
      <w:pPr>
        <w:pStyle w:val="ListParagraph"/>
      </w:pPr>
      <w:r>
        <w:t>Group Head, Technology and Operations</w:t>
      </w:r>
    </w:p>
    <w:p w14:paraId="77B090C8" w14:textId="77777777" w:rsidR="00611936" w:rsidRDefault="00611936" w:rsidP="00611936">
      <w:pPr>
        <w:pStyle w:val="ListParagraph"/>
      </w:pPr>
    </w:p>
    <w:p w14:paraId="60C4A293" w14:textId="77777777" w:rsidR="009B683A" w:rsidRPr="00611936" w:rsidRDefault="009B683A" w:rsidP="00611936">
      <w:pPr>
        <w:pStyle w:val="ListParagraph"/>
        <w:numPr>
          <w:ilvl w:val="0"/>
          <w:numId w:val="31"/>
        </w:numPr>
        <w:rPr>
          <w:b/>
          <w:bCs/>
        </w:rPr>
      </w:pPr>
      <w:r w:rsidRPr="00611936">
        <w:rPr>
          <w:b/>
          <w:bCs/>
        </w:rPr>
        <w:t>Jacqui Allard</w:t>
      </w:r>
    </w:p>
    <w:p w14:paraId="297B1BCF" w14:textId="4BAF45F0" w:rsidR="009B683A" w:rsidRDefault="009B683A" w:rsidP="00611936">
      <w:pPr>
        <w:pStyle w:val="ListParagraph"/>
      </w:pPr>
      <w:r>
        <w:t>Deputy Head, Global Wealth Management</w:t>
      </w:r>
    </w:p>
    <w:p w14:paraId="06A90BE0" w14:textId="77777777" w:rsidR="00611936" w:rsidRDefault="00611936" w:rsidP="00611936">
      <w:pPr>
        <w:pStyle w:val="ListParagraph"/>
      </w:pPr>
    </w:p>
    <w:p w14:paraId="72E68F9D" w14:textId="77777777" w:rsidR="009B683A" w:rsidRPr="00611936" w:rsidRDefault="009B683A" w:rsidP="00611936">
      <w:pPr>
        <w:pStyle w:val="ListParagraph"/>
        <w:numPr>
          <w:ilvl w:val="0"/>
          <w:numId w:val="31"/>
        </w:numPr>
        <w:rPr>
          <w:b/>
          <w:bCs/>
        </w:rPr>
      </w:pPr>
      <w:r w:rsidRPr="00611936">
        <w:rPr>
          <w:b/>
          <w:bCs/>
        </w:rPr>
        <w:t>Ian Arellano</w:t>
      </w:r>
    </w:p>
    <w:p w14:paraId="12207BD0" w14:textId="77777777" w:rsidR="009B683A" w:rsidRDefault="009B683A" w:rsidP="00611936">
      <w:pPr>
        <w:pStyle w:val="ListParagraph"/>
      </w:pPr>
      <w:r>
        <w:t>Executive Vice President and General Counsel</w:t>
      </w:r>
    </w:p>
    <w:p w14:paraId="033AA51F" w14:textId="77777777" w:rsidR="009B683A" w:rsidRDefault="009B683A" w:rsidP="009B683A"/>
    <w:p w14:paraId="7BDD3F78" w14:textId="0B2EB4FE" w:rsidR="009B683A" w:rsidRPr="00611936" w:rsidRDefault="009D3EA8" w:rsidP="00611936">
      <w:pPr>
        <w:pStyle w:val="ListParagraph"/>
        <w:numPr>
          <w:ilvl w:val="0"/>
          <w:numId w:val="31"/>
        </w:numPr>
        <w:rPr>
          <w:b/>
          <w:bCs/>
        </w:rPr>
      </w:pPr>
      <w:r>
        <w:rPr>
          <w:b/>
          <w:bCs/>
        </w:rPr>
        <w:lastRenderedPageBreak/>
        <w:t>Antique</w:t>
      </w:r>
      <w:r w:rsidR="009B683A" w:rsidRPr="00611936">
        <w:rPr>
          <w:b/>
          <w:bCs/>
        </w:rPr>
        <w:t xml:space="preserve"> Asher</w:t>
      </w:r>
    </w:p>
    <w:p w14:paraId="713994D2" w14:textId="6C5E2153" w:rsidR="00EF1D65" w:rsidRDefault="009B683A" w:rsidP="00DA75F8">
      <w:pPr>
        <w:pStyle w:val="ListParagraph"/>
      </w:pPr>
      <w:r>
        <w:t>Executive Vice President, Finance and Strategy</w:t>
      </w:r>
    </w:p>
    <w:p w14:paraId="696E9992" w14:textId="77777777" w:rsidR="00DA75F8" w:rsidRDefault="00DA75F8" w:rsidP="00DA75F8">
      <w:pPr>
        <w:pStyle w:val="ListParagraph"/>
      </w:pPr>
    </w:p>
    <w:p w14:paraId="492927C0" w14:textId="77777777" w:rsidR="009B683A" w:rsidRPr="00611936" w:rsidRDefault="009B683A" w:rsidP="00611936">
      <w:pPr>
        <w:pStyle w:val="ListParagraph"/>
        <w:numPr>
          <w:ilvl w:val="0"/>
          <w:numId w:val="31"/>
        </w:numPr>
        <w:rPr>
          <w:b/>
          <w:bCs/>
        </w:rPr>
      </w:pPr>
      <w:r w:rsidRPr="00611936">
        <w:rPr>
          <w:b/>
          <w:bCs/>
        </w:rPr>
        <w:t>Stephen Bagnarol</w:t>
      </w:r>
    </w:p>
    <w:p w14:paraId="139D8D08" w14:textId="4E30D23C" w:rsidR="009B683A" w:rsidRDefault="009B683A" w:rsidP="00EF1D65">
      <w:pPr>
        <w:pStyle w:val="ListParagraph"/>
      </w:pPr>
      <w:r>
        <w:t>Executive Vice President, Canadian Business Banking</w:t>
      </w:r>
    </w:p>
    <w:p w14:paraId="4B7771BE" w14:textId="77777777" w:rsidR="00EF1D65" w:rsidRDefault="00EF1D65" w:rsidP="00EF1D65">
      <w:pPr>
        <w:pStyle w:val="ListParagraph"/>
      </w:pPr>
    </w:p>
    <w:p w14:paraId="1E381618" w14:textId="77777777" w:rsidR="009B683A" w:rsidRPr="00611936" w:rsidRDefault="009B683A" w:rsidP="00611936">
      <w:pPr>
        <w:pStyle w:val="ListParagraph"/>
        <w:numPr>
          <w:ilvl w:val="0"/>
          <w:numId w:val="31"/>
        </w:numPr>
        <w:rPr>
          <w:b/>
          <w:bCs/>
        </w:rPr>
      </w:pPr>
      <w:r w:rsidRPr="00611936">
        <w:rPr>
          <w:b/>
          <w:bCs/>
        </w:rPr>
        <w:t>Paul Baroni</w:t>
      </w:r>
    </w:p>
    <w:p w14:paraId="69134060" w14:textId="40536555" w:rsidR="009B683A" w:rsidRDefault="009B683A" w:rsidP="00EF1D65">
      <w:pPr>
        <w:pStyle w:val="ListParagraph"/>
      </w:pPr>
      <w:r>
        <w:t>Executive Vice President, Finance and Chief Financial Officer, Canadian Banking</w:t>
      </w:r>
    </w:p>
    <w:p w14:paraId="2E082C6A" w14:textId="77777777" w:rsidR="00EF1D65" w:rsidRDefault="00EF1D65" w:rsidP="00EF1D65">
      <w:pPr>
        <w:pStyle w:val="ListParagraph"/>
      </w:pPr>
    </w:p>
    <w:p w14:paraId="22998F60" w14:textId="77777777" w:rsidR="009B683A" w:rsidRPr="00611936" w:rsidRDefault="009B683A" w:rsidP="00611936">
      <w:pPr>
        <w:pStyle w:val="ListParagraph"/>
        <w:numPr>
          <w:ilvl w:val="0"/>
          <w:numId w:val="31"/>
        </w:numPr>
        <w:rPr>
          <w:b/>
          <w:bCs/>
        </w:rPr>
      </w:pPr>
      <w:r w:rsidRPr="00611936">
        <w:rPr>
          <w:b/>
          <w:bCs/>
        </w:rPr>
        <w:t>Alex Besharat</w:t>
      </w:r>
    </w:p>
    <w:p w14:paraId="33709255" w14:textId="0A9CA1B9" w:rsidR="009B683A" w:rsidRDefault="009B683A" w:rsidP="00EF1D65">
      <w:pPr>
        <w:pStyle w:val="ListParagraph"/>
      </w:pPr>
      <w:r>
        <w:t>Executive Vice President, Canadian Wealth Management</w:t>
      </w:r>
    </w:p>
    <w:p w14:paraId="0F5114C7" w14:textId="77777777" w:rsidR="00EF1D65" w:rsidRDefault="00EF1D65" w:rsidP="00EF1D65">
      <w:pPr>
        <w:pStyle w:val="ListParagraph"/>
      </w:pPr>
    </w:p>
    <w:p w14:paraId="00AAA5D1" w14:textId="77777777" w:rsidR="009B683A" w:rsidRPr="00611936" w:rsidRDefault="009B683A" w:rsidP="00611936">
      <w:pPr>
        <w:pStyle w:val="ListParagraph"/>
        <w:numPr>
          <w:ilvl w:val="0"/>
          <w:numId w:val="31"/>
        </w:numPr>
        <w:rPr>
          <w:b/>
          <w:bCs/>
        </w:rPr>
      </w:pPr>
      <w:r w:rsidRPr="00611936">
        <w:rPr>
          <w:b/>
          <w:bCs/>
        </w:rPr>
        <w:t>Tracy Bryan</w:t>
      </w:r>
    </w:p>
    <w:p w14:paraId="2070B5E9" w14:textId="3496C01B" w:rsidR="009B683A" w:rsidRDefault="009B683A" w:rsidP="00EF1D65">
      <w:pPr>
        <w:pStyle w:val="ListParagraph"/>
      </w:pPr>
      <w:r>
        <w:t>Executive Vice President, Global Operations</w:t>
      </w:r>
    </w:p>
    <w:p w14:paraId="44AF0DA7" w14:textId="77777777" w:rsidR="00EF1D65" w:rsidRDefault="00EF1D65" w:rsidP="00EF1D65">
      <w:pPr>
        <w:pStyle w:val="ListParagraph"/>
      </w:pPr>
    </w:p>
    <w:p w14:paraId="1EFF787C" w14:textId="77777777" w:rsidR="009B683A" w:rsidRPr="00611936" w:rsidRDefault="009B683A" w:rsidP="00611936">
      <w:pPr>
        <w:pStyle w:val="ListParagraph"/>
        <w:numPr>
          <w:ilvl w:val="0"/>
          <w:numId w:val="31"/>
        </w:numPr>
        <w:rPr>
          <w:b/>
          <w:bCs/>
        </w:rPr>
      </w:pPr>
      <w:r w:rsidRPr="00611936">
        <w:rPr>
          <w:b/>
          <w:bCs/>
        </w:rPr>
        <w:t>Stuart Davis</w:t>
      </w:r>
    </w:p>
    <w:p w14:paraId="18CC2335" w14:textId="0AABAA4B" w:rsidR="009B683A" w:rsidRDefault="009B683A" w:rsidP="00EF1D65">
      <w:pPr>
        <w:pStyle w:val="ListParagraph"/>
      </w:pPr>
      <w:r>
        <w:t>Executive Vice President, Internal Data Protection Management</w:t>
      </w:r>
    </w:p>
    <w:p w14:paraId="767FB573" w14:textId="1C60F8A3" w:rsidR="00EF1D65" w:rsidRDefault="00EF1D65" w:rsidP="00EF1D65">
      <w:pPr>
        <w:pStyle w:val="ListParagraph"/>
      </w:pPr>
      <w:r>
        <w:t>`</w:t>
      </w:r>
    </w:p>
    <w:p w14:paraId="6A6F5BCD" w14:textId="77777777" w:rsidR="009B683A" w:rsidRPr="00611936" w:rsidRDefault="009B683A" w:rsidP="00611936">
      <w:pPr>
        <w:pStyle w:val="ListParagraph"/>
        <w:numPr>
          <w:ilvl w:val="0"/>
          <w:numId w:val="31"/>
        </w:numPr>
        <w:rPr>
          <w:b/>
          <w:bCs/>
        </w:rPr>
      </w:pPr>
      <w:r w:rsidRPr="00611936">
        <w:rPr>
          <w:b/>
          <w:bCs/>
        </w:rPr>
        <w:t>John Doig</w:t>
      </w:r>
    </w:p>
    <w:p w14:paraId="23C80B97" w14:textId="4F2F426E" w:rsidR="009B683A" w:rsidRDefault="009B683A" w:rsidP="00EF1D65">
      <w:pPr>
        <w:pStyle w:val="ListParagraph"/>
      </w:pPr>
      <w:r>
        <w:t>Executive Vice President, Retail Sales</w:t>
      </w:r>
    </w:p>
    <w:p w14:paraId="1F9382A3" w14:textId="77777777" w:rsidR="00EF1D65" w:rsidRDefault="00EF1D65" w:rsidP="00EF1D65">
      <w:pPr>
        <w:pStyle w:val="ListParagraph"/>
      </w:pPr>
    </w:p>
    <w:p w14:paraId="4C716E74" w14:textId="77777777" w:rsidR="009B683A" w:rsidRPr="00611936" w:rsidRDefault="009B683A" w:rsidP="00611936">
      <w:pPr>
        <w:pStyle w:val="ListParagraph"/>
        <w:numPr>
          <w:ilvl w:val="0"/>
          <w:numId w:val="31"/>
        </w:numPr>
        <w:rPr>
          <w:b/>
          <w:bCs/>
        </w:rPr>
      </w:pPr>
      <w:r w:rsidRPr="00611936">
        <w:rPr>
          <w:b/>
          <w:bCs/>
        </w:rPr>
        <w:t>Chris Manning</w:t>
      </w:r>
    </w:p>
    <w:p w14:paraId="4A517808" w14:textId="7F1CF828" w:rsidR="009B683A" w:rsidRDefault="009B683A" w:rsidP="00611936">
      <w:pPr>
        <w:pStyle w:val="ListParagraph"/>
      </w:pPr>
      <w:r>
        <w:t>Executive Vice President, Global Business Payments</w:t>
      </w:r>
    </w:p>
    <w:p w14:paraId="29FE2C2C" w14:textId="77777777" w:rsidR="00EF1D65" w:rsidRDefault="00EF1D65" w:rsidP="00611936">
      <w:pPr>
        <w:pStyle w:val="ListParagraph"/>
      </w:pPr>
    </w:p>
    <w:p w14:paraId="3276ADAA" w14:textId="77777777" w:rsidR="009B683A" w:rsidRPr="00611936" w:rsidRDefault="009B683A" w:rsidP="00611936">
      <w:pPr>
        <w:pStyle w:val="ListParagraph"/>
        <w:numPr>
          <w:ilvl w:val="0"/>
          <w:numId w:val="31"/>
        </w:numPr>
        <w:rPr>
          <w:b/>
          <w:bCs/>
        </w:rPr>
      </w:pPr>
      <w:r w:rsidRPr="00611936">
        <w:rPr>
          <w:b/>
          <w:bCs/>
        </w:rPr>
        <w:t>Loretta Marcoccia</w:t>
      </w:r>
    </w:p>
    <w:p w14:paraId="4600D57B" w14:textId="77777777" w:rsidR="00EF1D65" w:rsidRDefault="009B683A" w:rsidP="00611936">
      <w:pPr>
        <w:pStyle w:val="ListParagraph"/>
      </w:pPr>
      <w:r>
        <w:t>Executive Vice President and Chief Operating Officer, Global Banking and Markets</w:t>
      </w:r>
    </w:p>
    <w:p w14:paraId="74D922D3" w14:textId="16F166C8" w:rsidR="009B683A" w:rsidRDefault="009B683A" w:rsidP="00611936">
      <w:pPr>
        <w:pStyle w:val="ListParagraph"/>
      </w:pPr>
      <w:r>
        <w:t xml:space="preserve">  </w:t>
      </w:r>
    </w:p>
    <w:p w14:paraId="4919F376" w14:textId="77777777" w:rsidR="009B683A" w:rsidRPr="00611936" w:rsidRDefault="009B683A" w:rsidP="00611936">
      <w:pPr>
        <w:pStyle w:val="ListParagraph"/>
        <w:numPr>
          <w:ilvl w:val="0"/>
          <w:numId w:val="31"/>
        </w:numPr>
        <w:rPr>
          <w:b/>
          <w:bCs/>
        </w:rPr>
      </w:pPr>
      <w:r w:rsidRPr="00611936">
        <w:rPr>
          <w:b/>
          <w:bCs/>
        </w:rPr>
        <w:t>Diego Masola</w:t>
      </w:r>
    </w:p>
    <w:p w14:paraId="568CB791" w14:textId="2694A661" w:rsidR="009B683A" w:rsidRDefault="009B683A" w:rsidP="00611936">
      <w:pPr>
        <w:pStyle w:val="ListParagraph"/>
      </w:pPr>
      <w:r>
        <w:t>Executive Vice President and Country Head, Scotiabank Chile</w:t>
      </w:r>
    </w:p>
    <w:p w14:paraId="1994C5AA" w14:textId="77777777" w:rsidR="00EF1D65" w:rsidRDefault="00EF1D65" w:rsidP="00611936">
      <w:pPr>
        <w:pStyle w:val="ListParagraph"/>
      </w:pPr>
    </w:p>
    <w:p w14:paraId="6F6B0B2B" w14:textId="77777777" w:rsidR="009B683A" w:rsidRPr="00611936" w:rsidRDefault="009B683A" w:rsidP="00611936">
      <w:pPr>
        <w:pStyle w:val="ListParagraph"/>
        <w:numPr>
          <w:ilvl w:val="0"/>
          <w:numId w:val="31"/>
        </w:numPr>
        <w:rPr>
          <w:b/>
          <w:bCs/>
        </w:rPr>
      </w:pPr>
      <w:r w:rsidRPr="00611936">
        <w:rPr>
          <w:b/>
          <w:bCs/>
        </w:rPr>
        <w:t>Gillian Riley</w:t>
      </w:r>
    </w:p>
    <w:p w14:paraId="06E031DC" w14:textId="2F3D4F10" w:rsidR="009B683A" w:rsidRDefault="009B683A" w:rsidP="00611936">
      <w:pPr>
        <w:pStyle w:val="ListParagraph"/>
      </w:pPr>
      <w:r>
        <w:t>Executive Vice President, President and CEO, Tangerine</w:t>
      </w:r>
    </w:p>
    <w:p w14:paraId="0A630425" w14:textId="77777777" w:rsidR="00EF1D65" w:rsidRPr="00611936" w:rsidRDefault="00EF1D65" w:rsidP="00611936">
      <w:pPr>
        <w:pStyle w:val="ListParagraph"/>
      </w:pPr>
    </w:p>
    <w:p w14:paraId="61E57D7E" w14:textId="77777777" w:rsidR="009B683A" w:rsidRPr="00611936" w:rsidRDefault="009B683A" w:rsidP="00611936">
      <w:pPr>
        <w:pStyle w:val="ListParagraph"/>
        <w:numPr>
          <w:ilvl w:val="0"/>
          <w:numId w:val="31"/>
        </w:numPr>
        <w:rPr>
          <w:b/>
          <w:bCs/>
        </w:rPr>
      </w:pPr>
      <w:r w:rsidRPr="00611936">
        <w:rPr>
          <w:b/>
          <w:bCs/>
        </w:rPr>
        <w:t>Shawn Rose</w:t>
      </w:r>
    </w:p>
    <w:p w14:paraId="39B18387" w14:textId="68BEBA3E" w:rsidR="009B683A" w:rsidRDefault="009B683A" w:rsidP="00611936">
      <w:pPr>
        <w:pStyle w:val="ListParagraph"/>
      </w:pPr>
      <w:r>
        <w:t>Executive Vice President &amp; Chief Technology Officer</w:t>
      </w:r>
    </w:p>
    <w:p w14:paraId="6160CDF1" w14:textId="77777777" w:rsidR="00EF1D65" w:rsidRPr="00611936" w:rsidRDefault="00EF1D65" w:rsidP="00611936">
      <w:pPr>
        <w:pStyle w:val="ListParagraph"/>
      </w:pPr>
    </w:p>
    <w:p w14:paraId="6A0F9361" w14:textId="77777777" w:rsidR="009B683A" w:rsidRPr="00611936" w:rsidRDefault="009B683A" w:rsidP="00611936">
      <w:pPr>
        <w:pStyle w:val="ListParagraph"/>
        <w:numPr>
          <w:ilvl w:val="0"/>
          <w:numId w:val="31"/>
        </w:numPr>
        <w:rPr>
          <w:b/>
          <w:bCs/>
        </w:rPr>
      </w:pPr>
      <w:r w:rsidRPr="00611936">
        <w:rPr>
          <w:b/>
          <w:bCs/>
        </w:rPr>
        <w:t>Adrián Otero Rosiles</w:t>
      </w:r>
    </w:p>
    <w:p w14:paraId="338FB4DC" w14:textId="11AEFB82" w:rsidR="009B683A" w:rsidRDefault="009B683A" w:rsidP="00611936">
      <w:pPr>
        <w:pStyle w:val="ListParagraph"/>
      </w:pPr>
      <w:r>
        <w:t>Executive Vice President and Country Head, Scotiabank Mexico</w:t>
      </w:r>
    </w:p>
    <w:p w14:paraId="21D22804" w14:textId="77777777" w:rsidR="00EF1D65" w:rsidRDefault="00EF1D65" w:rsidP="00611936">
      <w:pPr>
        <w:pStyle w:val="ListParagraph"/>
      </w:pPr>
    </w:p>
    <w:p w14:paraId="2B1A365D" w14:textId="77777777" w:rsidR="009B683A" w:rsidRPr="00611936" w:rsidRDefault="009B683A" w:rsidP="00611936">
      <w:pPr>
        <w:pStyle w:val="ListParagraph"/>
        <w:numPr>
          <w:ilvl w:val="0"/>
          <w:numId w:val="31"/>
        </w:numPr>
        <w:rPr>
          <w:b/>
          <w:bCs/>
        </w:rPr>
      </w:pPr>
      <w:r w:rsidRPr="00611936">
        <w:rPr>
          <w:b/>
          <w:bCs/>
        </w:rPr>
        <w:t>Anya M. Schnoor</w:t>
      </w:r>
    </w:p>
    <w:p w14:paraId="1C4C569D" w14:textId="14168BCA" w:rsidR="006630C0" w:rsidRDefault="009B683A" w:rsidP="00611936">
      <w:pPr>
        <w:pStyle w:val="ListParagraph"/>
      </w:pPr>
      <w:r>
        <w:t>Executive Vice President, Caribbean, Central America, and Uruguay (CCAU) Scotiabank</w:t>
      </w:r>
    </w:p>
    <w:p w14:paraId="7A03D005" w14:textId="77777777" w:rsidR="00EF1D65" w:rsidRPr="00611936" w:rsidRDefault="00EF1D65" w:rsidP="00611936">
      <w:pPr>
        <w:pStyle w:val="ListParagraph"/>
      </w:pPr>
    </w:p>
    <w:p w14:paraId="35CC2208" w14:textId="77777777" w:rsidR="009B683A" w:rsidRPr="00611936" w:rsidRDefault="009B683A" w:rsidP="00611936">
      <w:pPr>
        <w:pStyle w:val="ListParagraph"/>
        <w:numPr>
          <w:ilvl w:val="0"/>
          <w:numId w:val="31"/>
        </w:numPr>
        <w:rPr>
          <w:b/>
          <w:bCs/>
        </w:rPr>
      </w:pPr>
      <w:r w:rsidRPr="00611936">
        <w:rPr>
          <w:b/>
          <w:bCs/>
        </w:rPr>
        <w:t>Kevin Teslyk</w:t>
      </w:r>
    </w:p>
    <w:p w14:paraId="54D705C8" w14:textId="3FFD7C35" w:rsidR="009B683A" w:rsidRDefault="009B683A" w:rsidP="00611936">
      <w:pPr>
        <w:pStyle w:val="ListParagraph"/>
      </w:pPr>
      <w:r>
        <w:t>Executive Vice President and Chief Operating Officer, Canadian Banking</w:t>
      </w:r>
    </w:p>
    <w:p w14:paraId="5805B9AC" w14:textId="77777777" w:rsidR="009B683A" w:rsidRPr="00611936" w:rsidRDefault="009B683A" w:rsidP="00611936">
      <w:pPr>
        <w:pStyle w:val="ListParagraph"/>
        <w:numPr>
          <w:ilvl w:val="0"/>
          <w:numId w:val="31"/>
        </w:numPr>
        <w:rPr>
          <w:b/>
          <w:bCs/>
        </w:rPr>
      </w:pPr>
      <w:r w:rsidRPr="00611936">
        <w:rPr>
          <w:b/>
          <w:bCs/>
        </w:rPr>
        <w:t>Maria Theofilaktidis</w:t>
      </w:r>
    </w:p>
    <w:p w14:paraId="14221E3A" w14:textId="7A92C897" w:rsidR="009B683A" w:rsidRDefault="009B683A" w:rsidP="00611936">
      <w:pPr>
        <w:pStyle w:val="ListParagraph"/>
      </w:pPr>
      <w:r>
        <w:t>Executive Vice President and Chief Auditor</w:t>
      </w:r>
    </w:p>
    <w:p w14:paraId="4742DFC1" w14:textId="77777777" w:rsidR="00EF1D65" w:rsidRDefault="00EF1D65" w:rsidP="00611936">
      <w:pPr>
        <w:pStyle w:val="ListParagraph"/>
      </w:pPr>
    </w:p>
    <w:p w14:paraId="08088565" w14:textId="77777777" w:rsidR="00611936" w:rsidRDefault="009B683A" w:rsidP="00611936">
      <w:pPr>
        <w:pStyle w:val="ListParagraph"/>
        <w:numPr>
          <w:ilvl w:val="0"/>
          <w:numId w:val="31"/>
        </w:numPr>
        <w:rPr>
          <w:b/>
          <w:bCs/>
        </w:rPr>
      </w:pPr>
      <w:r w:rsidRPr="00611936">
        <w:rPr>
          <w:b/>
          <w:bCs/>
        </w:rPr>
        <w:lastRenderedPageBreak/>
        <w:t>Terri-Lee Weeks</w:t>
      </w:r>
    </w:p>
    <w:p w14:paraId="027B5BC8" w14:textId="49F234A7" w:rsidR="009B683A" w:rsidRDefault="009B683A" w:rsidP="00611936">
      <w:pPr>
        <w:pStyle w:val="ListParagraph"/>
      </w:pPr>
      <w:r>
        <w:t>Executive Vice President, Retail Customer</w:t>
      </w:r>
    </w:p>
    <w:p w14:paraId="5DD7604C" w14:textId="77777777" w:rsidR="00EF1D65" w:rsidRPr="00611936" w:rsidRDefault="00EF1D65" w:rsidP="00611936">
      <w:pPr>
        <w:pStyle w:val="ListParagraph"/>
        <w:rPr>
          <w:b/>
          <w:bCs/>
        </w:rPr>
      </w:pPr>
    </w:p>
    <w:p w14:paraId="65D56E93" w14:textId="77777777" w:rsidR="00611936" w:rsidRDefault="009B683A" w:rsidP="00611936">
      <w:pPr>
        <w:pStyle w:val="ListParagraph"/>
        <w:numPr>
          <w:ilvl w:val="0"/>
          <w:numId w:val="31"/>
        </w:numPr>
        <w:rPr>
          <w:b/>
          <w:bCs/>
        </w:rPr>
      </w:pPr>
      <w:r w:rsidRPr="00611936">
        <w:rPr>
          <w:b/>
          <w:bCs/>
        </w:rPr>
        <w:t>Martin Weeks</w:t>
      </w:r>
    </w:p>
    <w:p w14:paraId="371BA76E" w14:textId="64568266" w:rsidR="009B683A" w:rsidRPr="00611936" w:rsidRDefault="009B683A" w:rsidP="00611936">
      <w:pPr>
        <w:pStyle w:val="ListParagraph"/>
        <w:rPr>
          <w:b/>
          <w:bCs/>
        </w:rPr>
      </w:pPr>
      <w:r>
        <w:t>Executive Vice President and Group Treasurer</w:t>
      </w:r>
    </w:p>
    <w:p w14:paraId="3AF300A7" w14:textId="77777777" w:rsidR="009B683A" w:rsidRPr="00B710C3" w:rsidRDefault="009B683A" w:rsidP="009B683A">
      <w:pPr>
        <w:rPr>
          <w:b/>
          <w:bCs/>
        </w:rPr>
      </w:pPr>
    </w:p>
    <w:p w14:paraId="176CCA68" w14:textId="295C4E20" w:rsidR="009B683A" w:rsidRPr="00EF1D65" w:rsidRDefault="009B683A" w:rsidP="00EF1D65">
      <w:pPr>
        <w:pStyle w:val="Heading1"/>
        <w:jc w:val="center"/>
        <w:rPr>
          <w:b/>
          <w:bCs/>
        </w:rPr>
      </w:pPr>
      <w:bookmarkStart w:id="21" w:name="_Toc145702368"/>
      <w:r w:rsidRPr="00EF1D65">
        <w:rPr>
          <w:b/>
          <w:bCs/>
        </w:rPr>
        <w:t xml:space="preserve">Overall Corporate and the IT &amp; Operations (IT &amp; Ops) Mission </w:t>
      </w:r>
      <w:r w:rsidR="00BE3CB5">
        <w:rPr>
          <w:b/>
          <w:bCs/>
        </w:rPr>
        <w:t>S</w:t>
      </w:r>
      <w:r w:rsidRPr="00EF1D65">
        <w:rPr>
          <w:b/>
          <w:bCs/>
        </w:rPr>
        <w:t>tatement</w:t>
      </w:r>
      <w:bookmarkEnd w:id="21"/>
    </w:p>
    <w:p w14:paraId="439DB30D" w14:textId="77777777" w:rsidR="009B683A" w:rsidRPr="00B710C3" w:rsidRDefault="009B683A" w:rsidP="009B683A">
      <w:pPr>
        <w:spacing w:line="360" w:lineRule="auto"/>
        <w:jc w:val="both"/>
        <w:rPr>
          <w:rFonts w:cstheme="minorHAnsi"/>
        </w:rPr>
      </w:pPr>
      <w:r>
        <w:rPr>
          <w:rFonts w:cstheme="minorHAnsi"/>
        </w:rPr>
        <w:t>Scotiabank is committed to being the best institution in the financial sector and providing the best quality products and services. The bank is also committed to being a good corporate citizen to benefit the customers, shareholders, and staff (Scotiabank, n.d., para. 4).</w:t>
      </w:r>
    </w:p>
    <w:p w14:paraId="13EAC734" w14:textId="77777777" w:rsidR="009B683A" w:rsidRPr="00EF1D65" w:rsidRDefault="009B683A" w:rsidP="00EF1D65">
      <w:pPr>
        <w:pStyle w:val="Heading1"/>
        <w:jc w:val="center"/>
        <w:rPr>
          <w:b/>
          <w:bCs/>
        </w:rPr>
      </w:pPr>
      <w:bookmarkStart w:id="22" w:name="_Toc145702369"/>
      <w:r w:rsidRPr="00EF1D65">
        <w:rPr>
          <w:b/>
          <w:bCs/>
        </w:rPr>
        <w:t>Overall Corporate and the IT &amp; Operations Vision</w:t>
      </w:r>
      <w:bookmarkEnd w:id="22"/>
    </w:p>
    <w:p w14:paraId="30E8C253" w14:textId="77777777" w:rsidR="009B683A" w:rsidRDefault="009B683A" w:rsidP="009B683A">
      <w:pPr>
        <w:spacing w:line="360" w:lineRule="auto"/>
        <w:jc w:val="both"/>
        <w:rPr>
          <w:rFonts w:cstheme="minorHAnsi"/>
        </w:rPr>
      </w:pPr>
      <w:r>
        <w:rPr>
          <w:rFonts w:cstheme="minorHAnsi"/>
        </w:rPr>
        <w:t>Scotiabank adheres to the purpose: "For every future" (Scotiabank, n.d. para. 1). The bank is committed to enhancing customer experience and supporting customer goals by helping them explore new opportunities (Scotiabank, n.d., para. 3).</w:t>
      </w:r>
    </w:p>
    <w:p w14:paraId="6C73B8F9" w14:textId="77777777" w:rsidR="009B683A" w:rsidRDefault="009B683A" w:rsidP="009B683A">
      <w:pPr>
        <w:spacing w:line="360" w:lineRule="auto"/>
        <w:jc w:val="both"/>
        <w:rPr>
          <w:rFonts w:cstheme="minorHAnsi"/>
        </w:rPr>
      </w:pPr>
      <w:r>
        <w:rPr>
          <w:rFonts w:cstheme="minorHAnsi"/>
        </w:rPr>
        <w:t>To facilitate growth and excellent customer service, three pillars guide Scotiabank:</w:t>
      </w:r>
    </w:p>
    <w:p w14:paraId="2E8C2BF5" w14:textId="77777777" w:rsidR="009B683A" w:rsidRPr="00EB2FA5" w:rsidRDefault="009B683A" w:rsidP="00EB2FA5">
      <w:pPr>
        <w:rPr>
          <w:b/>
          <w:bCs/>
        </w:rPr>
      </w:pPr>
      <w:r w:rsidRPr="00EB2FA5">
        <w:rPr>
          <w:b/>
          <w:bCs/>
        </w:rPr>
        <w:t>Customer First</w:t>
      </w:r>
    </w:p>
    <w:p w14:paraId="7319519F" w14:textId="4BCB2602" w:rsidR="009B683A" w:rsidRDefault="009B683A" w:rsidP="00081D7D">
      <w:pPr>
        <w:spacing w:after="0" w:line="276" w:lineRule="auto"/>
        <w:jc w:val="both"/>
        <w:rPr>
          <w:rFonts w:cstheme="minorHAnsi"/>
        </w:rPr>
      </w:pPr>
      <w:r>
        <w:rPr>
          <w:rFonts w:cstheme="minorHAnsi"/>
        </w:rPr>
        <w:t>The primary focus of Scotiabank is its customers and its commitment to providing the best service (Scotiabank, n.d., para. 2).</w:t>
      </w:r>
    </w:p>
    <w:p w14:paraId="485986FC" w14:textId="77777777" w:rsidR="00EB2FA5" w:rsidRDefault="00EB2FA5" w:rsidP="00081D7D">
      <w:pPr>
        <w:spacing w:after="0" w:line="276" w:lineRule="auto"/>
        <w:jc w:val="both"/>
        <w:rPr>
          <w:rFonts w:cstheme="minorHAnsi"/>
          <w:b/>
          <w:bCs/>
        </w:rPr>
      </w:pPr>
    </w:p>
    <w:p w14:paraId="2D5D41B7" w14:textId="77777777" w:rsidR="009B683A" w:rsidRPr="00EB2FA5" w:rsidRDefault="009B683A" w:rsidP="00EB2FA5">
      <w:pPr>
        <w:rPr>
          <w:b/>
          <w:bCs/>
        </w:rPr>
      </w:pPr>
      <w:r w:rsidRPr="00EB2FA5">
        <w:rPr>
          <w:b/>
          <w:bCs/>
        </w:rPr>
        <w:t>Winning Team</w:t>
      </w:r>
    </w:p>
    <w:p w14:paraId="670EEC95" w14:textId="71044342" w:rsidR="009B683A" w:rsidRPr="00081D7D" w:rsidRDefault="009B683A" w:rsidP="009B683A">
      <w:pPr>
        <w:spacing w:after="0" w:line="360" w:lineRule="auto"/>
        <w:jc w:val="both"/>
        <w:rPr>
          <w:rFonts w:cstheme="minorHAnsi"/>
        </w:rPr>
      </w:pPr>
      <w:r>
        <w:rPr>
          <w:rFonts w:cstheme="minorHAnsi"/>
        </w:rPr>
        <w:t>Scotiabank facilitates an inclusive, high-performance environment that aids quality results (Scotiabank, n.d., para. 2).</w:t>
      </w:r>
    </w:p>
    <w:p w14:paraId="42970458" w14:textId="77777777" w:rsidR="009B683A" w:rsidRPr="00EB2FA5" w:rsidRDefault="009B683A" w:rsidP="00EB2FA5">
      <w:pPr>
        <w:rPr>
          <w:b/>
          <w:bCs/>
        </w:rPr>
      </w:pPr>
      <w:r w:rsidRPr="00EB2FA5">
        <w:rPr>
          <w:b/>
          <w:bCs/>
        </w:rPr>
        <w:t>Lead in the Americas</w:t>
      </w:r>
    </w:p>
    <w:p w14:paraId="0A6311E1" w14:textId="75FA6812" w:rsidR="00942359" w:rsidRDefault="009B683A" w:rsidP="009B683A">
      <w:pPr>
        <w:spacing w:after="0" w:line="360" w:lineRule="auto"/>
        <w:jc w:val="both"/>
        <w:rPr>
          <w:rFonts w:cstheme="minorHAnsi"/>
        </w:rPr>
      </w:pPr>
      <w:r>
        <w:rPr>
          <w:rFonts w:cstheme="minorHAnsi"/>
        </w:rPr>
        <w:t>Scotiabank has a vision for long-term growth aided by reliable expertise and a focus on six core markets (Scotiabank, n.d., para. 2).</w:t>
      </w:r>
    </w:p>
    <w:p w14:paraId="0A3FD4D2" w14:textId="77777777" w:rsidR="009B683A" w:rsidRPr="00081D7D" w:rsidRDefault="009B683A" w:rsidP="00081D7D">
      <w:pPr>
        <w:pStyle w:val="Heading1"/>
        <w:jc w:val="center"/>
        <w:rPr>
          <w:b/>
          <w:bCs/>
        </w:rPr>
      </w:pPr>
      <w:bookmarkStart w:id="23" w:name="_Toc145702370"/>
      <w:r w:rsidRPr="00081D7D">
        <w:rPr>
          <w:b/>
          <w:bCs/>
        </w:rPr>
        <w:t>Major Strategic Initiatives</w:t>
      </w:r>
      <w:bookmarkEnd w:id="23"/>
    </w:p>
    <w:p w14:paraId="34FE8903" w14:textId="77777777" w:rsidR="00081D7D" w:rsidRDefault="00081D7D" w:rsidP="009B683A">
      <w:pPr>
        <w:spacing w:after="0" w:line="360" w:lineRule="auto"/>
        <w:jc w:val="both"/>
        <w:rPr>
          <w:rFonts w:cstheme="minorHAnsi"/>
        </w:rPr>
      </w:pPr>
    </w:p>
    <w:p w14:paraId="4DD43C0D" w14:textId="68F909EC" w:rsidR="009B683A" w:rsidRPr="0083089E" w:rsidRDefault="009B683A" w:rsidP="009B683A">
      <w:pPr>
        <w:spacing w:after="0" w:line="360" w:lineRule="auto"/>
        <w:jc w:val="both"/>
        <w:rPr>
          <w:rFonts w:cstheme="minorHAnsi"/>
        </w:rPr>
      </w:pPr>
      <w:r>
        <w:rPr>
          <w:rFonts w:cstheme="minorHAnsi"/>
        </w:rPr>
        <w:t>The ESG (Environment, Social, and Governance) strategy of Scotiabank is based on the four key pillars:</w:t>
      </w:r>
    </w:p>
    <w:p w14:paraId="6210AEAA" w14:textId="77777777" w:rsidR="009B683A" w:rsidRDefault="009B683A" w:rsidP="009B683A">
      <w:pPr>
        <w:spacing w:after="0" w:line="360" w:lineRule="auto"/>
        <w:jc w:val="both"/>
        <w:rPr>
          <w:rFonts w:cstheme="minorHAnsi"/>
        </w:rPr>
      </w:pPr>
      <w:r>
        <w:rPr>
          <w:rFonts w:cstheme="minorHAnsi"/>
        </w:rPr>
        <w:t>Governance &amp; Leadership, Economic Resilience, Environmental Action, and Inclusive Society (Scotiabank, 2022, p. 19). Scotiabank develops, invests in, and launches initiatives to help address social, economic, and environmental challenges to maximize the bank's impact on the world by building a better future (Scotiabank, 2022, p. 19). The following section highlights some of the important initiatives in each of these areas.</w:t>
      </w:r>
    </w:p>
    <w:p w14:paraId="350997D6" w14:textId="77777777" w:rsidR="009B683A" w:rsidRDefault="009B683A" w:rsidP="009B683A">
      <w:pPr>
        <w:spacing w:after="0" w:line="360" w:lineRule="auto"/>
        <w:jc w:val="both"/>
        <w:rPr>
          <w:rFonts w:cstheme="minorHAnsi"/>
        </w:rPr>
      </w:pPr>
    </w:p>
    <w:p w14:paraId="4C12ABAE" w14:textId="77777777" w:rsidR="009B683A" w:rsidRPr="00EB2FA5" w:rsidRDefault="009B683A" w:rsidP="00EB2FA5">
      <w:pPr>
        <w:rPr>
          <w:b/>
          <w:bCs/>
          <w:sz w:val="28"/>
          <w:szCs w:val="28"/>
        </w:rPr>
      </w:pPr>
      <w:r w:rsidRPr="00EB2FA5">
        <w:rPr>
          <w:b/>
          <w:bCs/>
          <w:sz w:val="28"/>
          <w:szCs w:val="28"/>
        </w:rPr>
        <w:lastRenderedPageBreak/>
        <w:t>Net-Zero Bank</w:t>
      </w:r>
    </w:p>
    <w:p w14:paraId="0351223C" w14:textId="77777777" w:rsidR="009B683A" w:rsidRDefault="009B683A" w:rsidP="009B683A">
      <w:pPr>
        <w:spacing w:after="0" w:line="360" w:lineRule="auto"/>
        <w:jc w:val="both"/>
        <w:rPr>
          <w:rFonts w:cstheme="minorHAnsi"/>
        </w:rPr>
      </w:pPr>
      <w:r>
        <w:rPr>
          <w:rFonts w:cstheme="minorHAnsi"/>
        </w:rPr>
        <w:t xml:space="preserve">Scotiabank is committed to becoming a net-zero bank and is reducing financed emissions associated with its lending activities (Scotiabank, 2022, p. 12). 'Net-zero' means balancing the greenhouse gas emissions by avoiding or removing them through various techniques such as planting trees. The bank became a signatory to the Net-Zero Banking Alliance (NZBA) and a Partnership for Carbon Accounting Financials (PCAF) member (Scotiabank, 2022, p. 12). </w:t>
      </w:r>
    </w:p>
    <w:p w14:paraId="5A9AFA1D" w14:textId="77777777" w:rsidR="009B683A" w:rsidRDefault="009B683A" w:rsidP="009B683A">
      <w:pPr>
        <w:spacing w:after="0" w:line="360" w:lineRule="auto"/>
        <w:jc w:val="both"/>
        <w:rPr>
          <w:rFonts w:cstheme="minorHAnsi"/>
        </w:rPr>
      </w:pPr>
    </w:p>
    <w:p w14:paraId="067A0BB9" w14:textId="77777777" w:rsidR="009B683A" w:rsidRPr="00EB2FA5" w:rsidRDefault="009B683A" w:rsidP="00EB2FA5">
      <w:pPr>
        <w:rPr>
          <w:b/>
          <w:bCs/>
          <w:sz w:val="28"/>
          <w:szCs w:val="28"/>
        </w:rPr>
      </w:pPr>
      <w:r w:rsidRPr="00EB2FA5">
        <w:rPr>
          <w:b/>
          <w:bCs/>
          <w:sz w:val="28"/>
          <w:szCs w:val="28"/>
        </w:rPr>
        <w:t>ScotiaRISE</w:t>
      </w:r>
    </w:p>
    <w:p w14:paraId="132072E1" w14:textId="77777777" w:rsidR="009B683A" w:rsidRDefault="009B683A" w:rsidP="009B683A">
      <w:pPr>
        <w:spacing w:after="0" w:line="360" w:lineRule="auto"/>
        <w:jc w:val="both"/>
        <w:rPr>
          <w:rFonts w:cstheme="minorHAnsi"/>
        </w:rPr>
      </w:pPr>
      <w:r>
        <w:rPr>
          <w:rFonts w:cstheme="minorHAnsi"/>
        </w:rPr>
        <w:t xml:space="preserve">Scotiabank launched an impact program called ScotiaRISE in 2021 to promote economic resilience and help people build a stronger future. Scotiabank has made a ten-year, $500 million commitment to community investment to create a more inclusive world for everyone and every future (Scotiabank, n.d.). This initiative won the bank the 'Banking in the Community Award' by The Banker magazine in 2022. As of 2022, the bank invested over $60 million and partnered with over two hundred organizations, creating opportunities and supporting many people </w:t>
      </w:r>
      <w:bookmarkStart w:id="24" w:name="_Hlk145623358"/>
      <w:r>
        <w:rPr>
          <w:rFonts w:cstheme="minorHAnsi"/>
        </w:rPr>
        <w:t>(Scotiabank, 2022, p. 7).</w:t>
      </w:r>
      <w:bookmarkEnd w:id="24"/>
    </w:p>
    <w:p w14:paraId="5EE3DDD4" w14:textId="77777777" w:rsidR="009B683A" w:rsidRDefault="009B683A" w:rsidP="009B683A">
      <w:pPr>
        <w:spacing w:after="0" w:line="360" w:lineRule="auto"/>
        <w:jc w:val="both"/>
        <w:rPr>
          <w:rFonts w:cstheme="minorHAnsi"/>
        </w:rPr>
      </w:pPr>
    </w:p>
    <w:p w14:paraId="66C201C7" w14:textId="77777777" w:rsidR="009B683A" w:rsidRDefault="009B683A" w:rsidP="009B683A">
      <w:pPr>
        <w:spacing w:after="0" w:line="360" w:lineRule="auto"/>
        <w:jc w:val="both"/>
        <w:rPr>
          <w:rFonts w:cstheme="minorHAnsi"/>
        </w:rPr>
      </w:pPr>
      <w:r>
        <w:rPr>
          <w:rFonts w:cstheme="minorHAnsi"/>
        </w:rPr>
        <w:t>ScotiaRISE supports any individual, family, and community to rise in the face of any challenge. The key focus areas of the ScotiaRISE initiative are:</w:t>
      </w:r>
    </w:p>
    <w:p w14:paraId="7AD064FD" w14:textId="01AC7CCA" w:rsidR="009B683A" w:rsidRPr="00F53AB7" w:rsidRDefault="009B683A" w:rsidP="00F53AB7">
      <w:pPr>
        <w:pStyle w:val="ListParagraph"/>
        <w:numPr>
          <w:ilvl w:val="0"/>
          <w:numId w:val="24"/>
        </w:numPr>
        <w:spacing w:after="0" w:line="360" w:lineRule="auto"/>
        <w:jc w:val="both"/>
        <w:rPr>
          <w:rFonts w:cstheme="minorHAnsi"/>
          <w:b/>
          <w:bCs/>
        </w:rPr>
      </w:pPr>
      <w:r w:rsidRPr="005F1362">
        <w:rPr>
          <w:b/>
          <w:bCs/>
        </w:rPr>
        <w:t>Education:</w:t>
      </w:r>
      <w:r w:rsidRPr="00121257">
        <w:rPr>
          <w:rFonts w:cstheme="minorHAnsi"/>
          <w:b/>
          <w:bCs/>
        </w:rPr>
        <w:t xml:space="preserve"> </w:t>
      </w:r>
      <w:r>
        <w:rPr>
          <w:rFonts w:cstheme="minorHAnsi"/>
        </w:rPr>
        <w:t xml:space="preserve">ScotiaRISE aims to increase high-school graduation and post-secondary education. The initiative helps the youth seek employment opportunities and economic participation </w:t>
      </w:r>
      <w:r w:rsidRPr="00907786">
        <w:rPr>
          <w:rFonts w:cstheme="minorHAnsi"/>
        </w:rPr>
        <w:t>(Scotiabank, 2022</w:t>
      </w:r>
      <w:r>
        <w:rPr>
          <w:rFonts w:cstheme="minorHAnsi"/>
        </w:rPr>
        <w:t>).</w:t>
      </w:r>
    </w:p>
    <w:p w14:paraId="6F2ECB50" w14:textId="3D57C229" w:rsidR="009B683A" w:rsidRPr="00F53AB7" w:rsidRDefault="009B683A" w:rsidP="009B683A">
      <w:pPr>
        <w:pStyle w:val="ListParagraph"/>
        <w:numPr>
          <w:ilvl w:val="0"/>
          <w:numId w:val="24"/>
        </w:numPr>
        <w:spacing w:after="0" w:line="360" w:lineRule="auto"/>
        <w:jc w:val="both"/>
        <w:rPr>
          <w:rFonts w:cstheme="minorHAnsi"/>
          <w:b/>
          <w:bCs/>
        </w:rPr>
      </w:pPr>
      <w:r w:rsidRPr="005F1362">
        <w:rPr>
          <w:b/>
          <w:bCs/>
        </w:rPr>
        <w:t>Newcomer Support:</w:t>
      </w:r>
      <w:r w:rsidRPr="00121257">
        <w:rPr>
          <w:rFonts w:cstheme="minorHAnsi"/>
          <w:b/>
          <w:bCs/>
        </w:rPr>
        <w:t xml:space="preserve"> </w:t>
      </w:r>
      <w:r>
        <w:rPr>
          <w:rFonts w:cstheme="minorHAnsi"/>
        </w:rPr>
        <w:t xml:space="preserve">ScotiaRISE supports newcomers by helping them with employment prospects and creating connections to the community, which in turn provides new opportunities </w:t>
      </w:r>
      <w:r w:rsidRPr="00907786">
        <w:rPr>
          <w:rFonts w:cstheme="minorHAnsi"/>
        </w:rPr>
        <w:t>(Scotiabank, 2022</w:t>
      </w:r>
      <w:r>
        <w:rPr>
          <w:rFonts w:cstheme="minorHAnsi"/>
        </w:rPr>
        <w:t xml:space="preserve">). </w:t>
      </w:r>
    </w:p>
    <w:p w14:paraId="713A9C1E" w14:textId="77777777" w:rsidR="009B683A" w:rsidRPr="004274D5" w:rsidRDefault="009B683A" w:rsidP="009B683A">
      <w:pPr>
        <w:pStyle w:val="ListParagraph"/>
        <w:numPr>
          <w:ilvl w:val="0"/>
          <w:numId w:val="24"/>
        </w:numPr>
        <w:spacing w:after="0" w:line="360" w:lineRule="auto"/>
        <w:jc w:val="both"/>
        <w:rPr>
          <w:rFonts w:cstheme="minorHAnsi"/>
          <w:b/>
          <w:bCs/>
        </w:rPr>
      </w:pPr>
      <w:r w:rsidRPr="005F1362">
        <w:rPr>
          <w:b/>
          <w:bCs/>
        </w:rPr>
        <w:t>Employment:</w:t>
      </w:r>
      <w:r w:rsidRPr="00121257">
        <w:rPr>
          <w:rFonts w:cstheme="minorHAnsi"/>
          <w:b/>
          <w:bCs/>
        </w:rPr>
        <w:t xml:space="preserve"> </w:t>
      </w:r>
      <w:r>
        <w:rPr>
          <w:rFonts w:cstheme="minorHAnsi"/>
        </w:rPr>
        <w:t xml:space="preserve">Through the initiative of ScotiaRISE, Scotiabank supports bright minds to advance in their career and achieve financial success. It helps eliminate the barriers to career advancement for underrepresented communities </w:t>
      </w:r>
      <w:r w:rsidRPr="00907786">
        <w:rPr>
          <w:rFonts w:cstheme="minorHAnsi"/>
        </w:rPr>
        <w:t>(Scotiabank, 2022</w:t>
      </w:r>
      <w:r>
        <w:rPr>
          <w:rFonts w:cstheme="minorHAnsi"/>
        </w:rPr>
        <w:t>).</w:t>
      </w:r>
    </w:p>
    <w:p w14:paraId="5B512ED2" w14:textId="77777777" w:rsidR="00942359" w:rsidRDefault="00942359" w:rsidP="009B683A">
      <w:pPr>
        <w:pStyle w:val="ListParagraph"/>
        <w:spacing w:after="0" w:line="360" w:lineRule="auto"/>
        <w:jc w:val="both"/>
        <w:rPr>
          <w:rFonts w:cstheme="minorHAnsi"/>
          <w:b/>
          <w:bCs/>
        </w:rPr>
      </w:pPr>
    </w:p>
    <w:p w14:paraId="0421539C" w14:textId="77777777" w:rsidR="00942359" w:rsidRPr="00162929" w:rsidRDefault="00942359" w:rsidP="009B683A">
      <w:pPr>
        <w:pStyle w:val="ListParagraph"/>
        <w:spacing w:after="0" w:line="360" w:lineRule="auto"/>
        <w:jc w:val="both"/>
        <w:rPr>
          <w:rFonts w:cstheme="minorHAnsi"/>
          <w:b/>
          <w:bCs/>
        </w:rPr>
      </w:pPr>
    </w:p>
    <w:p w14:paraId="212155AC" w14:textId="77777777" w:rsidR="009B683A" w:rsidRPr="005335CF" w:rsidRDefault="009B683A" w:rsidP="005335CF">
      <w:pPr>
        <w:rPr>
          <w:b/>
          <w:bCs/>
          <w:sz w:val="28"/>
          <w:szCs w:val="28"/>
        </w:rPr>
      </w:pPr>
      <w:r w:rsidRPr="005335CF">
        <w:rPr>
          <w:b/>
          <w:bCs/>
          <w:sz w:val="28"/>
          <w:szCs w:val="28"/>
        </w:rPr>
        <w:t>The Scotiabank Women Initiative</w:t>
      </w:r>
    </w:p>
    <w:p w14:paraId="69CDF6CA" w14:textId="1EBDB1FC" w:rsidR="00081D7D" w:rsidRDefault="009B683A" w:rsidP="009B683A">
      <w:pPr>
        <w:spacing w:after="0" w:line="360" w:lineRule="auto"/>
        <w:jc w:val="both"/>
        <w:rPr>
          <w:rFonts w:cstheme="minorHAnsi"/>
        </w:rPr>
      </w:pPr>
      <w:r>
        <w:rPr>
          <w:rFonts w:cstheme="minorHAnsi"/>
        </w:rPr>
        <w:t xml:space="preserve">Scotiabank launched the Scotiabank Women Initiative to help women succeed on their terms and pursue their professional and financial futures (Scotiabank, n.d.). </w:t>
      </w:r>
    </w:p>
    <w:p w14:paraId="4BCE5602" w14:textId="77777777" w:rsidR="009B683A" w:rsidRDefault="009B683A" w:rsidP="009B683A">
      <w:pPr>
        <w:spacing w:after="0" w:line="360" w:lineRule="auto"/>
        <w:jc w:val="both"/>
        <w:rPr>
          <w:rFonts w:cstheme="minorHAnsi"/>
        </w:rPr>
      </w:pPr>
      <w:r>
        <w:rPr>
          <w:rFonts w:cstheme="minorHAnsi"/>
        </w:rPr>
        <w:t>The initiative aims at the following key areas:</w:t>
      </w:r>
    </w:p>
    <w:p w14:paraId="6865D0D4" w14:textId="17D4DE34" w:rsidR="009B683A" w:rsidRPr="00121257" w:rsidRDefault="009B683A" w:rsidP="009B683A">
      <w:pPr>
        <w:pStyle w:val="ListParagraph"/>
        <w:numPr>
          <w:ilvl w:val="0"/>
          <w:numId w:val="32"/>
        </w:numPr>
        <w:spacing w:after="0" w:line="360" w:lineRule="auto"/>
        <w:jc w:val="both"/>
        <w:rPr>
          <w:rFonts w:cstheme="minorHAnsi"/>
        </w:rPr>
      </w:pPr>
      <w:r w:rsidRPr="005335CF">
        <w:rPr>
          <w:b/>
          <w:bCs/>
        </w:rPr>
        <w:t>Capital and tailored solutions:</w:t>
      </w:r>
      <w:r w:rsidRPr="00081D7D">
        <w:rPr>
          <w:rFonts w:cstheme="minorHAnsi"/>
          <w:b/>
          <w:bCs/>
        </w:rPr>
        <w:t xml:space="preserve"> </w:t>
      </w:r>
      <w:r w:rsidRPr="00081D7D">
        <w:rPr>
          <w:rFonts w:cstheme="minorHAnsi"/>
        </w:rPr>
        <w:t xml:space="preserve">The Scotia Women initiative focuses on giving women equal access to capital and tailored solutions (Scotiabank, 2022, p. 17). </w:t>
      </w:r>
    </w:p>
    <w:p w14:paraId="2509329A" w14:textId="5C5D1DC5" w:rsidR="009B683A" w:rsidRPr="00081D7D" w:rsidRDefault="009B683A" w:rsidP="00081D7D">
      <w:pPr>
        <w:pStyle w:val="ListParagraph"/>
        <w:numPr>
          <w:ilvl w:val="0"/>
          <w:numId w:val="33"/>
        </w:numPr>
        <w:spacing w:after="0" w:line="360" w:lineRule="auto"/>
        <w:jc w:val="both"/>
        <w:rPr>
          <w:rFonts w:cstheme="minorHAnsi"/>
        </w:rPr>
      </w:pPr>
      <w:r w:rsidRPr="005335CF">
        <w:rPr>
          <w:b/>
          <w:bCs/>
        </w:rPr>
        <w:t>Specialized education:</w:t>
      </w:r>
      <w:r w:rsidRPr="005335CF">
        <w:rPr>
          <w:rFonts w:cstheme="minorHAnsi"/>
          <w:b/>
          <w:bCs/>
        </w:rPr>
        <w:t xml:space="preserve"> </w:t>
      </w:r>
      <w:r w:rsidRPr="00081D7D">
        <w:rPr>
          <w:rFonts w:cstheme="minorHAnsi"/>
        </w:rPr>
        <w:t xml:space="preserve">Scotiabank is dedicated to helping women enhance their skills, improve their technical and financial expertise, and advance their careers. Through the Scotiabank Women Initiative, Scotiabank </w:t>
      </w:r>
      <w:r w:rsidRPr="00081D7D">
        <w:rPr>
          <w:rFonts w:cstheme="minorHAnsi"/>
        </w:rPr>
        <w:lastRenderedPageBreak/>
        <w:t xml:space="preserve">provides specialized education using relevant tools and workshops to aid women in achieving their career-oriented goals (Scotiabank, n.d.). </w:t>
      </w:r>
    </w:p>
    <w:p w14:paraId="6CE712C3" w14:textId="77777777" w:rsidR="009B683A" w:rsidRPr="00E573C2" w:rsidRDefault="009B683A" w:rsidP="009B683A">
      <w:pPr>
        <w:spacing w:after="0" w:line="360" w:lineRule="auto"/>
        <w:jc w:val="both"/>
        <w:rPr>
          <w:rFonts w:cstheme="minorHAnsi"/>
        </w:rPr>
      </w:pPr>
    </w:p>
    <w:p w14:paraId="77C7B45A" w14:textId="77777777" w:rsidR="009B683A" w:rsidRDefault="009B683A" w:rsidP="00081D7D">
      <w:pPr>
        <w:pStyle w:val="SHTB"/>
        <w:pBdr>
          <w:bottom w:val="none" w:sz="0" w:space="0" w:color="auto"/>
        </w:pBdr>
        <w:spacing w:line="240" w:lineRule="auto"/>
        <w:rPr>
          <w:rFonts w:cstheme="minorHAnsi"/>
          <w:b/>
          <w:bCs/>
        </w:rPr>
      </w:pPr>
      <w:r w:rsidRPr="00081D7D">
        <w:rPr>
          <w:rFonts w:asciiTheme="majorHAnsi" w:eastAsiaTheme="majorEastAsia" w:hAnsiTheme="majorHAnsi" w:cstheme="majorBidi"/>
          <w:b/>
          <w:bCs/>
          <w:color w:val="2F5496" w:themeColor="accent1" w:themeShade="BF"/>
          <w:sz w:val="28"/>
          <w:szCs w:val="28"/>
          <w:lang w:val="en-IN"/>
        </w:rPr>
        <w:t>Advisory services</w:t>
      </w:r>
    </w:p>
    <w:p w14:paraId="2AFA9CE3" w14:textId="5B933F05" w:rsidR="009B683A" w:rsidRDefault="009B683A" w:rsidP="009B683A">
      <w:pPr>
        <w:spacing w:after="0" w:line="360" w:lineRule="auto"/>
        <w:jc w:val="both"/>
        <w:rPr>
          <w:rFonts w:cstheme="minorHAnsi"/>
        </w:rPr>
      </w:pPr>
      <w:r>
        <w:rPr>
          <w:rFonts w:cstheme="minorHAnsi"/>
        </w:rPr>
        <w:t>The Scotiabank Women initiative provides women with mentorship and appropriate advisory services, which help them connect with their peers and pursue opportunities for career development and wealth management (Scotiabank, n.d.).</w:t>
      </w:r>
    </w:p>
    <w:p w14:paraId="10FD49EE" w14:textId="77777777" w:rsidR="00081D7D" w:rsidRDefault="00081D7D" w:rsidP="009B683A">
      <w:pPr>
        <w:spacing w:after="0" w:line="360" w:lineRule="auto"/>
        <w:jc w:val="both"/>
        <w:rPr>
          <w:rFonts w:cstheme="minorHAnsi"/>
        </w:rPr>
      </w:pPr>
    </w:p>
    <w:p w14:paraId="6B6184D5" w14:textId="77777777" w:rsidR="009B683A" w:rsidRDefault="009B683A" w:rsidP="009B683A">
      <w:pPr>
        <w:spacing w:after="0" w:line="360" w:lineRule="auto"/>
        <w:jc w:val="both"/>
        <w:rPr>
          <w:rFonts w:cstheme="minorHAnsi"/>
        </w:rPr>
      </w:pPr>
      <w:r>
        <w:rPr>
          <w:rFonts w:cstheme="minorHAnsi"/>
        </w:rPr>
        <w:t>In 2022, Scotiabank committed</w:t>
      </w:r>
      <w:r w:rsidRPr="00FC4E4D">
        <w:rPr>
          <w:rFonts w:cstheme="minorHAnsi"/>
        </w:rPr>
        <w:t xml:space="preserve"> to </w:t>
      </w:r>
      <w:r>
        <w:rPr>
          <w:rFonts w:cstheme="minorHAnsi"/>
        </w:rPr>
        <w:t>providing</w:t>
      </w:r>
      <w:r w:rsidRPr="00FC4E4D">
        <w:rPr>
          <w:rFonts w:cstheme="minorHAnsi"/>
        </w:rPr>
        <w:t xml:space="preserve"> capital to businesses</w:t>
      </w:r>
      <w:r>
        <w:rPr>
          <w:rFonts w:cstheme="minorHAnsi"/>
        </w:rPr>
        <w:t xml:space="preserve"> owned or led by women</w:t>
      </w:r>
      <w:r w:rsidRPr="00FC4E4D">
        <w:rPr>
          <w:rFonts w:cstheme="minorHAnsi"/>
        </w:rPr>
        <w:t xml:space="preserve"> in Canada to $10 billion by 2025</w:t>
      </w:r>
      <w:r>
        <w:rPr>
          <w:rFonts w:cstheme="minorHAnsi"/>
        </w:rPr>
        <w:t xml:space="preserve"> (Scotiabank, 2022, p. 17)</w:t>
      </w:r>
      <w:r w:rsidRPr="00FC4E4D">
        <w:rPr>
          <w:rFonts w:cstheme="minorHAnsi"/>
        </w:rPr>
        <w:t xml:space="preserve">. </w:t>
      </w:r>
      <w:r>
        <w:rPr>
          <w:rFonts w:cstheme="minorHAnsi"/>
        </w:rPr>
        <w:t>The program is also committed to expanding the bank's footprint by 2025 and has launched the initiative in Chile and Jamaica (Scotiabank, 2022, p. 17).</w:t>
      </w:r>
    </w:p>
    <w:p w14:paraId="19711834" w14:textId="77777777" w:rsidR="006E74B6" w:rsidRDefault="006E74B6" w:rsidP="00BD05C1">
      <w:pPr>
        <w:shd w:val="clear" w:color="auto" w:fill="FFFFFF" w:themeFill="background1"/>
        <w:rPr>
          <w:rFonts w:cstheme="minorHAnsi"/>
          <w:b/>
          <w:bCs/>
          <w:color w:val="000000" w:themeColor="text1"/>
          <w:sz w:val="32"/>
          <w:szCs w:val="32"/>
          <w:lang w:val="en-US"/>
        </w:rPr>
      </w:pPr>
    </w:p>
    <w:p w14:paraId="5BB3721B" w14:textId="77777777" w:rsidR="006E74B6" w:rsidRDefault="006E74B6" w:rsidP="00BD05C1">
      <w:pPr>
        <w:shd w:val="clear" w:color="auto" w:fill="FFFFFF" w:themeFill="background1"/>
        <w:rPr>
          <w:rFonts w:cstheme="minorHAnsi"/>
          <w:b/>
          <w:bCs/>
          <w:color w:val="000000" w:themeColor="text1"/>
          <w:sz w:val="32"/>
          <w:szCs w:val="32"/>
          <w:lang w:val="en-US"/>
        </w:rPr>
      </w:pPr>
    </w:p>
    <w:p w14:paraId="7C71F82B" w14:textId="77777777" w:rsidR="006E74B6" w:rsidRDefault="006E74B6" w:rsidP="00BD05C1">
      <w:pPr>
        <w:shd w:val="clear" w:color="auto" w:fill="FFFFFF" w:themeFill="background1"/>
        <w:rPr>
          <w:rFonts w:cstheme="minorHAnsi"/>
          <w:b/>
          <w:bCs/>
          <w:color w:val="000000" w:themeColor="text1"/>
          <w:sz w:val="32"/>
          <w:szCs w:val="32"/>
          <w:lang w:val="en-US"/>
        </w:rPr>
      </w:pPr>
    </w:p>
    <w:p w14:paraId="379E7DEB" w14:textId="77777777" w:rsidR="006E74B6" w:rsidRDefault="006E74B6" w:rsidP="00BD05C1">
      <w:pPr>
        <w:shd w:val="clear" w:color="auto" w:fill="FFFFFF" w:themeFill="background1"/>
        <w:rPr>
          <w:rFonts w:cstheme="minorHAnsi"/>
          <w:b/>
          <w:bCs/>
          <w:color w:val="000000" w:themeColor="text1"/>
          <w:sz w:val="32"/>
          <w:szCs w:val="32"/>
          <w:lang w:val="en-US"/>
        </w:rPr>
      </w:pPr>
    </w:p>
    <w:p w14:paraId="0C2C796D" w14:textId="77777777" w:rsidR="006E74B6" w:rsidRDefault="006E74B6" w:rsidP="00BD05C1">
      <w:pPr>
        <w:shd w:val="clear" w:color="auto" w:fill="FFFFFF" w:themeFill="background1"/>
        <w:rPr>
          <w:rFonts w:cstheme="minorHAnsi"/>
          <w:b/>
          <w:bCs/>
          <w:color w:val="000000" w:themeColor="text1"/>
          <w:sz w:val="32"/>
          <w:szCs w:val="32"/>
          <w:lang w:val="en-US"/>
        </w:rPr>
      </w:pPr>
    </w:p>
    <w:p w14:paraId="6F4BCF68" w14:textId="77777777" w:rsidR="006E74B6" w:rsidRDefault="006E74B6" w:rsidP="00BD05C1">
      <w:pPr>
        <w:shd w:val="clear" w:color="auto" w:fill="FFFFFF" w:themeFill="background1"/>
        <w:rPr>
          <w:rFonts w:cstheme="minorHAnsi"/>
          <w:b/>
          <w:bCs/>
          <w:color w:val="000000" w:themeColor="text1"/>
          <w:sz w:val="32"/>
          <w:szCs w:val="32"/>
          <w:lang w:val="en-US"/>
        </w:rPr>
      </w:pPr>
    </w:p>
    <w:p w14:paraId="26C82167" w14:textId="77777777" w:rsidR="00DC5B20" w:rsidRDefault="00DC5B20" w:rsidP="00BD05C1">
      <w:pPr>
        <w:shd w:val="clear" w:color="auto" w:fill="FFFFFF" w:themeFill="background1"/>
        <w:rPr>
          <w:rFonts w:cstheme="minorHAnsi"/>
          <w:b/>
          <w:bCs/>
          <w:color w:val="000000" w:themeColor="text1"/>
          <w:sz w:val="32"/>
          <w:szCs w:val="32"/>
          <w:lang w:val="en-US"/>
        </w:rPr>
      </w:pPr>
    </w:p>
    <w:p w14:paraId="6F49D71B" w14:textId="77777777" w:rsidR="00081D7D" w:rsidRDefault="00081D7D" w:rsidP="00BD05C1">
      <w:pPr>
        <w:shd w:val="clear" w:color="auto" w:fill="FFFFFF" w:themeFill="background1"/>
        <w:rPr>
          <w:rFonts w:cstheme="minorHAnsi"/>
          <w:b/>
          <w:bCs/>
          <w:color w:val="000000" w:themeColor="text1"/>
          <w:sz w:val="32"/>
          <w:szCs w:val="32"/>
          <w:lang w:val="en-US"/>
        </w:rPr>
      </w:pPr>
    </w:p>
    <w:p w14:paraId="2EBD1A4D" w14:textId="77777777" w:rsidR="00121257" w:rsidRDefault="00121257" w:rsidP="00E64E14">
      <w:pPr>
        <w:pStyle w:val="SHTB"/>
        <w:pBdr>
          <w:bottom w:val="none" w:sz="0" w:space="0" w:color="auto"/>
        </w:pBdr>
        <w:spacing w:line="240" w:lineRule="auto"/>
        <w:rPr>
          <w:rFonts w:asciiTheme="majorHAnsi" w:eastAsiaTheme="majorEastAsia" w:hAnsiTheme="majorHAnsi" w:cstheme="majorBidi"/>
          <w:b/>
          <w:bCs/>
          <w:color w:val="2F5496" w:themeColor="accent1" w:themeShade="BF"/>
          <w:sz w:val="28"/>
          <w:szCs w:val="28"/>
          <w:lang w:val="en-IN"/>
        </w:rPr>
      </w:pPr>
    </w:p>
    <w:p w14:paraId="4579A8D7" w14:textId="77777777" w:rsidR="00121257" w:rsidRDefault="00121257" w:rsidP="00E64E14">
      <w:pPr>
        <w:pStyle w:val="SHTB"/>
        <w:pBdr>
          <w:bottom w:val="none" w:sz="0" w:space="0" w:color="auto"/>
        </w:pBdr>
        <w:spacing w:line="240" w:lineRule="auto"/>
        <w:rPr>
          <w:rFonts w:asciiTheme="majorHAnsi" w:eastAsiaTheme="majorEastAsia" w:hAnsiTheme="majorHAnsi" w:cstheme="majorBidi"/>
          <w:b/>
          <w:bCs/>
          <w:color w:val="2F5496" w:themeColor="accent1" w:themeShade="BF"/>
          <w:sz w:val="28"/>
          <w:szCs w:val="28"/>
          <w:lang w:val="en-IN"/>
        </w:rPr>
      </w:pPr>
    </w:p>
    <w:p w14:paraId="4D408166" w14:textId="77777777" w:rsidR="005335CF" w:rsidRDefault="005335CF" w:rsidP="00121257">
      <w:pPr>
        <w:pStyle w:val="SHTB"/>
        <w:pBdr>
          <w:bottom w:val="none" w:sz="0" w:space="0" w:color="auto"/>
        </w:pBdr>
        <w:spacing w:line="240" w:lineRule="auto"/>
        <w:ind w:left="2880" w:firstLine="720"/>
        <w:rPr>
          <w:rFonts w:asciiTheme="majorHAnsi" w:eastAsiaTheme="majorEastAsia" w:hAnsiTheme="majorHAnsi" w:cstheme="majorBidi"/>
          <w:b/>
          <w:bCs/>
          <w:color w:val="2F5496" w:themeColor="accent1" w:themeShade="BF"/>
          <w:sz w:val="32"/>
          <w:szCs w:val="32"/>
          <w:lang w:val="en-IN"/>
        </w:rPr>
      </w:pPr>
    </w:p>
    <w:p w14:paraId="253C3E0D" w14:textId="77777777" w:rsidR="005335CF" w:rsidRDefault="005335CF" w:rsidP="00121257">
      <w:pPr>
        <w:pStyle w:val="SHTB"/>
        <w:pBdr>
          <w:bottom w:val="none" w:sz="0" w:space="0" w:color="auto"/>
        </w:pBdr>
        <w:spacing w:line="240" w:lineRule="auto"/>
        <w:ind w:left="2880" w:firstLine="720"/>
        <w:rPr>
          <w:rFonts w:asciiTheme="majorHAnsi" w:eastAsiaTheme="majorEastAsia" w:hAnsiTheme="majorHAnsi" w:cstheme="majorBidi"/>
          <w:b/>
          <w:bCs/>
          <w:color w:val="2F5496" w:themeColor="accent1" w:themeShade="BF"/>
          <w:sz w:val="32"/>
          <w:szCs w:val="32"/>
          <w:lang w:val="en-IN"/>
        </w:rPr>
      </w:pPr>
    </w:p>
    <w:p w14:paraId="64742D85" w14:textId="77777777" w:rsidR="004722CF" w:rsidRDefault="004722CF" w:rsidP="005560D3">
      <w:pPr>
        <w:pStyle w:val="Heading1"/>
        <w:ind w:left="2880" w:firstLine="720"/>
        <w:rPr>
          <w:b/>
          <w:bCs/>
        </w:rPr>
      </w:pPr>
      <w:bookmarkStart w:id="25" w:name="_Toc145702371"/>
    </w:p>
    <w:p w14:paraId="3B54F9B2" w14:textId="77777777" w:rsidR="004722CF" w:rsidRDefault="004722CF" w:rsidP="004722CF">
      <w:pPr>
        <w:rPr>
          <w:lang w:val="en-US"/>
        </w:rPr>
      </w:pPr>
    </w:p>
    <w:p w14:paraId="6E2E9E11" w14:textId="77777777" w:rsidR="004722CF" w:rsidRPr="004722CF" w:rsidRDefault="004722CF" w:rsidP="004722CF">
      <w:pPr>
        <w:rPr>
          <w:lang w:val="en-US"/>
        </w:rPr>
      </w:pPr>
    </w:p>
    <w:p w14:paraId="67FEBC0D" w14:textId="03A1778E" w:rsidR="004722CF" w:rsidRDefault="002421D8" w:rsidP="005560D3">
      <w:pPr>
        <w:pStyle w:val="Heading1"/>
        <w:ind w:left="2880" w:firstLine="720"/>
        <w:rPr>
          <w:b/>
          <w:bCs/>
        </w:rPr>
      </w:pPr>
      <w:r w:rsidRPr="005F1362">
        <w:rPr>
          <w:b/>
          <w:bCs/>
        </w:rPr>
        <w:lastRenderedPageBreak/>
        <w:t>Competitive Analysi</w:t>
      </w:r>
      <w:bookmarkStart w:id="26" w:name="_Toc145702372"/>
      <w:bookmarkEnd w:id="25"/>
      <w:r w:rsidR="005560D3">
        <w:rPr>
          <w:b/>
          <w:bCs/>
        </w:rPr>
        <w:t>s</w:t>
      </w:r>
    </w:p>
    <w:p w14:paraId="3383A8AF" w14:textId="04D30F6A" w:rsidR="00BD05C1" w:rsidRPr="00CD54E8" w:rsidRDefault="004722CF" w:rsidP="00E350BB">
      <w:pPr>
        <w:pStyle w:val="Heading1"/>
        <w:spacing w:before="0"/>
        <w:rPr>
          <w:b/>
          <w:bCs/>
        </w:rPr>
      </w:pPr>
      <w:r w:rsidRPr="00CD54E8">
        <w:rPr>
          <w:b/>
          <w:bCs/>
        </w:rPr>
        <w:t>S</w:t>
      </w:r>
      <w:r w:rsidR="00BD05C1" w:rsidRPr="00CD54E8">
        <w:rPr>
          <w:b/>
          <w:bCs/>
        </w:rPr>
        <w:t>WOT Analysis of Scotiabank, TD, CIBC &amp; BMO</w:t>
      </w:r>
      <w:bookmarkEnd w:id="26"/>
    </w:p>
    <w:tbl>
      <w:tblPr>
        <w:tblStyle w:val="GridTable4-Accent1"/>
        <w:tblW w:w="11160" w:type="dxa"/>
        <w:jc w:val="center"/>
        <w:tblLayout w:type="fixed"/>
        <w:tblLook w:val="04A0" w:firstRow="1" w:lastRow="0" w:firstColumn="1" w:lastColumn="0" w:noHBand="0" w:noVBand="1"/>
      </w:tblPr>
      <w:tblGrid>
        <w:gridCol w:w="1413"/>
        <w:gridCol w:w="2835"/>
        <w:gridCol w:w="2268"/>
        <w:gridCol w:w="2410"/>
        <w:gridCol w:w="2234"/>
      </w:tblGrid>
      <w:tr w:rsidR="00BD05C1" w:rsidRPr="00081D7D" w14:paraId="1F5A7695" w14:textId="77777777" w:rsidTr="003E05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A597AC1" w14:textId="77777777" w:rsidR="00BD05C1" w:rsidRPr="00081D7D" w:rsidRDefault="00BD05C1" w:rsidP="00AF1377">
            <w:pPr>
              <w:rPr>
                <w:rFonts w:cstheme="minorHAnsi"/>
                <w:sz w:val="20"/>
                <w:szCs w:val="20"/>
              </w:rPr>
            </w:pPr>
          </w:p>
        </w:tc>
        <w:tc>
          <w:tcPr>
            <w:tcW w:w="2835" w:type="dxa"/>
          </w:tcPr>
          <w:p w14:paraId="15C71748" w14:textId="77777777" w:rsidR="00BD05C1" w:rsidRPr="00081D7D" w:rsidRDefault="00BD05C1" w:rsidP="003E053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81D7D">
              <w:rPr>
                <w:rFonts w:cstheme="minorHAnsi"/>
                <w:sz w:val="20"/>
                <w:szCs w:val="20"/>
              </w:rPr>
              <w:t>SCOTIABANK</w:t>
            </w:r>
          </w:p>
        </w:tc>
        <w:tc>
          <w:tcPr>
            <w:tcW w:w="2268" w:type="dxa"/>
          </w:tcPr>
          <w:p w14:paraId="11D4DE7B" w14:textId="77777777" w:rsidR="00BD05C1" w:rsidRPr="00081D7D" w:rsidRDefault="00BD05C1" w:rsidP="003E053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81D7D">
              <w:rPr>
                <w:rFonts w:cstheme="minorHAnsi"/>
                <w:sz w:val="20"/>
                <w:szCs w:val="20"/>
              </w:rPr>
              <w:t>TD</w:t>
            </w:r>
          </w:p>
        </w:tc>
        <w:tc>
          <w:tcPr>
            <w:tcW w:w="2410" w:type="dxa"/>
          </w:tcPr>
          <w:p w14:paraId="2E67C670" w14:textId="77777777" w:rsidR="00BD05C1" w:rsidRPr="00081D7D" w:rsidRDefault="00BD05C1" w:rsidP="003E053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81D7D">
              <w:rPr>
                <w:rFonts w:cstheme="minorHAnsi"/>
                <w:sz w:val="20"/>
                <w:szCs w:val="20"/>
              </w:rPr>
              <w:t>CIBC</w:t>
            </w:r>
          </w:p>
        </w:tc>
        <w:tc>
          <w:tcPr>
            <w:tcW w:w="2234" w:type="dxa"/>
          </w:tcPr>
          <w:p w14:paraId="5E34818A" w14:textId="77777777" w:rsidR="00BD05C1" w:rsidRPr="00081D7D" w:rsidRDefault="00BD05C1" w:rsidP="003E053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81D7D">
              <w:rPr>
                <w:rFonts w:cstheme="minorHAnsi"/>
                <w:sz w:val="20"/>
                <w:szCs w:val="20"/>
              </w:rPr>
              <w:t>BMO</w:t>
            </w:r>
          </w:p>
        </w:tc>
      </w:tr>
      <w:tr w:rsidR="00BD05C1" w:rsidRPr="00081D7D" w14:paraId="73D6F48D" w14:textId="77777777" w:rsidTr="003E05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C83F7BC" w14:textId="77777777" w:rsidR="00BD05C1" w:rsidRPr="00081D7D" w:rsidRDefault="00BD05C1" w:rsidP="00AF1377">
            <w:pPr>
              <w:rPr>
                <w:rFonts w:cstheme="minorHAnsi"/>
                <w:b w:val="0"/>
                <w:bCs w:val="0"/>
                <w:sz w:val="20"/>
                <w:szCs w:val="20"/>
              </w:rPr>
            </w:pPr>
            <w:r w:rsidRPr="00081D7D">
              <w:rPr>
                <w:rFonts w:cstheme="minorHAnsi"/>
                <w:sz w:val="20"/>
                <w:szCs w:val="20"/>
              </w:rPr>
              <w:t>STRENGTHS</w:t>
            </w:r>
          </w:p>
        </w:tc>
        <w:tc>
          <w:tcPr>
            <w:tcW w:w="2835" w:type="dxa"/>
          </w:tcPr>
          <w:p w14:paraId="1DC3DDB0" w14:textId="77777777" w:rsidR="00BD05C1" w:rsidRPr="00081D7D" w:rsidRDefault="00BD05C1"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Leading Bank in the Americas:</w:t>
            </w:r>
            <w:r w:rsidRPr="00081D7D">
              <w:rPr>
                <w:rFonts w:cstheme="minorHAnsi"/>
                <w:sz w:val="20"/>
                <w:szCs w:val="20"/>
              </w:rPr>
              <w:t xml:space="preserve"> Over 90% of Scotiabank's earnings come from six diversified markets - Canada, the United States, and the Pacific Alliance (Mexico, Peru, Chile, and Colombia).</w:t>
            </w:r>
          </w:p>
          <w:p w14:paraId="6B183264" w14:textId="77777777" w:rsidR="00081D7D" w:rsidRPr="00081D7D" w:rsidRDefault="00081D7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E1C5C1C" w14:textId="77777777" w:rsidR="00BD05C1" w:rsidRPr="00081D7D" w:rsidRDefault="00BD05C1"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Strong Financial Performance:</w:t>
            </w:r>
            <w:r w:rsidRPr="00081D7D">
              <w:rPr>
                <w:rFonts w:cstheme="minorHAnsi"/>
                <w:sz w:val="20"/>
                <w:szCs w:val="20"/>
              </w:rPr>
              <w:t xml:space="preserve"> Despite economic challenges, the bank achieved an 8% return on equity and 15.6% on an adjusted basis. The bank's Canadian Banking business grew earnings by 15%.</w:t>
            </w:r>
          </w:p>
          <w:p w14:paraId="3AC3FF27" w14:textId="77777777" w:rsidR="00081D7D" w:rsidRPr="00081D7D" w:rsidRDefault="00081D7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106A0B3" w14:textId="77777777" w:rsidR="00BD05C1" w:rsidRDefault="00BD05C1"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Digital Advancements:</w:t>
            </w:r>
            <w:r w:rsidRPr="003E053D">
              <w:rPr>
                <w:rFonts w:cstheme="minorHAnsi"/>
                <w:sz w:val="20"/>
                <w:szCs w:val="20"/>
              </w:rPr>
              <w:t xml:space="preserve"> The bank has invested significantly in its digital offerings, with 50% of retail banking sales now being digital. They've launched new tools and services like their mobile banking app and Advice+.</w:t>
            </w:r>
          </w:p>
          <w:p w14:paraId="19C3CCAB" w14:textId="77777777" w:rsidR="003E053D" w:rsidRPr="003E053D" w:rsidRDefault="003E053D"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64FB6B1" w14:textId="77777777" w:rsidR="00BD05C1" w:rsidRPr="003E053D" w:rsidRDefault="00BD05C1"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Diverse Business Segments:</w:t>
            </w:r>
            <w:r w:rsidRPr="003E053D">
              <w:rPr>
                <w:rFonts w:cstheme="minorHAnsi"/>
                <w:sz w:val="20"/>
                <w:szCs w:val="20"/>
              </w:rPr>
              <w:t xml:space="preserve"> The bank offers various services, including personal and commercial banking, wealth management, corporate and investment banking, and capital markets.</w:t>
            </w:r>
          </w:p>
          <w:p w14:paraId="1EF35D87" w14:textId="77777777" w:rsidR="003E053D" w:rsidRDefault="003E053D"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B20589B" w14:textId="4F66345B" w:rsidR="00BD05C1" w:rsidRPr="003E053D" w:rsidRDefault="00BD05C1"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Community Engagement:</w:t>
            </w:r>
            <w:r w:rsidRPr="003E053D">
              <w:rPr>
                <w:rFonts w:cstheme="minorHAnsi"/>
                <w:sz w:val="20"/>
                <w:szCs w:val="20"/>
              </w:rPr>
              <w:t xml:space="preserve"> Over the past decade, the bank has contributed more than $800 million in community investment, focusing on young people, economic inclusion, and financial literacy.</w:t>
            </w:r>
          </w:p>
          <w:p w14:paraId="72F3DD8A" w14:textId="77777777" w:rsidR="00BD05C1" w:rsidRPr="00081D7D" w:rsidRDefault="00BD05C1" w:rsidP="00081D7D">
            <w:pPr>
              <w:pStyle w:val="ListParagraph"/>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086EFEC" w14:textId="2889D6B1" w:rsidR="00BD05C1" w:rsidRPr="00081D7D" w:rsidRDefault="00000000"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cstheme="minorHAnsi"/>
                  <w:sz w:val="20"/>
                  <w:szCs w:val="20"/>
                </w:rPr>
                <w:id w:val="744998308"/>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Sco22 \l 16393 </w:instrText>
                </w:r>
                <w:r w:rsidR="00BD05C1" w:rsidRPr="00081D7D">
                  <w:rPr>
                    <w:rFonts w:cstheme="minorHAnsi"/>
                    <w:sz w:val="20"/>
                    <w:szCs w:val="20"/>
                  </w:rPr>
                  <w:fldChar w:fldCharType="separate"/>
                </w:r>
                <w:r w:rsidR="00AD2C7A" w:rsidRPr="00081D7D">
                  <w:rPr>
                    <w:rFonts w:cstheme="minorHAnsi"/>
                    <w:noProof/>
                    <w:sz w:val="20"/>
                    <w:szCs w:val="20"/>
                  </w:rPr>
                  <w:t>(Scotiabank, 2022)</w:t>
                </w:r>
                <w:r w:rsidR="00BD05C1" w:rsidRPr="00081D7D">
                  <w:rPr>
                    <w:rFonts w:cstheme="minorHAnsi"/>
                    <w:sz w:val="20"/>
                    <w:szCs w:val="20"/>
                  </w:rPr>
                  <w:fldChar w:fldCharType="end"/>
                </w:r>
              </w:sdtContent>
            </w:sdt>
          </w:p>
        </w:tc>
        <w:tc>
          <w:tcPr>
            <w:tcW w:w="2268" w:type="dxa"/>
          </w:tcPr>
          <w:p w14:paraId="35460BCD" w14:textId="1AE87830" w:rsidR="00081D7D" w:rsidRPr="00081D7D" w:rsidRDefault="00BD05C1"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Strong Financial Performance:</w:t>
            </w:r>
            <w:r w:rsidRPr="00081D7D">
              <w:rPr>
                <w:rFonts w:cstheme="minorHAnsi"/>
                <w:sz w:val="20"/>
                <w:szCs w:val="20"/>
              </w:rPr>
              <w:t xml:space="preserve"> Marking significant growth, TD reported earnings of $17.4 billion ($15.4 billion on an adjusted basis) in 2022</w:t>
            </w:r>
            <w:r w:rsidR="00081D7D" w:rsidRPr="00081D7D">
              <w:rPr>
                <w:rFonts w:cstheme="minorHAnsi"/>
                <w:sz w:val="20"/>
                <w:szCs w:val="20"/>
              </w:rPr>
              <w:t>.</w:t>
            </w:r>
          </w:p>
          <w:p w14:paraId="0EE6EEAF" w14:textId="77777777" w:rsidR="00081D7D" w:rsidRPr="00081D7D" w:rsidRDefault="00081D7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6564A3A" w14:textId="77777777" w:rsidR="00BD05C1" w:rsidRPr="00081D7D" w:rsidRDefault="00BD05C1"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Broad Client Base:</w:t>
            </w:r>
            <w:r w:rsidRPr="00081D7D">
              <w:rPr>
                <w:rFonts w:cstheme="minorHAnsi"/>
                <w:sz w:val="20"/>
                <w:szCs w:val="20"/>
              </w:rPr>
              <w:t xml:space="preserve"> Having 27 million customers worldwide as of 2022, TD is one of North America's largest banks.</w:t>
            </w:r>
          </w:p>
          <w:p w14:paraId="011DAE02" w14:textId="77777777" w:rsidR="00081D7D" w:rsidRDefault="00081D7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683AF50" w14:textId="77777777" w:rsidR="003E053D" w:rsidRPr="00081D7D" w:rsidRDefault="003E053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376A3C35" w14:textId="1EFA3DB3" w:rsidR="00BD05C1" w:rsidRDefault="00BD05C1"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Digital Advancements:</w:t>
            </w:r>
            <w:r w:rsidRPr="00081D7D">
              <w:rPr>
                <w:rFonts w:cstheme="minorHAnsi"/>
                <w:sz w:val="20"/>
                <w:szCs w:val="20"/>
              </w:rPr>
              <w:t xml:space="preserve"> Significant numbers of digital customers demonstrate TD's capabilities and reach.</w:t>
            </w:r>
          </w:p>
          <w:p w14:paraId="10510486" w14:textId="77777777" w:rsidR="003E053D" w:rsidRDefault="003E053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F809919" w14:textId="77777777" w:rsidR="003E053D" w:rsidRDefault="003E053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D102D53" w14:textId="77777777" w:rsidR="003E053D" w:rsidRPr="00081D7D" w:rsidRDefault="003E053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1948C62" w14:textId="77777777" w:rsidR="00BD05C1" w:rsidRPr="003E053D" w:rsidRDefault="00BD05C1"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Strategic Acquisitions:</w:t>
            </w:r>
            <w:r w:rsidRPr="003E053D">
              <w:rPr>
                <w:rFonts w:cstheme="minorHAnsi"/>
                <w:sz w:val="20"/>
                <w:szCs w:val="20"/>
              </w:rPr>
              <w:t xml:space="preserve"> Through these U.S. transactions, TD targets adding scale, capabilities, and over a million new customers to its roster.</w:t>
            </w:r>
          </w:p>
          <w:p w14:paraId="3ADA37E3" w14:textId="3DEB95B6" w:rsidR="00BD05C1" w:rsidRPr="00081D7D" w:rsidRDefault="00000000"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cstheme="minorHAnsi"/>
                  <w:sz w:val="20"/>
                  <w:szCs w:val="20"/>
                </w:rPr>
                <w:id w:val="1527989732"/>
                <w:citation/>
              </w:sdtPr>
              <w:sdtContent>
                <w:r w:rsidR="00BD05C1" w:rsidRPr="00081D7D">
                  <w:rPr>
                    <w:rFonts w:cstheme="minorHAnsi"/>
                    <w:sz w:val="20"/>
                    <w:szCs w:val="20"/>
                  </w:rPr>
                  <w:fldChar w:fldCharType="begin"/>
                </w:r>
                <w:r w:rsidR="00BD05C1" w:rsidRPr="00081D7D">
                  <w:rPr>
                    <w:rFonts w:cstheme="minorHAnsi"/>
                    <w:sz w:val="20"/>
                    <w:szCs w:val="20"/>
                  </w:rPr>
                  <w:instrText xml:space="preserve">CITATION TD22 \l 16393 </w:instrText>
                </w:r>
                <w:r w:rsidR="00BD05C1" w:rsidRPr="00081D7D">
                  <w:rPr>
                    <w:rFonts w:cstheme="minorHAnsi"/>
                    <w:sz w:val="20"/>
                    <w:szCs w:val="20"/>
                  </w:rPr>
                  <w:fldChar w:fldCharType="separate"/>
                </w:r>
                <w:r w:rsidR="00AD2C7A" w:rsidRPr="00081D7D">
                  <w:rPr>
                    <w:rFonts w:cstheme="minorHAnsi"/>
                    <w:noProof/>
                    <w:sz w:val="20"/>
                    <w:szCs w:val="20"/>
                  </w:rPr>
                  <w:t>(TD, 2022)</w:t>
                </w:r>
                <w:r w:rsidR="00BD05C1" w:rsidRPr="00081D7D">
                  <w:rPr>
                    <w:rFonts w:cstheme="minorHAnsi"/>
                    <w:sz w:val="20"/>
                    <w:szCs w:val="20"/>
                  </w:rPr>
                  <w:fldChar w:fldCharType="end"/>
                </w:r>
              </w:sdtContent>
            </w:sdt>
          </w:p>
        </w:tc>
        <w:tc>
          <w:tcPr>
            <w:tcW w:w="2410" w:type="dxa"/>
          </w:tcPr>
          <w:p w14:paraId="609EC05A" w14:textId="77777777" w:rsidR="00BD05C1" w:rsidRDefault="00BD05C1"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Strong Brand Identity:</w:t>
            </w:r>
            <w:r w:rsidRPr="00081D7D">
              <w:rPr>
                <w:rFonts w:cstheme="minorHAnsi"/>
                <w:sz w:val="20"/>
                <w:szCs w:val="20"/>
              </w:rPr>
              <w:t xml:space="preserve"> A financially strong and diverse bank in Canada and the United States, CIBC emphasizes delivering value to its investors.</w:t>
            </w:r>
          </w:p>
          <w:p w14:paraId="390D3486" w14:textId="77777777" w:rsidR="003E053D" w:rsidRPr="00081D7D" w:rsidRDefault="003E053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5462D8A" w14:textId="12BD1234" w:rsidR="00BD05C1" w:rsidRPr="00081D7D" w:rsidRDefault="00BD05C1"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Broad Client Base:</w:t>
            </w:r>
            <w:r w:rsidRPr="00081D7D">
              <w:rPr>
                <w:rFonts w:cstheme="minorHAnsi"/>
                <w:sz w:val="20"/>
                <w:szCs w:val="20"/>
              </w:rPr>
              <w:t xml:space="preserve"> Personal banking, business, public sector, and institutional clients in Canada, the United States, and around the world are served by the bank, </w:t>
            </w:r>
            <w:r w:rsidR="009D3EA8">
              <w:rPr>
                <w:rFonts w:cstheme="minorHAnsi"/>
                <w:sz w:val="20"/>
                <w:szCs w:val="20"/>
              </w:rPr>
              <w:t>totalling</w:t>
            </w:r>
            <w:r w:rsidRPr="00081D7D">
              <w:rPr>
                <w:rFonts w:cstheme="minorHAnsi"/>
                <w:sz w:val="20"/>
                <w:szCs w:val="20"/>
              </w:rPr>
              <w:t xml:space="preserve"> 13 million.</w:t>
            </w:r>
          </w:p>
          <w:p w14:paraId="304DCFBD" w14:textId="77777777" w:rsidR="00BD05C1" w:rsidRPr="003E053D" w:rsidRDefault="00BD05C1"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Financial Performance:</w:t>
            </w:r>
            <w:r w:rsidRPr="003E053D">
              <w:rPr>
                <w:rFonts w:cstheme="minorHAnsi"/>
                <w:sz w:val="20"/>
                <w:szCs w:val="20"/>
              </w:rPr>
              <w:t xml:space="preserve"> A net income of $6.2B was reported by CIBC, along with an adjusted net income of $6.6B. At the same time, the bank has a return on equity of 14.7%, which is impressive.</w:t>
            </w:r>
          </w:p>
          <w:p w14:paraId="34275FE0" w14:textId="77777777" w:rsidR="00BD05C1" w:rsidRPr="003E053D" w:rsidRDefault="00BD05C1"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Diverse Business Segments:</w:t>
            </w:r>
            <w:r w:rsidRPr="003E053D">
              <w:rPr>
                <w:rFonts w:cstheme="minorHAnsi"/>
                <w:sz w:val="20"/>
                <w:szCs w:val="20"/>
              </w:rPr>
              <w:t xml:space="preserve"> From Personal and Business Banking to Commercial Banking and Wealth Management and Capital Markets, CIBC covers all ground.</w:t>
            </w:r>
          </w:p>
          <w:p w14:paraId="160CB4BC" w14:textId="77777777" w:rsidR="003E053D" w:rsidRDefault="003E053D"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595E286" w14:textId="6D2A97C1" w:rsidR="00BD05C1" w:rsidRPr="003E053D" w:rsidRDefault="00BD05C1"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Digital Advancements</w:t>
            </w:r>
            <w:r w:rsidRPr="003E053D">
              <w:rPr>
                <w:rFonts w:cstheme="minorHAnsi"/>
                <w:sz w:val="20"/>
                <w:szCs w:val="20"/>
              </w:rPr>
              <w:t>: Ranked #1 in the J.D. Power Online Banking Satisfaction Study, CIBC has received recognition for its online banking experience.</w:t>
            </w:r>
          </w:p>
          <w:p w14:paraId="422019D4" w14:textId="5C03F229" w:rsidR="00BD05C1" w:rsidRPr="00081D7D" w:rsidRDefault="00000000"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cstheme="minorHAnsi"/>
                  <w:sz w:val="20"/>
                  <w:szCs w:val="20"/>
                </w:rPr>
                <w:id w:val="-828912403"/>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CIB22 \l 16393 </w:instrText>
                </w:r>
                <w:r w:rsidR="00BD05C1" w:rsidRPr="00081D7D">
                  <w:rPr>
                    <w:rFonts w:cstheme="minorHAnsi"/>
                    <w:sz w:val="20"/>
                    <w:szCs w:val="20"/>
                  </w:rPr>
                  <w:fldChar w:fldCharType="separate"/>
                </w:r>
                <w:r w:rsidR="00AD2C7A" w:rsidRPr="00081D7D">
                  <w:rPr>
                    <w:rFonts w:cstheme="minorHAnsi"/>
                    <w:noProof/>
                    <w:sz w:val="20"/>
                    <w:szCs w:val="20"/>
                  </w:rPr>
                  <w:t>(CIBC, 2022)</w:t>
                </w:r>
                <w:r w:rsidR="00BD05C1" w:rsidRPr="00081D7D">
                  <w:rPr>
                    <w:rFonts w:cstheme="minorHAnsi"/>
                    <w:sz w:val="20"/>
                    <w:szCs w:val="20"/>
                  </w:rPr>
                  <w:fldChar w:fldCharType="end"/>
                </w:r>
              </w:sdtContent>
            </w:sdt>
          </w:p>
        </w:tc>
        <w:tc>
          <w:tcPr>
            <w:tcW w:w="2234" w:type="dxa"/>
          </w:tcPr>
          <w:p w14:paraId="648BAA1D" w14:textId="77777777" w:rsidR="00BD05C1" w:rsidRPr="00081D7D" w:rsidRDefault="00BD05C1"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 xml:space="preserve">Historical Significance: </w:t>
            </w:r>
            <w:r w:rsidRPr="00081D7D">
              <w:rPr>
                <w:rFonts w:cstheme="minorHAnsi"/>
                <w:sz w:val="20"/>
                <w:szCs w:val="20"/>
              </w:rPr>
              <w:t>BMO has a proud 205-year history, showcasing its stability and long-standing presence in the financial sector.</w:t>
            </w:r>
          </w:p>
          <w:p w14:paraId="442F8760" w14:textId="77777777" w:rsidR="00081D7D" w:rsidRPr="00081D7D" w:rsidRDefault="00081D7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6759A39" w14:textId="77777777" w:rsidR="00081D7D" w:rsidRPr="00081D7D" w:rsidRDefault="00081D7D"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D09FB0B" w14:textId="6E693DD2" w:rsidR="00BD05C1" w:rsidRPr="00081D7D" w:rsidRDefault="00BD05C1"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Strong Financial Position:</w:t>
            </w:r>
            <w:r w:rsidRPr="00081D7D">
              <w:rPr>
                <w:rFonts w:cstheme="minorHAnsi"/>
                <w:sz w:val="20"/>
                <w:szCs w:val="20"/>
              </w:rPr>
              <w:t xml:space="preserve"> BMO is the eighth largest bank in North America by assets, with total assets of $1.14 trillion.</w:t>
            </w:r>
          </w:p>
          <w:p w14:paraId="7935D83F" w14:textId="77777777" w:rsidR="003E053D" w:rsidRDefault="003E053D"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79FAD00" w14:textId="77777777" w:rsidR="003E053D" w:rsidRDefault="003E053D"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2F0AD09" w14:textId="21B5D456" w:rsidR="00BD05C1" w:rsidRPr="003E053D" w:rsidRDefault="00BD05C1"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Diverse Offerings:</w:t>
            </w:r>
            <w:r w:rsidRPr="003E053D">
              <w:rPr>
                <w:rFonts w:cstheme="minorHAnsi"/>
                <w:sz w:val="20"/>
                <w:szCs w:val="20"/>
              </w:rPr>
              <w:t xml:space="preserve"> BMO provides a broad range of services, including personal and commercial banking, wealth management, global markets, and investment banking.</w:t>
            </w:r>
          </w:p>
          <w:p w14:paraId="462B1C85" w14:textId="77777777" w:rsidR="00BD05C1" w:rsidRPr="003E053D" w:rsidRDefault="00BD05C1"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Broad Client Base:</w:t>
            </w:r>
            <w:r w:rsidRPr="003E053D">
              <w:rPr>
                <w:rFonts w:cstheme="minorHAnsi"/>
                <w:sz w:val="20"/>
                <w:szCs w:val="20"/>
              </w:rPr>
              <w:t xml:space="preserve"> The bank serves twelve million customers across Canada, the U.S., and select global markets.</w:t>
            </w:r>
          </w:p>
          <w:p w14:paraId="3A25D867" w14:textId="77777777" w:rsidR="003E053D" w:rsidRDefault="003E053D"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3B2FD11" w14:textId="77777777" w:rsidR="003E053D" w:rsidRDefault="003E053D"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962CF61" w14:textId="77777777" w:rsidR="003E053D" w:rsidRDefault="003E053D"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EF1E385" w14:textId="64A3578E" w:rsidR="00BD05C1" w:rsidRPr="003E053D" w:rsidRDefault="00BD05C1" w:rsidP="003E053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E053D">
              <w:rPr>
                <w:rFonts w:cstheme="minorHAnsi"/>
                <w:b/>
                <w:bCs/>
                <w:sz w:val="20"/>
                <w:szCs w:val="20"/>
              </w:rPr>
              <w:t>Digital Recognition:</w:t>
            </w:r>
            <w:r w:rsidRPr="003E053D">
              <w:rPr>
                <w:rFonts w:cstheme="minorHAnsi"/>
                <w:sz w:val="20"/>
                <w:szCs w:val="20"/>
              </w:rPr>
              <w:t xml:space="preserve"> BMO has been recognized for its digital capabilities, such as being named the overall leader in The Forrester Digital Experience Review™ for Canadian Mobile Banking Apps in Q4 2022.</w:t>
            </w:r>
          </w:p>
          <w:p w14:paraId="20B250EA" w14:textId="323B41E3" w:rsidR="00BD05C1" w:rsidRPr="00081D7D" w:rsidRDefault="00000000" w:rsidP="00081D7D">
            <w:pPr>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cstheme="minorHAnsi"/>
                  <w:sz w:val="20"/>
                  <w:szCs w:val="20"/>
                </w:rPr>
                <w:id w:val="1245074754"/>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BMO22 \l 16393 </w:instrText>
                </w:r>
                <w:r w:rsidR="00BD05C1" w:rsidRPr="00081D7D">
                  <w:rPr>
                    <w:rFonts w:cstheme="minorHAnsi"/>
                    <w:sz w:val="20"/>
                    <w:szCs w:val="20"/>
                  </w:rPr>
                  <w:fldChar w:fldCharType="separate"/>
                </w:r>
                <w:r w:rsidR="00AD2C7A" w:rsidRPr="00081D7D">
                  <w:rPr>
                    <w:rFonts w:cstheme="minorHAnsi"/>
                    <w:noProof/>
                    <w:sz w:val="20"/>
                    <w:szCs w:val="20"/>
                  </w:rPr>
                  <w:t>(BMO, 2022)</w:t>
                </w:r>
                <w:r w:rsidR="00BD05C1" w:rsidRPr="00081D7D">
                  <w:rPr>
                    <w:rFonts w:cstheme="minorHAnsi"/>
                    <w:sz w:val="20"/>
                    <w:szCs w:val="20"/>
                  </w:rPr>
                  <w:fldChar w:fldCharType="end"/>
                </w:r>
              </w:sdtContent>
            </w:sdt>
          </w:p>
        </w:tc>
      </w:tr>
      <w:tr w:rsidR="00BD05C1" w:rsidRPr="00081D7D" w14:paraId="5162103B" w14:textId="77777777" w:rsidTr="003E053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870B35F" w14:textId="77777777" w:rsidR="00BD05C1" w:rsidRPr="00081D7D" w:rsidRDefault="00BD05C1" w:rsidP="00AF1377">
            <w:pPr>
              <w:rPr>
                <w:rFonts w:cstheme="minorHAnsi"/>
                <w:b w:val="0"/>
                <w:bCs w:val="0"/>
                <w:sz w:val="20"/>
                <w:szCs w:val="20"/>
              </w:rPr>
            </w:pPr>
            <w:r w:rsidRPr="00081D7D">
              <w:rPr>
                <w:rFonts w:cstheme="minorHAnsi"/>
                <w:sz w:val="20"/>
                <w:szCs w:val="20"/>
              </w:rPr>
              <w:t>WEAKNESSES</w:t>
            </w:r>
          </w:p>
        </w:tc>
        <w:tc>
          <w:tcPr>
            <w:tcW w:w="2835" w:type="dxa"/>
          </w:tcPr>
          <w:p w14:paraId="369DF796" w14:textId="77777777" w:rsidR="00BD05C1" w:rsidRPr="003E053D" w:rsidRDefault="00BD05C1" w:rsidP="003E053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053D">
              <w:rPr>
                <w:rFonts w:cstheme="minorHAnsi"/>
                <w:b/>
                <w:bCs/>
                <w:sz w:val="20"/>
                <w:szCs w:val="20"/>
              </w:rPr>
              <w:t>Economic Challenges:</w:t>
            </w:r>
            <w:r w:rsidRPr="003E053D">
              <w:rPr>
                <w:rFonts w:cstheme="minorHAnsi"/>
                <w:sz w:val="20"/>
                <w:szCs w:val="20"/>
              </w:rPr>
              <w:t xml:space="preserve"> The bank encountered difficulties due to persistent financial volatility, geopolitical conflicts, and the lasting impact of the global pandemic.</w:t>
            </w:r>
          </w:p>
          <w:p w14:paraId="1CE3D620" w14:textId="77777777" w:rsidR="003E053D" w:rsidRDefault="003E053D" w:rsidP="003E053D">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B4698D6" w14:textId="77777777" w:rsidR="00E64E14" w:rsidRDefault="00E64E14" w:rsidP="003E053D">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530188C" w14:textId="48EF3C29" w:rsidR="00BD05C1" w:rsidRPr="003E053D" w:rsidRDefault="00BD05C1" w:rsidP="003E053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053D">
              <w:rPr>
                <w:rFonts w:cstheme="minorHAnsi"/>
                <w:b/>
                <w:bCs/>
                <w:sz w:val="20"/>
                <w:szCs w:val="20"/>
              </w:rPr>
              <w:lastRenderedPageBreak/>
              <w:t>Dependence on Key Markets:</w:t>
            </w:r>
            <w:r w:rsidRPr="003E053D">
              <w:rPr>
                <w:rFonts w:cstheme="minorHAnsi"/>
                <w:sz w:val="20"/>
                <w:szCs w:val="20"/>
              </w:rPr>
              <w:t xml:space="preserve"> Despite having a diversified presence, Scotiabank relies heavily on six key markets for a significant portion of its earnings. This conce</w:t>
            </w:r>
            <w:r w:rsidRPr="003E053D">
              <w:rPr>
                <w:rFonts w:cstheme="minorHAnsi"/>
                <w:sz w:val="20"/>
                <w:szCs w:val="20"/>
              </w:rPr>
              <w:softHyphen/>
              <w:t>ntration makes the bank vulnerable</w:t>
            </w:r>
            <w:r w:rsidRPr="003E053D">
              <w:rPr>
                <w:rFonts w:cstheme="minorHAnsi"/>
                <w:sz w:val="20"/>
                <w:szCs w:val="20"/>
              </w:rPr>
              <w:softHyphen/>
              <w:t xml:space="preserve"> to economic fluctuations in these re</w:t>
            </w:r>
            <w:r w:rsidRPr="003E053D">
              <w:rPr>
                <w:rFonts w:cstheme="minorHAnsi"/>
                <w:sz w:val="20"/>
                <w:szCs w:val="20"/>
              </w:rPr>
              <w:softHyphen/>
              <w:t>gions.</w:t>
            </w:r>
          </w:p>
          <w:p w14:paraId="012A91A6" w14:textId="1482005B" w:rsidR="00BD05C1" w:rsidRPr="00081D7D" w:rsidRDefault="00000000" w:rsidP="00AF1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cstheme="minorHAnsi"/>
                  <w:sz w:val="20"/>
                  <w:szCs w:val="20"/>
                </w:rPr>
                <w:id w:val="-1252205143"/>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Sco22 \l 16393 </w:instrText>
                </w:r>
                <w:r w:rsidR="00BD05C1" w:rsidRPr="00081D7D">
                  <w:rPr>
                    <w:rFonts w:cstheme="minorHAnsi"/>
                    <w:sz w:val="20"/>
                    <w:szCs w:val="20"/>
                  </w:rPr>
                  <w:fldChar w:fldCharType="separate"/>
                </w:r>
                <w:r w:rsidR="00AD2C7A" w:rsidRPr="00081D7D">
                  <w:rPr>
                    <w:rFonts w:cstheme="minorHAnsi"/>
                    <w:noProof/>
                    <w:sz w:val="20"/>
                    <w:szCs w:val="20"/>
                  </w:rPr>
                  <w:t>(Scotiabank, 2022)</w:t>
                </w:r>
                <w:r w:rsidR="00BD05C1" w:rsidRPr="00081D7D">
                  <w:rPr>
                    <w:rFonts w:cstheme="minorHAnsi"/>
                    <w:sz w:val="20"/>
                    <w:szCs w:val="20"/>
                  </w:rPr>
                  <w:fldChar w:fldCharType="end"/>
                </w:r>
              </w:sdtContent>
            </w:sdt>
          </w:p>
        </w:tc>
        <w:tc>
          <w:tcPr>
            <w:tcW w:w="2268" w:type="dxa"/>
          </w:tcPr>
          <w:p w14:paraId="5922382A" w14:textId="77777777" w:rsidR="00BD05C1" w:rsidRPr="003E053D" w:rsidRDefault="00BD05C1" w:rsidP="003E053D">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IN"/>
              </w:rPr>
            </w:pPr>
            <w:r w:rsidRPr="003E053D">
              <w:rPr>
                <w:rFonts w:cstheme="minorHAnsi"/>
                <w:b/>
                <w:bCs/>
                <w:sz w:val="20"/>
                <w:szCs w:val="20"/>
                <w:lang w:eastAsia="en-IN"/>
              </w:rPr>
              <w:lastRenderedPageBreak/>
              <w:t>Economic Challenges:</w:t>
            </w:r>
            <w:r w:rsidRPr="003E053D">
              <w:rPr>
                <w:rFonts w:cstheme="minorHAnsi"/>
                <w:sz w:val="20"/>
                <w:szCs w:val="20"/>
                <w:lang w:eastAsia="en-IN"/>
              </w:rPr>
              <w:t xml:space="preserve"> TD, like other banks, faced challenges from the global pandemic, geopolitical conflicts, and rapidly changing economic conditions.</w:t>
            </w:r>
          </w:p>
          <w:p w14:paraId="10D17934" w14:textId="3787C99D"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IN"/>
              </w:rPr>
            </w:pPr>
            <w:r w:rsidRPr="00E64E14">
              <w:rPr>
                <w:rFonts w:cstheme="minorHAnsi"/>
                <w:b/>
                <w:bCs/>
                <w:sz w:val="20"/>
                <w:szCs w:val="20"/>
                <w:lang w:eastAsia="en-IN"/>
              </w:rPr>
              <w:lastRenderedPageBreak/>
              <w:t>Dependence on Key Markets:</w:t>
            </w:r>
            <w:r w:rsidRPr="00E64E14">
              <w:rPr>
                <w:rFonts w:cstheme="minorHAnsi"/>
                <w:sz w:val="20"/>
                <w:szCs w:val="20"/>
                <w:lang w:eastAsia="en-IN"/>
              </w:rPr>
              <w:t xml:space="preserve"> While TD has a diversified presence, its primary operations are </w:t>
            </w:r>
            <w:r w:rsidR="009D3EA8">
              <w:rPr>
                <w:rFonts w:cstheme="minorHAnsi"/>
                <w:sz w:val="20"/>
                <w:szCs w:val="20"/>
                <w:lang w:eastAsia="en-IN"/>
              </w:rPr>
              <w:t>centred</w:t>
            </w:r>
            <w:r w:rsidRPr="00E64E14">
              <w:rPr>
                <w:rFonts w:cstheme="minorHAnsi"/>
                <w:sz w:val="20"/>
                <w:szCs w:val="20"/>
                <w:lang w:eastAsia="en-IN"/>
              </w:rPr>
              <w:t xml:space="preserve"> in North America, making it susceptible to economic fluctuations in this region.</w:t>
            </w:r>
          </w:p>
          <w:p w14:paraId="4F238BF1" w14:textId="6B2D16EE" w:rsidR="00BD05C1" w:rsidRPr="00081D7D" w:rsidRDefault="00000000" w:rsidP="00AF1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cstheme="minorHAnsi"/>
                  <w:sz w:val="20"/>
                  <w:szCs w:val="20"/>
                </w:rPr>
                <w:id w:val="9189369"/>
                <w:citation/>
              </w:sdtPr>
              <w:sdtContent>
                <w:r w:rsidR="00BD05C1" w:rsidRPr="00081D7D">
                  <w:rPr>
                    <w:rFonts w:cstheme="minorHAnsi"/>
                    <w:sz w:val="20"/>
                    <w:szCs w:val="20"/>
                  </w:rPr>
                  <w:fldChar w:fldCharType="begin"/>
                </w:r>
                <w:r w:rsidR="00BD05C1" w:rsidRPr="00081D7D">
                  <w:rPr>
                    <w:rFonts w:cstheme="minorHAnsi"/>
                    <w:sz w:val="20"/>
                    <w:szCs w:val="20"/>
                  </w:rPr>
                  <w:instrText xml:space="preserve">CITATION TD22 \l 16393 </w:instrText>
                </w:r>
                <w:r w:rsidR="00BD05C1" w:rsidRPr="00081D7D">
                  <w:rPr>
                    <w:rFonts w:cstheme="minorHAnsi"/>
                    <w:sz w:val="20"/>
                    <w:szCs w:val="20"/>
                  </w:rPr>
                  <w:fldChar w:fldCharType="separate"/>
                </w:r>
                <w:r w:rsidR="00AD2C7A" w:rsidRPr="00081D7D">
                  <w:rPr>
                    <w:rFonts w:cstheme="minorHAnsi"/>
                    <w:noProof/>
                    <w:sz w:val="20"/>
                    <w:szCs w:val="20"/>
                  </w:rPr>
                  <w:t>(TD, 2022)</w:t>
                </w:r>
                <w:r w:rsidR="00BD05C1" w:rsidRPr="00081D7D">
                  <w:rPr>
                    <w:rFonts w:cstheme="minorHAnsi"/>
                    <w:sz w:val="20"/>
                    <w:szCs w:val="20"/>
                  </w:rPr>
                  <w:fldChar w:fldCharType="end"/>
                </w:r>
              </w:sdtContent>
            </w:sdt>
          </w:p>
        </w:tc>
        <w:tc>
          <w:tcPr>
            <w:tcW w:w="2410" w:type="dxa"/>
          </w:tcPr>
          <w:p w14:paraId="21BC8467" w14:textId="77777777" w:rsidR="00BD05C1" w:rsidRPr="003E053D" w:rsidRDefault="00BD05C1" w:rsidP="003E053D">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IN"/>
              </w:rPr>
            </w:pPr>
            <w:r w:rsidRPr="003E053D">
              <w:rPr>
                <w:rFonts w:cstheme="minorHAnsi"/>
                <w:b/>
                <w:bCs/>
                <w:sz w:val="20"/>
                <w:szCs w:val="20"/>
                <w:lang w:eastAsia="en-IN"/>
              </w:rPr>
              <w:lastRenderedPageBreak/>
              <w:t>Decrease in Earnings Per Share:</w:t>
            </w:r>
            <w:r w:rsidRPr="003E053D">
              <w:rPr>
                <w:rFonts w:cstheme="minorHAnsi"/>
                <w:sz w:val="20"/>
                <w:szCs w:val="20"/>
                <w:lang w:eastAsia="en-IN"/>
              </w:rPr>
              <w:t xml:space="preserve"> CIBC reported a decrease in its earnings per share from the previous year, with a reported EPS of $6.68 in 2022, down 4% from 2021.</w:t>
            </w:r>
          </w:p>
          <w:p w14:paraId="583033D1" w14:textId="63CFB789"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IN"/>
              </w:rPr>
            </w:pPr>
            <w:r w:rsidRPr="00E64E14">
              <w:rPr>
                <w:rFonts w:cstheme="minorHAnsi"/>
                <w:b/>
                <w:bCs/>
                <w:sz w:val="20"/>
                <w:szCs w:val="20"/>
                <w:lang w:eastAsia="en-IN"/>
              </w:rPr>
              <w:lastRenderedPageBreak/>
              <w:t>Negative Operating Leverage:</w:t>
            </w:r>
            <w:r w:rsidRPr="00E64E14">
              <w:rPr>
                <w:rFonts w:cstheme="minorHAnsi"/>
                <w:sz w:val="20"/>
                <w:szCs w:val="20"/>
                <w:lang w:eastAsia="en-IN"/>
              </w:rPr>
              <w:t xml:space="preserve"> The bank reported a negative operating leverage of (</w:t>
            </w:r>
            <w:r w:rsidR="005F1362" w:rsidRPr="00E64E14">
              <w:rPr>
                <w:rFonts w:cstheme="minorHAnsi"/>
                <w:sz w:val="20"/>
                <w:szCs w:val="20"/>
                <w:lang w:eastAsia="en-IN"/>
              </w:rPr>
              <w:t>1.9) %</w:t>
            </w:r>
            <w:r w:rsidRPr="00E64E14">
              <w:rPr>
                <w:rFonts w:cstheme="minorHAnsi"/>
                <w:sz w:val="20"/>
                <w:szCs w:val="20"/>
                <w:lang w:eastAsia="en-IN"/>
              </w:rPr>
              <w:t xml:space="preserve"> in 2022, indicating a decrease in efficiency.</w:t>
            </w:r>
          </w:p>
          <w:p w14:paraId="4C40AEF1" w14:textId="65264A2B" w:rsidR="00BD05C1" w:rsidRPr="00081D7D" w:rsidRDefault="00000000" w:rsidP="00AF1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cstheme="minorHAnsi"/>
                  <w:sz w:val="20"/>
                  <w:szCs w:val="20"/>
                </w:rPr>
                <w:id w:val="1088658485"/>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CIB22 \l 16393 </w:instrText>
                </w:r>
                <w:r w:rsidR="00BD05C1" w:rsidRPr="00081D7D">
                  <w:rPr>
                    <w:rFonts w:cstheme="minorHAnsi"/>
                    <w:sz w:val="20"/>
                    <w:szCs w:val="20"/>
                  </w:rPr>
                  <w:fldChar w:fldCharType="separate"/>
                </w:r>
                <w:r w:rsidR="00AD2C7A" w:rsidRPr="00081D7D">
                  <w:rPr>
                    <w:rFonts w:cstheme="minorHAnsi"/>
                    <w:noProof/>
                    <w:sz w:val="20"/>
                    <w:szCs w:val="20"/>
                  </w:rPr>
                  <w:t>(CIBC, 2022)</w:t>
                </w:r>
                <w:r w:rsidR="00BD05C1" w:rsidRPr="00081D7D">
                  <w:rPr>
                    <w:rFonts w:cstheme="minorHAnsi"/>
                    <w:sz w:val="20"/>
                    <w:szCs w:val="20"/>
                  </w:rPr>
                  <w:fldChar w:fldCharType="end"/>
                </w:r>
              </w:sdtContent>
            </w:sdt>
          </w:p>
        </w:tc>
        <w:tc>
          <w:tcPr>
            <w:tcW w:w="2234" w:type="dxa"/>
          </w:tcPr>
          <w:p w14:paraId="68844178" w14:textId="77777777" w:rsidR="00BD05C1" w:rsidRPr="003E053D" w:rsidRDefault="00BD05C1" w:rsidP="003E053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E053D">
              <w:rPr>
                <w:rFonts w:cstheme="minorHAnsi"/>
                <w:sz w:val="20"/>
                <w:szCs w:val="20"/>
              </w:rPr>
              <w:lastRenderedPageBreak/>
              <w:t>There are possible difficulties with implementing International Financial Reporting Standards (IFRS) in various international business activities.</w:t>
            </w:r>
          </w:p>
          <w:p w14:paraId="34D08457" w14:textId="77777777"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4E14">
              <w:rPr>
                <w:rFonts w:cstheme="minorHAnsi"/>
                <w:sz w:val="20"/>
                <w:szCs w:val="20"/>
              </w:rPr>
              <w:lastRenderedPageBreak/>
              <w:t>Considerable attention is required for enterprise-wide risk management strategies.</w:t>
            </w:r>
          </w:p>
          <w:p w14:paraId="5C212044" w14:textId="77777777" w:rsid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E71DF16" w14:textId="76169A0F"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4E14">
              <w:rPr>
                <w:rFonts w:cstheme="minorHAnsi"/>
                <w:sz w:val="20"/>
                <w:szCs w:val="20"/>
              </w:rPr>
              <w:t>Complex financial reporting</w:t>
            </w:r>
          </w:p>
          <w:p w14:paraId="318834E5" w14:textId="64B06010" w:rsidR="00BD05C1" w:rsidRPr="00081D7D" w:rsidRDefault="00000000" w:rsidP="00AF1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cstheme="minorHAnsi"/>
                  <w:sz w:val="20"/>
                  <w:szCs w:val="20"/>
                </w:rPr>
                <w:id w:val="1018885826"/>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BMO22 \l 16393 </w:instrText>
                </w:r>
                <w:r w:rsidR="00BD05C1" w:rsidRPr="00081D7D">
                  <w:rPr>
                    <w:rFonts w:cstheme="minorHAnsi"/>
                    <w:sz w:val="20"/>
                    <w:szCs w:val="20"/>
                  </w:rPr>
                  <w:fldChar w:fldCharType="separate"/>
                </w:r>
                <w:r w:rsidR="00AD2C7A" w:rsidRPr="00081D7D">
                  <w:rPr>
                    <w:rFonts w:cstheme="minorHAnsi"/>
                    <w:noProof/>
                    <w:sz w:val="20"/>
                    <w:szCs w:val="20"/>
                  </w:rPr>
                  <w:t>(BMO, 2022)</w:t>
                </w:r>
                <w:r w:rsidR="00BD05C1" w:rsidRPr="00081D7D">
                  <w:rPr>
                    <w:rFonts w:cstheme="minorHAnsi"/>
                    <w:sz w:val="20"/>
                    <w:szCs w:val="20"/>
                  </w:rPr>
                  <w:fldChar w:fldCharType="end"/>
                </w:r>
              </w:sdtContent>
            </w:sdt>
          </w:p>
        </w:tc>
      </w:tr>
      <w:tr w:rsidR="00BD05C1" w:rsidRPr="00081D7D" w14:paraId="4C9DFA68" w14:textId="77777777" w:rsidTr="003E05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A157582" w14:textId="77777777" w:rsidR="00BD05C1" w:rsidRPr="00081D7D" w:rsidRDefault="00BD05C1" w:rsidP="00AF1377">
            <w:pPr>
              <w:rPr>
                <w:rFonts w:cstheme="minorHAnsi"/>
                <w:b w:val="0"/>
                <w:bCs w:val="0"/>
                <w:sz w:val="20"/>
                <w:szCs w:val="20"/>
              </w:rPr>
            </w:pPr>
            <w:r w:rsidRPr="00081D7D">
              <w:rPr>
                <w:rFonts w:cstheme="minorHAnsi"/>
                <w:sz w:val="20"/>
                <w:szCs w:val="20"/>
              </w:rPr>
              <w:lastRenderedPageBreak/>
              <w:t>OPPORTUNITIES</w:t>
            </w:r>
          </w:p>
        </w:tc>
        <w:tc>
          <w:tcPr>
            <w:tcW w:w="2835" w:type="dxa"/>
          </w:tcPr>
          <w:p w14:paraId="6449E067" w14:textId="6C8D6054"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b/>
                <w:bCs/>
                <w:sz w:val="20"/>
                <w:szCs w:val="20"/>
              </w:rPr>
              <w:t>Sustainable Finance:</w:t>
            </w:r>
            <w:r w:rsidRPr="00E64E14">
              <w:rPr>
                <w:rFonts w:cstheme="minorHAnsi"/>
                <w:sz w:val="20"/>
                <w:szCs w:val="20"/>
              </w:rPr>
              <w:t xml:space="preserve"> Scotiabank has established a prominent position in the field of sustainable finance, providing valuable support to clients as they navigate their way toward a more sustainable future. The bank's commitment and dedication have been duly </w:t>
            </w:r>
            <w:r w:rsidR="005F1362" w:rsidRPr="00E64E14">
              <w:rPr>
                <w:rFonts w:cstheme="minorHAnsi"/>
                <w:sz w:val="20"/>
                <w:szCs w:val="20"/>
              </w:rPr>
              <w:t>acknowledged;</w:t>
            </w:r>
            <w:r w:rsidRPr="00E64E14">
              <w:rPr>
                <w:rFonts w:cstheme="minorHAnsi"/>
                <w:sz w:val="20"/>
                <w:szCs w:val="20"/>
              </w:rPr>
              <w:t xml:space="preserve"> with prestigious accolades such as being named North America's Best Bank for Sustainable Finance.</w:t>
            </w:r>
          </w:p>
          <w:p w14:paraId="60E72136"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132CA01" w14:textId="3611B8B1"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b/>
                <w:bCs/>
                <w:sz w:val="20"/>
                <w:szCs w:val="20"/>
              </w:rPr>
              <w:t>Digital Transformation:</w:t>
            </w:r>
            <w:r w:rsidRPr="00E64E14">
              <w:rPr>
                <w:rFonts w:cstheme="minorHAnsi"/>
                <w:sz w:val="20"/>
                <w:szCs w:val="20"/>
              </w:rPr>
              <w:t xml:space="preserve"> Investing in digital tools and platforms can significantly improve the customer experience and foster business growth.</w:t>
            </w:r>
          </w:p>
          <w:p w14:paraId="3AE02927"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47C4223" w14:textId="5A599CC5"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b/>
                <w:bCs/>
                <w:sz w:val="20"/>
                <w:szCs w:val="20"/>
              </w:rPr>
              <w:t>Community Initiatives:</w:t>
            </w:r>
            <w:r w:rsidRPr="00E64E14">
              <w:rPr>
                <w:rFonts w:cstheme="minorHAnsi"/>
                <w:sz w:val="20"/>
                <w:szCs w:val="20"/>
              </w:rPr>
              <w:t xml:space="preserve"> The bank has launched the ScotiaRISE program, which is a $500 million commitment aimed at promoting economic resilience. This initiative presents various opportunities for community engagement and making positive impacts.</w:t>
            </w:r>
          </w:p>
          <w:p w14:paraId="7E01EDE9" w14:textId="1AC955EB" w:rsidR="00BD05C1" w:rsidRPr="00081D7D" w:rsidRDefault="00000000" w:rsidP="00AF13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cstheme="minorHAnsi"/>
                  <w:sz w:val="20"/>
                  <w:szCs w:val="20"/>
                </w:rPr>
                <w:id w:val="965928275"/>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Sco22 \l 16393 </w:instrText>
                </w:r>
                <w:r w:rsidR="00BD05C1" w:rsidRPr="00081D7D">
                  <w:rPr>
                    <w:rFonts w:cstheme="minorHAnsi"/>
                    <w:sz w:val="20"/>
                    <w:szCs w:val="20"/>
                  </w:rPr>
                  <w:fldChar w:fldCharType="separate"/>
                </w:r>
                <w:r w:rsidR="00AD2C7A" w:rsidRPr="00081D7D">
                  <w:rPr>
                    <w:rFonts w:cstheme="minorHAnsi"/>
                    <w:noProof/>
                    <w:sz w:val="20"/>
                    <w:szCs w:val="20"/>
                  </w:rPr>
                  <w:t>(Scotiabank, 2022)</w:t>
                </w:r>
                <w:r w:rsidR="00BD05C1" w:rsidRPr="00081D7D">
                  <w:rPr>
                    <w:rFonts w:cstheme="minorHAnsi"/>
                    <w:sz w:val="20"/>
                    <w:szCs w:val="20"/>
                  </w:rPr>
                  <w:fldChar w:fldCharType="end"/>
                </w:r>
              </w:sdtContent>
            </w:sdt>
          </w:p>
        </w:tc>
        <w:tc>
          <w:tcPr>
            <w:tcW w:w="2268" w:type="dxa"/>
          </w:tcPr>
          <w:p w14:paraId="2B110E00" w14:textId="0EAD3E98"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sz w:val="20"/>
                <w:szCs w:val="20"/>
              </w:rPr>
              <w:t xml:space="preserve">Digital </w:t>
            </w:r>
            <w:r w:rsidR="005F1362" w:rsidRPr="00E64E14">
              <w:rPr>
                <w:rFonts w:cstheme="minorHAnsi"/>
                <w:sz w:val="20"/>
                <w:szCs w:val="20"/>
              </w:rPr>
              <w:t>Transformation The</w:t>
            </w:r>
            <w:r w:rsidRPr="00E64E14">
              <w:rPr>
                <w:rFonts w:cstheme="minorHAnsi"/>
                <w:sz w:val="20"/>
                <w:szCs w:val="20"/>
              </w:rPr>
              <w:t xml:space="preserve"> e</w:t>
            </w:r>
            <w:r w:rsidRPr="00E64E14">
              <w:rPr>
                <w:rFonts w:cstheme="minorHAnsi"/>
                <w:sz w:val="20"/>
                <w:szCs w:val="20"/>
              </w:rPr>
              <w:softHyphen/>
              <w:t>mphasis that TD places on digital advancements and its large</w:t>
            </w:r>
            <w:r w:rsidRPr="00E64E14">
              <w:rPr>
                <w:rFonts w:cstheme="minorHAnsi"/>
                <w:sz w:val="20"/>
                <w:szCs w:val="20"/>
              </w:rPr>
              <w:softHyphen/>
              <w:t xml:space="preserve"> base of active digital customers sugge</w:t>
            </w:r>
            <w:r w:rsidRPr="00E64E14">
              <w:rPr>
                <w:rFonts w:cstheme="minorHAnsi"/>
                <w:sz w:val="20"/>
                <w:szCs w:val="20"/>
              </w:rPr>
              <w:softHyphen/>
              <w:t>sts promising opportunities for growth in the realm of digital banking.</w:t>
            </w:r>
          </w:p>
          <w:p w14:paraId="447E31E4"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42BB4C7"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6BEA98C"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E0BA01C"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852EC18" w14:textId="2B7B2372"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b/>
                <w:bCs/>
                <w:sz w:val="20"/>
                <w:szCs w:val="20"/>
              </w:rPr>
              <w:t>Sustainable Finance:</w:t>
            </w:r>
            <w:r w:rsidRPr="00E64E14">
              <w:rPr>
                <w:rFonts w:cstheme="minorHAnsi"/>
                <w:sz w:val="20"/>
                <w:szCs w:val="20"/>
              </w:rPr>
              <w:t xml:space="preserve"> TD is dedicated to fostering a sustainable and inclusive future. Their Global Climate Action Plan and other ESG initiatives demonstrate this commitment, offering growth opportunities and community engagement.</w:t>
            </w:r>
          </w:p>
          <w:p w14:paraId="3038233F" w14:textId="29A9E8AE" w:rsidR="00BD05C1" w:rsidRPr="00081D7D" w:rsidRDefault="00000000" w:rsidP="00AF13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cstheme="minorHAnsi"/>
                  <w:sz w:val="20"/>
                  <w:szCs w:val="20"/>
                </w:rPr>
                <w:id w:val="-231163695"/>
                <w:citation/>
              </w:sdtPr>
              <w:sdtContent>
                <w:r w:rsidR="00BD05C1" w:rsidRPr="00081D7D">
                  <w:rPr>
                    <w:rFonts w:cstheme="minorHAnsi"/>
                    <w:sz w:val="20"/>
                    <w:szCs w:val="20"/>
                  </w:rPr>
                  <w:fldChar w:fldCharType="begin"/>
                </w:r>
                <w:r w:rsidR="00BD05C1" w:rsidRPr="00081D7D">
                  <w:rPr>
                    <w:rFonts w:cstheme="minorHAnsi"/>
                    <w:sz w:val="20"/>
                    <w:szCs w:val="20"/>
                  </w:rPr>
                  <w:instrText xml:space="preserve">CITATION TD22 \l 16393 </w:instrText>
                </w:r>
                <w:r w:rsidR="00BD05C1" w:rsidRPr="00081D7D">
                  <w:rPr>
                    <w:rFonts w:cstheme="minorHAnsi"/>
                    <w:sz w:val="20"/>
                    <w:szCs w:val="20"/>
                  </w:rPr>
                  <w:fldChar w:fldCharType="separate"/>
                </w:r>
                <w:r w:rsidR="00AD2C7A" w:rsidRPr="00081D7D">
                  <w:rPr>
                    <w:rFonts w:cstheme="minorHAnsi"/>
                    <w:noProof/>
                    <w:sz w:val="20"/>
                    <w:szCs w:val="20"/>
                  </w:rPr>
                  <w:t>(TD, 2022)</w:t>
                </w:r>
                <w:r w:rsidR="00BD05C1" w:rsidRPr="00081D7D">
                  <w:rPr>
                    <w:rFonts w:cstheme="minorHAnsi"/>
                    <w:sz w:val="20"/>
                    <w:szCs w:val="20"/>
                  </w:rPr>
                  <w:fldChar w:fldCharType="end"/>
                </w:r>
              </w:sdtContent>
            </w:sdt>
          </w:p>
        </w:tc>
        <w:tc>
          <w:tcPr>
            <w:tcW w:w="2410" w:type="dxa"/>
          </w:tcPr>
          <w:p w14:paraId="287938AA" w14:textId="3A1E7B20"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b/>
                <w:bCs/>
                <w:sz w:val="20"/>
                <w:szCs w:val="20"/>
              </w:rPr>
              <w:t>ESG Commitment:</w:t>
            </w:r>
            <w:r w:rsidRPr="00E64E14">
              <w:rPr>
                <w:rFonts w:cstheme="minorHAnsi"/>
                <w:sz w:val="20"/>
                <w:szCs w:val="20"/>
              </w:rPr>
              <w:t xml:space="preserve"> CIBC has dedicated efforts towards their ESG commitments, actively focusing on building integrity, trust, and access to opportunities and accelerating climate action. Their initiatives include </w:t>
            </w:r>
            <w:r w:rsidR="005F1362" w:rsidRPr="00E64E14">
              <w:rPr>
                <w:rFonts w:cstheme="minorHAnsi"/>
                <w:sz w:val="20"/>
                <w:szCs w:val="20"/>
              </w:rPr>
              <w:t xml:space="preserve">Carbon </w:t>
            </w:r>
            <w:r w:rsidR="007B4F04">
              <w:rPr>
                <w:rFonts w:cstheme="minorHAnsi"/>
                <w:sz w:val="20"/>
                <w:szCs w:val="20"/>
              </w:rPr>
              <w:t>Place</w:t>
            </w:r>
            <w:r w:rsidRPr="00E64E14">
              <w:rPr>
                <w:rFonts w:cstheme="minorHAnsi"/>
                <w:sz w:val="20"/>
                <w:szCs w:val="20"/>
              </w:rPr>
              <w:t xml:space="preserve">, a platform for voluntary carbon credits, and partnerships to lessen the digital skills gap. </w:t>
            </w:r>
          </w:p>
          <w:p w14:paraId="4D7F8DED" w14:textId="77777777"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b/>
                <w:bCs/>
                <w:sz w:val="20"/>
                <w:szCs w:val="20"/>
              </w:rPr>
              <w:t>Investments in Climate Technology:</w:t>
            </w:r>
            <w:r w:rsidRPr="00E64E14">
              <w:rPr>
                <w:rFonts w:cstheme="minorHAnsi"/>
                <w:sz w:val="20"/>
                <w:szCs w:val="20"/>
              </w:rPr>
              <w:t xml:space="preserve"> CIBC plans to invest $100 million in limited partnership investments for climate technology and energy transition funds. </w:t>
            </w:r>
          </w:p>
          <w:p w14:paraId="31749178" w14:textId="77777777"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b/>
                <w:bCs/>
                <w:sz w:val="20"/>
                <w:szCs w:val="20"/>
              </w:rPr>
              <w:t>Client-Centric Approach:</w:t>
            </w:r>
            <w:r w:rsidRPr="00E64E14">
              <w:rPr>
                <w:rFonts w:cstheme="minorHAnsi"/>
                <w:sz w:val="20"/>
                <w:szCs w:val="20"/>
              </w:rPr>
              <w:t xml:space="preserve"> With a focal point on high-growth, high-touch customer segments, building future differentiators and digital investments, CIBC's approach is all about enhancing client experience.</w:t>
            </w:r>
          </w:p>
          <w:p w14:paraId="5FFD704C" w14:textId="25C620EA" w:rsidR="00BD05C1" w:rsidRPr="00081D7D" w:rsidRDefault="00000000" w:rsidP="00AF13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cstheme="minorHAnsi"/>
                  <w:sz w:val="20"/>
                  <w:szCs w:val="20"/>
                </w:rPr>
                <w:id w:val="-983312537"/>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CIB22 \l 16393 </w:instrText>
                </w:r>
                <w:r w:rsidR="00BD05C1" w:rsidRPr="00081D7D">
                  <w:rPr>
                    <w:rFonts w:cstheme="minorHAnsi"/>
                    <w:sz w:val="20"/>
                    <w:szCs w:val="20"/>
                  </w:rPr>
                  <w:fldChar w:fldCharType="separate"/>
                </w:r>
                <w:r w:rsidR="00AD2C7A" w:rsidRPr="00081D7D">
                  <w:rPr>
                    <w:rFonts w:cstheme="minorHAnsi"/>
                    <w:noProof/>
                    <w:sz w:val="20"/>
                    <w:szCs w:val="20"/>
                  </w:rPr>
                  <w:t>(CIBC, 2022)</w:t>
                </w:r>
                <w:r w:rsidR="00BD05C1" w:rsidRPr="00081D7D">
                  <w:rPr>
                    <w:rFonts w:cstheme="minorHAnsi"/>
                    <w:sz w:val="20"/>
                    <w:szCs w:val="20"/>
                  </w:rPr>
                  <w:fldChar w:fldCharType="end"/>
                </w:r>
              </w:sdtContent>
            </w:sdt>
          </w:p>
        </w:tc>
        <w:tc>
          <w:tcPr>
            <w:tcW w:w="2234" w:type="dxa"/>
          </w:tcPr>
          <w:p w14:paraId="18CA0D4C" w14:textId="77777777"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sz w:val="20"/>
                <w:szCs w:val="20"/>
              </w:rPr>
              <w:t>Prospective economic advancements and projections for 2023.</w:t>
            </w:r>
          </w:p>
          <w:p w14:paraId="22F3007D"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7B5EC43"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3F9B6DD5"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1830E41"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AFFA61A"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A1E750A"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B8DF1D8"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AA2F6FC"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6C1EFA8"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80A83AA"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22708A4"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A6CCF7D" w14:textId="1669C13D"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sz w:val="20"/>
                <w:szCs w:val="20"/>
              </w:rPr>
              <w:t>Potential collaborations with other financial institutions or industries.</w:t>
            </w:r>
          </w:p>
          <w:p w14:paraId="199FE84D"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FE0C92F"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0797AE05" w14:textId="77777777" w:rsidR="00E64E14" w:rsidRDefault="00E64E14"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B60AEB3" w14:textId="7D92E63D" w:rsidR="00BD05C1" w:rsidRPr="00E64E14" w:rsidRDefault="00BD05C1" w:rsidP="00E64E1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64E14">
              <w:rPr>
                <w:rFonts w:cstheme="minorHAnsi"/>
                <w:sz w:val="20"/>
                <w:szCs w:val="20"/>
              </w:rPr>
              <w:t>Emphasis on proactive measures to address uncertainties and potential occurrences.</w:t>
            </w:r>
          </w:p>
          <w:p w14:paraId="271ADD06" w14:textId="11642340" w:rsidR="00BD05C1" w:rsidRPr="00081D7D" w:rsidRDefault="00000000" w:rsidP="00AF13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sdt>
              <w:sdtPr>
                <w:rPr>
                  <w:rFonts w:cstheme="minorHAnsi"/>
                  <w:sz w:val="20"/>
                  <w:szCs w:val="20"/>
                </w:rPr>
                <w:id w:val="-1478691408"/>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BMO22 \l 16393 </w:instrText>
                </w:r>
                <w:r w:rsidR="00BD05C1" w:rsidRPr="00081D7D">
                  <w:rPr>
                    <w:rFonts w:cstheme="minorHAnsi"/>
                    <w:sz w:val="20"/>
                    <w:szCs w:val="20"/>
                  </w:rPr>
                  <w:fldChar w:fldCharType="separate"/>
                </w:r>
                <w:r w:rsidR="00AD2C7A" w:rsidRPr="00081D7D">
                  <w:rPr>
                    <w:rFonts w:cstheme="minorHAnsi"/>
                    <w:noProof/>
                    <w:sz w:val="20"/>
                    <w:szCs w:val="20"/>
                  </w:rPr>
                  <w:t>(BMO, 2022)</w:t>
                </w:r>
                <w:r w:rsidR="00BD05C1" w:rsidRPr="00081D7D">
                  <w:rPr>
                    <w:rFonts w:cstheme="minorHAnsi"/>
                    <w:sz w:val="20"/>
                    <w:szCs w:val="20"/>
                  </w:rPr>
                  <w:fldChar w:fldCharType="end"/>
                </w:r>
              </w:sdtContent>
            </w:sdt>
          </w:p>
        </w:tc>
      </w:tr>
      <w:tr w:rsidR="00BD05C1" w:rsidRPr="00081D7D" w14:paraId="5E868988" w14:textId="77777777" w:rsidTr="003E053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39C4FB4" w14:textId="77777777" w:rsidR="00BD05C1" w:rsidRPr="00081D7D" w:rsidRDefault="00BD05C1" w:rsidP="00AF1377">
            <w:pPr>
              <w:rPr>
                <w:rFonts w:cstheme="minorHAnsi"/>
                <w:b w:val="0"/>
                <w:bCs w:val="0"/>
                <w:sz w:val="20"/>
                <w:szCs w:val="20"/>
              </w:rPr>
            </w:pPr>
            <w:r w:rsidRPr="00081D7D">
              <w:rPr>
                <w:rFonts w:cstheme="minorHAnsi"/>
                <w:sz w:val="20"/>
                <w:szCs w:val="20"/>
              </w:rPr>
              <w:t>THREATS</w:t>
            </w:r>
          </w:p>
        </w:tc>
        <w:tc>
          <w:tcPr>
            <w:tcW w:w="2835" w:type="dxa"/>
          </w:tcPr>
          <w:p w14:paraId="7EAAAA1E" w14:textId="77777777" w:rsidR="00BD05C1"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4E14">
              <w:rPr>
                <w:rFonts w:cstheme="minorHAnsi"/>
                <w:b/>
                <w:bCs/>
                <w:sz w:val="20"/>
                <w:szCs w:val="20"/>
              </w:rPr>
              <w:t>Competitive Landscape:</w:t>
            </w:r>
            <w:r w:rsidRPr="00E64E14">
              <w:rPr>
                <w:rFonts w:cstheme="minorHAnsi"/>
                <w:sz w:val="20"/>
                <w:szCs w:val="20"/>
              </w:rPr>
              <w:t xml:space="preserve"> The banking industry in North America is characterized by intense competition, as numerous major players strive to gain a larger market share.</w:t>
            </w:r>
          </w:p>
          <w:p w14:paraId="68B6939C" w14:textId="77777777" w:rsid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702B9C0" w14:textId="77777777" w:rsidR="00E64E14" w:rsidRP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44D3928" w14:textId="77777777" w:rsidR="00BD05C1"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4E14">
              <w:rPr>
                <w:rFonts w:cstheme="minorHAnsi"/>
                <w:b/>
                <w:bCs/>
                <w:sz w:val="20"/>
                <w:szCs w:val="20"/>
              </w:rPr>
              <w:t>Economic Uncertainty:</w:t>
            </w:r>
            <w:r w:rsidRPr="00E64E14">
              <w:rPr>
                <w:rFonts w:cstheme="minorHAnsi"/>
                <w:sz w:val="20"/>
                <w:szCs w:val="20"/>
              </w:rPr>
              <w:t xml:space="preserve"> The bank recognizes the obstacles presented by economic uncertainty, geopolitical </w:t>
            </w:r>
            <w:r w:rsidRPr="00E64E14">
              <w:rPr>
                <w:rFonts w:cstheme="minorHAnsi"/>
                <w:sz w:val="20"/>
                <w:szCs w:val="20"/>
              </w:rPr>
              <w:lastRenderedPageBreak/>
              <w:t>tensions, and the continued impact of the pandemic.</w:t>
            </w:r>
          </w:p>
          <w:p w14:paraId="10FA9126" w14:textId="77777777" w:rsidR="00E64E14" w:rsidRP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196A1E6" w14:textId="77777777"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4E14">
              <w:rPr>
                <w:rFonts w:cstheme="minorHAnsi"/>
                <w:b/>
                <w:bCs/>
                <w:sz w:val="20"/>
                <w:szCs w:val="20"/>
              </w:rPr>
              <w:t>Regulatory Changes:</w:t>
            </w:r>
            <w:r w:rsidRPr="00E64E14">
              <w:rPr>
                <w:rFonts w:cstheme="minorHAnsi"/>
                <w:sz w:val="20"/>
                <w:szCs w:val="20"/>
              </w:rPr>
              <w:t xml:space="preserve"> It can significantly impact banks' operations and profitability. As banks are subject to strict regulations, any modifications to these regulations can create challenges for them.</w:t>
            </w:r>
          </w:p>
          <w:p w14:paraId="1ACDE3D3" w14:textId="13ABE0D0" w:rsidR="00BD05C1" w:rsidRPr="00081D7D" w:rsidRDefault="00000000" w:rsidP="00AF1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cstheme="minorHAnsi"/>
                  <w:sz w:val="20"/>
                  <w:szCs w:val="20"/>
                </w:rPr>
                <w:id w:val="-2022538791"/>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Sco22 \l 16393 </w:instrText>
                </w:r>
                <w:r w:rsidR="00BD05C1" w:rsidRPr="00081D7D">
                  <w:rPr>
                    <w:rFonts w:cstheme="minorHAnsi"/>
                    <w:sz w:val="20"/>
                    <w:szCs w:val="20"/>
                  </w:rPr>
                  <w:fldChar w:fldCharType="separate"/>
                </w:r>
                <w:r w:rsidR="00AD2C7A" w:rsidRPr="00081D7D">
                  <w:rPr>
                    <w:rFonts w:cstheme="minorHAnsi"/>
                    <w:noProof/>
                    <w:sz w:val="20"/>
                    <w:szCs w:val="20"/>
                  </w:rPr>
                  <w:t>(Scotiabank, 2022)</w:t>
                </w:r>
                <w:r w:rsidR="00BD05C1" w:rsidRPr="00081D7D">
                  <w:rPr>
                    <w:rFonts w:cstheme="minorHAnsi"/>
                    <w:sz w:val="20"/>
                    <w:szCs w:val="20"/>
                  </w:rPr>
                  <w:fldChar w:fldCharType="end"/>
                </w:r>
              </w:sdtContent>
            </w:sdt>
          </w:p>
        </w:tc>
        <w:tc>
          <w:tcPr>
            <w:tcW w:w="2268" w:type="dxa"/>
          </w:tcPr>
          <w:p w14:paraId="67A9E560" w14:textId="77777777"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IN"/>
              </w:rPr>
            </w:pPr>
            <w:r w:rsidRPr="00E64E14">
              <w:rPr>
                <w:rFonts w:cstheme="minorHAnsi"/>
                <w:b/>
                <w:bCs/>
                <w:sz w:val="20"/>
                <w:szCs w:val="20"/>
                <w:lang w:eastAsia="en-IN"/>
              </w:rPr>
              <w:lastRenderedPageBreak/>
              <w:t>Competitive Landscape:</w:t>
            </w:r>
            <w:r w:rsidRPr="00E64E14">
              <w:rPr>
                <w:rFonts w:cstheme="minorHAnsi"/>
                <w:sz w:val="20"/>
                <w:szCs w:val="20"/>
                <w:lang w:eastAsia="en-IN"/>
              </w:rPr>
              <w:t xml:space="preserve"> The banking sector in North America is highly competitive, with several major players vying for market share.</w:t>
            </w:r>
          </w:p>
          <w:p w14:paraId="447C4B1F" w14:textId="77777777" w:rsid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IN"/>
              </w:rPr>
            </w:pPr>
          </w:p>
          <w:p w14:paraId="7180576E" w14:textId="77777777" w:rsid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IN"/>
              </w:rPr>
            </w:pPr>
          </w:p>
          <w:p w14:paraId="7BD177E7" w14:textId="5F7C7408"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IN"/>
              </w:rPr>
            </w:pPr>
            <w:r w:rsidRPr="00E64E14">
              <w:rPr>
                <w:rFonts w:cstheme="minorHAnsi"/>
                <w:b/>
                <w:bCs/>
                <w:sz w:val="20"/>
                <w:szCs w:val="20"/>
                <w:lang w:eastAsia="en-IN"/>
              </w:rPr>
              <w:t>Economic Uncertainties:</w:t>
            </w:r>
            <w:r w:rsidRPr="00E64E14">
              <w:rPr>
                <w:rFonts w:cstheme="minorHAnsi"/>
                <w:sz w:val="20"/>
                <w:szCs w:val="20"/>
                <w:lang w:eastAsia="en-IN"/>
              </w:rPr>
              <w:t xml:space="preserve"> TD acknowledges challenges posed by economic uncertainty, geopolitical tensions, </w:t>
            </w:r>
            <w:r w:rsidRPr="00E64E14">
              <w:rPr>
                <w:rFonts w:cstheme="minorHAnsi"/>
                <w:sz w:val="20"/>
                <w:szCs w:val="20"/>
                <w:lang w:eastAsia="en-IN"/>
              </w:rPr>
              <w:lastRenderedPageBreak/>
              <w:t>and the ongoing effects of the pandemic.</w:t>
            </w:r>
          </w:p>
          <w:p w14:paraId="2DF1C591" w14:textId="66A742B7" w:rsidR="00BD05C1" w:rsidRPr="00081D7D" w:rsidRDefault="00000000" w:rsidP="00AF1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cstheme="minorHAnsi"/>
                  <w:sz w:val="20"/>
                  <w:szCs w:val="20"/>
                </w:rPr>
                <w:id w:val="-1624843618"/>
                <w:citation/>
              </w:sdtPr>
              <w:sdtContent>
                <w:r w:rsidR="00BD05C1" w:rsidRPr="00081D7D">
                  <w:rPr>
                    <w:rFonts w:cstheme="minorHAnsi"/>
                    <w:sz w:val="20"/>
                    <w:szCs w:val="20"/>
                  </w:rPr>
                  <w:fldChar w:fldCharType="begin"/>
                </w:r>
                <w:r w:rsidR="00BD05C1" w:rsidRPr="00081D7D">
                  <w:rPr>
                    <w:rFonts w:cstheme="minorHAnsi"/>
                    <w:sz w:val="20"/>
                    <w:szCs w:val="20"/>
                  </w:rPr>
                  <w:instrText xml:space="preserve">CITATION TD22 \l 16393 </w:instrText>
                </w:r>
                <w:r w:rsidR="00BD05C1" w:rsidRPr="00081D7D">
                  <w:rPr>
                    <w:rFonts w:cstheme="minorHAnsi"/>
                    <w:sz w:val="20"/>
                    <w:szCs w:val="20"/>
                  </w:rPr>
                  <w:fldChar w:fldCharType="separate"/>
                </w:r>
                <w:r w:rsidR="00AD2C7A" w:rsidRPr="00081D7D">
                  <w:rPr>
                    <w:rFonts w:cstheme="minorHAnsi"/>
                    <w:noProof/>
                    <w:sz w:val="20"/>
                    <w:szCs w:val="20"/>
                  </w:rPr>
                  <w:t>(TD, 2022)</w:t>
                </w:r>
                <w:r w:rsidR="00BD05C1" w:rsidRPr="00081D7D">
                  <w:rPr>
                    <w:rFonts w:cstheme="minorHAnsi"/>
                    <w:sz w:val="20"/>
                    <w:szCs w:val="20"/>
                  </w:rPr>
                  <w:fldChar w:fldCharType="end"/>
                </w:r>
              </w:sdtContent>
            </w:sdt>
          </w:p>
        </w:tc>
        <w:tc>
          <w:tcPr>
            <w:tcW w:w="2410" w:type="dxa"/>
          </w:tcPr>
          <w:p w14:paraId="2F350DD7" w14:textId="75EC1D9D"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IN"/>
              </w:rPr>
            </w:pPr>
            <w:r w:rsidRPr="00E64E14">
              <w:rPr>
                <w:rFonts w:cstheme="minorHAnsi"/>
                <w:b/>
                <w:bCs/>
                <w:sz w:val="20"/>
                <w:szCs w:val="20"/>
                <w:lang w:eastAsia="en-IN"/>
              </w:rPr>
              <w:lastRenderedPageBreak/>
              <w:t>Economic Uncertainty:</w:t>
            </w:r>
            <w:r w:rsidRPr="00E64E14">
              <w:rPr>
                <w:rFonts w:cstheme="minorHAnsi"/>
                <w:sz w:val="20"/>
                <w:szCs w:val="20"/>
                <w:lang w:eastAsia="en-IN"/>
              </w:rPr>
              <w:t xml:space="preserve"> The 2022 annual report mentions an uncertain economic environment with rising interest rates to address inflation </w:t>
            </w:r>
            <w:r w:rsidR="00E64E14">
              <w:rPr>
                <w:rFonts w:cstheme="minorHAnsi"/>
                <w:sz w:val="20"/>
                <w:szCs w:val="20"/>
                <w:lang w:eastAsia="en-IN"/>
              </w:rPr>
              <w:t xml:space="preserve">&amp; </w:t>
            </w:r>
            <w:r w:rsidRPr="00E64E14">
              <w:rPr>
                <w:rFonts w:cstheme="minorHAnsi"/>
                <w:sz w:val="20"/>
                <w:szCs w:val="20"/>
                <w:lang w:eastAsia="en-IN"/>
              </w:rPr>
              <w:t>forecasted slowdown in economic growth.</w:t>
            </w:r>
          </w:p>
          <w:p w14:paraId="2160B37E" w14:textId="77777777"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lang w:eastAsia="en-IN"/>
              </w:rPr>
            </w:pPr>
            <w:r w:rsidRPr="00E64E14">
              <w:rPr>
                <w:rFonts w:cstheme="minorHAnsi"/>
                <w:b/>
                <w:bCs/>
                <w:sz w:val="20"/>
                <w:szCs w:val="20"/>
                <w:lang w:eastAsia="en-IN"/>
              </w:rPr>
              <w:t>Competitive Landscape:</w:t>
            </w:r>
            <w:r w:rsidRPr="00E64E14">
              <w:rPr>
                <w:rFonts w:cstheme="minorHAnsi"/>
                <w:sz w:val="20"/>
                <w:szCs w:val="20"/>
                <w:lang w:eastAsia="en-IN"/>
              </w:rPr>
              <w:t xml:space="preserve"> The banking sector in North America is highly competitive, with several major players vying for </w:t>
            </w:r>
            <w:r w:rsidRPr="00E64E14">
              <w:rPr>
                <w:rFonts w:cstheme="minorHAnsi"/>
                <w:sz w:val="20"/>
                <w:szCs w:val="20"/>
                <w:lang w:eastAsia="en-IN"/>
              </w:rPr>
              <w:lastRenderedPageBreak/>
              <w:t>market share. CIBC needs to continuously innovate and adapt to stay ahead.</w:t>
            </w:r>
          </w:p>
          <w:p w14:paraId="15D2C011" w14:textId="141E120E" w:rsidR="00BD05C1" w:rsidRPr="00081D7D" w:rsidRDefault="00000000" w:rsidP="00AF1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cstheme="minorHAnsi"/>
                  <w:sz w:val="20"/>
                  <w:szCs w:val="20"/>
                </w:rPr>
                <w:id w:val="-1401822917"/>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CIB22 \l 16393 </w:instrText>
                </w:r>
                <w:r w:rsidR="00BD05C1" w:rsidRPr="00081D7D">
                  <w:rPr>
                    <w:rFonts w:cstheme="minorHAnsi"/>
                    <w:sz w:val="20"/>
                    <w:szCs w:val="20"/>
                  </w:rPr>
                  <w:fldChar w:fldCharType="separate"/>
                </w:r>
                <w:r w:rsidR="00AD2C7A" w:rsidRPr="00081D7D">
                  <w:rPr>
                    <w:rFonts w:cstheme="minorHAnsi"/>
                    <w:noProof/>
                    <w:sz w:val="20"/>
                    <w:szCs w:val="20"/>
                  </w:rPr>
                  <w:t>(CIBC, 2022)</w:t>
                </w:r>
                <w:r w:rsidR="00BD05C1" w:rsidRPr="00081D7D">
                  <w:rPr>
                    <w:rFonts w:cstheme="minorHAnsi"/>
                    <w:sz w:val="20"/>
                    <w:szCs w:val="20"/>
                  </w:rPr>
                  <w:fldChar w:fldCharType="end"/>
                </w:r>
              </w:sdtContent>
            </w:sdt>
          </w:p>
        </w:tc>
        <w:tc>
          <w:tcPr>
            <w:tcW w:w="2234" w:type="dxa"/>
          </w:tcPr>
          <w:p w14:paraId="511F171A" w14:textId="77777777"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4E14">
              <w:rPr>
                <w:rFonts w:cstheme="minorHAnsi"/>
                <w:sz w:val="20"/>
                <w:szCs w:val="20"/>
              </w:rPr>
              <w:lastRenderedPageBreak/>
              <w:t>Inherent risks and uncertainties associated with forward-looking statements.</w:t>
            </w:r>
          </w:p>
          <w:p w14:paraId="7DDC9A3E" w14:textId="77777777" w:rsid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6C2C1B7" w14:textId="77777777" w:rsid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87F7E3A" w14:textId="77777777" w:rsid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0944FD8" w14:textId="77777777" w:rsid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0C632DD" w14:textId="088E5C81"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4E14">
              <w:rPr>
                <w:rFonts w:cstheme="minorHAnsi"/>
                <w:sz w:val="20"/>
                <w:szCs w:val="20"/>
              </w:rPr>
              <w:t>Challenges in adhering to and navigating through the ever-changing regulatory environment.</w:t>
            </w:r>
          </w:p>
          <w:p w14:paraId="6D8A5E2B" w14:textId="77777777" w:rsid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BB3B1F1" w14:textId="77777777" w:rsidR="00E64E14" w:rsidRDefault="00E64E14"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E9A09C6" w14:textId="704B817E" w:rsidR="00BD05C1" w:rsidRPr="00E64E14" w:rsidRDefault="00BD05C1" w:rsidP="00E64E1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64E14">
              <w:rPr>
                <w:rFonts w:cstheme="minorHAnsi"/>
                <w:sz w:val="20"/>
                <w:szCs w:val="20"/>
              </w:rPr>
              <w:t>Risks linked to global financial markets and prevailing economic conditions.</w:t>
            </w:r>
          </w:p>
          <w:p w14:paraId="3675C154" w14:textId="63A7420D" w:rsidR="00BD05C1" w:rsidRPr="00081D7D" w:rsidRDefault="00000000" w:rsidP="00AF1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sdt>
              <w:sdtPr>
                <w:rPr>
                  <w:rFonts w:cstheme="minorHAnsi"/>
                  <w:sz w:val="20"/>
                  <w:szCs w:val="20"/>
                </w:rPr>
                <w:id w:val="600073069"/>
                <w:citation/>
              </w:sdtPr>
              <w:sdtContent>
                <w:r w:rsidR="00BD05C1" w:rsidRPr="00081D7D">
                  <w:rPr>
                    <w:rFonts w:cstheme="minorHAnsi"/>
                    <w:sz w:val="20"/>
                    <w:szCs w:val="20"/>
                  </w:rPr>
                  <w:fldChar w:fldCharType="begin"/>
                </w:r>
                <w:r w:rsidR="00BD05C1" w:rsidRPr="00081D7D">
                  <w:rPr>
                    <w:rFonts w:cstheme="minorHAnsi"/>
                    <w:sz w:val="20"/>
                    <w:szCs w:val="20"/>
                  </w:rPr>
                  <w:instrText xml:space="preserve"> CITATION BMO22 \l 16393 </w:instrText>
                </w:r>
                <w:r w:rsidR="00BD05C1" w:rsidRPr="00081D7D">
                  <w:rPr>
                    <w:rFonts w:cstheme="minorHAnsi"/>
                    <w:sz w:val="20"/>
                    <w:szCs w:val="20"/>
                  </w:rPr>
                  <w:fldChar w:fldCharType="separate"/>
                </w:r>
                <w:r w:rsidR="00AD2C7A" w:rsidRPr="00081D7D">
                  <w:rPr>
                    <w:rFonts w:cstheme="minorHAnsi"/>
                    <w:noProof/>
                    <w:sz w:val="20"/>
                    <w:szCs w:val="20"/>
                  </w:rPr>
                  <w:t>(BMO, 2022)</w:t>
                </w:r>
                <w:r w:rsidR="00BD05C1" w:rsidRPr="00081D7D">
                  <w:rPr>
                    <w:rFonts w:cstheme="minorHAnsi"/>
                    <w:sz w:val="20"/>
                    <w:szCs w:val="20"/>
                  </w:rPr>
                  <w:fldChar w:fldCharType="end"/>
                </w:r>
              </w:sdtContent>
            </w:sdt>
          </w:p>
        </w:tc>
      </w:tr>
    </w:tbl>
    <w:p w14:paraId="234C1F4C" w14:textId="77777777" w:rsidR="00BD05C1" w:rsidRPr="002421D8" w:rsidRDefault="00BD05C1" w:rsidP="00D111FD">
      <w:pPr>
        <w:shd w:val="clear" w:color="auto" w:fill="FFFFFF" w:themeFill="background1"/>
        <w:ind w:left="360"/>
        <w:rPr>
          <w:rFonts w:cstheme="minorHAnsi"/>
          <w:b/>
          <w:bCs/>
          <w:color w:val="000000" w:themeColor="text1"/>
          <w:sz w:val="24"/>
          <w:szCs w:val="24"/>
          <w:lang w:val="en-US"/>
        </w:rPr>
      </w:pPr>
    </w:p>
    <w:p w14:paraId="5650DCDD" w14:textId="77777777" w:rsidR="00D111FD" w:rsidRDefault="00D111FD" w:rsidP="00D111FD">
      <w:pPr>
        <w:shd w:val="clear" w:color="auto" w:fill="FFFFFF" w:themeFill="background1"/>
        <w:ind w:left="360"/>
        <w:rPr>
          <w:rFonts w:cstheme="minorHAnsi"/>
          <w:color w:val="000000" w:themeColor="text1"/>
          <w:lang w:val="en-US"/>
        </w:rPr>
      </w:pPr>
    </w:p>
    <w:p w14:paraId="6D2C46E0" w14:textId="77777777" w:rsidR="00D111FD" w:rsidRDefault="00D111FD" w:rsidP="00D111FD">
      <w:pPr>
        <w:shd w:val="clear" w:color="auto" w:fill="FFFFFF" w:themeFill="background1"/>
        <w:ind w:left="360"/>
        <w:rPr>
          <w:rFonts w:cstheme="minorHAnsi"/>
          <w:color w:val="000000" w:themeColor="text1"/>
          <w:lang w:val="en-US"/>
        </w:rPr>
      </w:pPr>
    </w:p>
    <w:p w14:paraId="04A0328E" w14:textId="77777777" w:rsidR="00D111FD" w:rsidRDefault="00D111FD" w:rsidP="00D111FD">
      <w:pPr>
        <w:shd w:val="clear" w:color="auto" w:fill="FFFFFF" w:themeFill="background1"/>
        <w:ind w:left="360"/>
        <w:rPr>
          <w:rFonts w:cstheme="minorHAnsi"/>
          <w:color w:val="000000" w:themeColor="text1"/>
          <w:lang w:val="en-US"/>
        </w:rPr>
      </w:pPr>
    </w:p>
    <w:p w14:paraId="336C6A3D" w14:textId="77777777" w:rsidR="00D111FD" w:rsidRDefault="00D111FD" w:rsidP="00D111FD">
      <w:pPr>
        <w:shd w:val="clear" w:color="auto" w:fill="FFFFFF" w:themeFill="background1"/>
        <w:ind w:left="360"/>
        <w:rPr>
          <w:rFonts w:cstheme="minorHAnsi"/>
          <w:color w:val="000000" w:themeColor="text1"/>
          <w:lang w:val="en-US"/>
        </w:rPr>
      </w:pPr>
    </w:p>
    <w:p w14:paraId="3644AFFE" w14:textId="77777777" w:rsidR="00D111FD" w:rsidRDefault="00D111FD" w:rsidP="00D111FD">
      <w:pPr>
        <w:shd w:val="clear" w:color="auto" w:fill="FFFFFF" w:themeFill="background1"/>
        <w:ind w:left="360"/>
        <w:rPr>
          <w:rFonts w:cstheme="minorHAnsi"/>
          <w:color w:val="000000" w:themeColor="text1"/>
          <w:lang w:val="en-US"/>
        </w:rPr>
      </w:pPr>
    </w:p>
    <w:p w14:paraId="6B13CE3C" w14:textId="77777777" w:rsidR="00D111FD" w:rsidRDefault="00D111FD" w:rsidP="00D111FD">
      <w:pPr>
        <w:shd w:val="clear" w:color="auto" w:fill="FFFFFF" w:themeFill="background1"/>
        <w:ind w:left="360"/>
        <w:rPr>
          <w:rFonts w:cstheme="minorHAnsi"/>
          <w:color w:val="000000" w:themeColor="text1"/>
          <w:lang w:val="en-US"/>
        </w:rPr>
      </w:pPr>
    </w:p>
    <w:p w14:paraId="1627DACB" w14:textId="77777777" w:rsidR="00D111FD" w:rsidRDefault="00D111FD" w:rsidP="00D111FD">
      <w:pPr>
        <w:shd w:val="clear" w:color="auto" w:fill="FFFFFF" w:themeFill="background1"/>
        <w:ind w:left="360"/>
        <w:rPr>
          <w:rFonts w:cstheme="minorHAnsi"/>
          <w:color w:val="000000" w:themeColor="text1"/>
          <w:lang w:val="en-US"/>
        </w:rPr>
      </w:pPr>
    </w:p>
    <w:p w14:paraId="568D5547" w14:textId="77777777" w:rsidR="00D111FD" w:rsidRDefault="00D111FD" w:rsidP="00D111FD">
      <w:pPr>
        <w:shd w:val="clear" w:color="auto" w:fill="FFFFFF" w:themeFill="background1"/>
        <w:ind w:left="360"/>
        <w:rPr>
          <w:rFonts w:cstheme="minorHAnsi"/>
          <w:color w:val="000000" w:themeColor="text1"/>
          <w:lang w:val="en-US"/>
        </w:rPr>
      </w:pPr>
    </w:p>
    <w:p w14:paraId="26368710" w14:textId="77777777" w:rsidR="00D111FD" w:rsidRDefault="00D111FD" w:rsidP="00D111FD">
      <w:pPr>
        <w:shd w:val="clear" w:color="auto" w:fill="FFFFFF" w:themeFill="background1"/>
        <w:ind w:left="360"/>
        <w:rPr>
          <w:rFonts w:cstheme="minorHAnsi"/>
          <w:color w:val="000000" w:themeColor="text1"/>
          <w:lang w:val="en-US"/>
        </w:rPr>
      </w:pPr>
    </w:p>
    <w:p w14:paraId="6BA8B562" w14:textId="77777777" w:rsidR="00E64E14" w:rsidRDefault="00E64E14" w:rsidP="00D111FD">
      <w:pPr>
        <w:shd w:val="clear" w:color="auto" w:fill="FFFFFF" w:themeFill="background1"/>
        <w:ind w:left="360"/>
        <w:rPr>
          <w:rFonts w:cstheme="minorHAnsi"/>
          <w:color w:val="000000" w:themeColor="text1"/>
          <w:lang w:val="en-US"/>
        </w:rPr>
      </w:pPr>
    </w:p>
    <w:p w14:paraId="2F59EB73" w14:textId="77777777" w:rsidR="00E64E14" w:rsidRDefault="00E64E14" w:rsidP="00D111FD">
      <w:pPr>
        <w:shd w:val="clear" w:color="auto" w:fill="FFFFFF" w:themeFill="background1"/>
        <w:ind w:left="360"/>
        <w:rPr>
          <w:rFonts w:cstheme="minorHAnsi"/>
          <w:color w:val="000000" w:themeColor="text1"/>
          <w:lang w:val="en-US"/>
        </w:rPr>
      </w:pPr>
    </w:p>
    <w:p w14:paraId="4CA5787B" w14:textId="77777777" w:rsidR="00E64E14" w:rsidRDefault="00E64E14" w:rsidP="00D111FD">
      <w:pPr>
        <w:shd w:val="clear" w:color="auto" w:fill="FFFFFF" w:themeFill="background1"/>
        <w:ind w:left="360"/>
        <w:rPr>
          <w:rFonts w:cstheme="minorHAnsi"/>
          <w:color w:val="000000" w:themeColor="text1"/>
          <w:lang w:val="en-US"/>
        </w:rPr>
      </w:pPr>
    </w:p>
    <w:p w14:paraId="7BB98EF1" w14:textId="77777777" w:rsidR="00E64E14" w:rsidRDefault="00E64E14" w:rsidP="00D111FD">
      <w:pPr>
        <w:shd w:val="clear" w:color="auto" w:fill="FFFFFF" w:themeFill="background1"/>
        <w:ind w:left="360"/>
        <w:rPr>
          <w:rFonts w:cstheme="minorHAnsi"/>
          <w:color w:val="000000" w:themeColor="text1"/>
          <w:lang w:val="en-US"/>
        </w:rPr>
      </w:pPr>
    </w:p>
    <w:p w14:paraId="583819FF" w14:textId="77777777" w:rsidR="00E64E14" w:rsidRDefault="00E64E14" w:rsidP="00D111FD">
      <w:pPr>
        <w:shd w:val="clear" w:color="auto" w:fill="FFFFFF" w:themeFill="background1"/>
        <w:ind w:left="360"/>
        <w:rPr>
          <w:rFonts w:cstheme="minorHAnsi"/>
          <w:color w:val="000000" w:themeColor="text1"/>
          <w:lang w:val="en-US"/>
        </w:rPr>
      </w:pPr>
    </w:p>
    <w:p w14:paraId="6655ED73" w14:textId="77777777" w:rsidR="00E64E14" w:rsidRDefault="00E64E14" w:rsidP="00D111FD">
      <w:pPr>
        <w:shd w:val="clear" w:color="auto" w:fill="FFFFFF" w:themeFill="background1"/>
        <w:ind w:left="360"/>
        <w:rPr>
          <w:rFonts w:cstheme="minorHAnsi"/>
          <w:color w:val="000000" w:themeColor="text1"/>
          <w:lang w:val="en-US"/>
        </w:rPr>
      </w:pPr>
    </w:p>
    <w:p w14:paraId="08CE3301" w14:textId="77777777" w:rsidR="00E64E14" w:rsidRDefault="00E64E14" w:rsidP="00D111FD">
      <w:pPr>
        <w:shd w:val="clear" w:color="auto" w:fill="FFFFFF" w:themeFill="background1"/>
        <w:ind w:left="360"/>
        <w:rPr>
          <w:rFonts w:cstheme="minorHAnsi"/>
          <w:color w:val="000000" w:themeColor="text1"/>
          <w:lang w:val="en-US"/>
        </w:rPr>
      </w:pPr>
    </w:p>
    <w:p w14:paraId="0B2797EF" w14:textId="77777777" w:rsidR="00E64E14" w:rsidRDefault="00E64E14" w:rsidP="00D111FD">
      <w:pPr>
        <w:shd w:val="clear" w:color="auto" w:fill="FFFFFF" w:themeFill="background1"/>
        <w:ind w:left="360"/>
        <w:rPr>
          <w:rFonts w:cstheme="minorHAnsi"/>
          <w:color w:val="000000" w:themeColor="text1"/>
          <w:lang w:val="en-US"/>
        </w:rPr>
      </w:pPr>
    </w:p>
    <w:p w14:paraId="55D253C8" w14:textId="77777777" w:rsidR="00E64E14" w:rsidRDefault="00E64E14" w:rsidP="00D111FD">
      <w:pPr>
        <w:shd w:val="clear" w:color="auto" w:fill="FFFFFF" w:themeFill="background1"/>
        <w:ind w:left="360"/>
        <w:rPr>
          <w:rFonts w:cstheme="minorHAnsi"/>
          <w:color w:val="000000" w:themeColor="text1"/>
          <w:lang w:val="en-US"/>
        </w:rPr>
      </w:pPr>
    </w:p>
    <w:p w14:paraId="6B109122" w14:textId="77777777" w:rsidR="00E64E14" w:rsidRDefault="00E64E14" w:rsidP="00D111FD">
      <w:pPr>
        <w:shd w:val="clear" w:color="auto" w:fill="FFFFFF" w:themeFill="background1"/>
        <w:ind w:left="360"/>
        <w:rPr>
          <w:rFonts w:cstheme="minorHAnsi"/>
          <w:color w:val="000000" w:themeColor="text1"/>
          <w:lang w:val="en-US"/>
        </w:rPr>
      </w:pPr>
    </w:p>
    <w:p w14:paraId="2937F762" w14:textId="77777777" w:rsidR="00D111FD" w:rsidRDefault="00D111FD" w:rsidP="00D111FD">
      <w:pPr>
        <w:shd w:val="clear" w:color="auto" w:fill="FFFFFF" w:themeFill="background1"/>
        <w:ind w:left="360"/>
        <w:rPr>
          <w:rFonts w:cstheme="minorHAnsi"/>
          <w:color w:val="000000" w:themeColor="text1"/>
          <w:lang w:val="en-US"/>
        </w:rPr>
      </w:pPr>
    </w:p>
    <w:p w14:paraId="7FFA4927" w14:textId="77777777" w:rsidR="00D111FD" w:rsidRDefault="00D111FD" w:rsidP="00D111FD">
      <w:pPr>
        <w:shd w:val="clear" w:color="auto" w:fill="FFFFFF" w:themeFill="background1"/>
        <w:ind w:left="360"/>
        <w:rPr>
          <w:rFonts w:cstheme="minorHAnsi"/>
          <w:color w:val="000000" w:themeColor="text1"/>
          <w:lang w:val="en-US"/>
        </w:rPr>
      </w:pPr>
    </w:p>
    <w:p w14:paraId="75207D9E" w14:textId="77777777" w:rsidR="00DD7AA5" w:rsidRDefault="00DD7AA5" w:rsidP="00DD7AA5">
      <w:pPr>
        <w:shd w:val="clear" w:color="auto" w:fill="FFFFFF" w:themeFill="background1"/>
        <w:rPr>
          <w:rFonts w:cstheme="minorHAnsi"/>
          <w:color w:val="000000" w:themeColor="text1"/>
          <w:lang w:val="en-US"/>
        </w:rPr>
      </w:pPr>
    </w:p>
    <w:p w14:paraId="572D553D" w14:textId="1E672AEC" w:rsidR="00195211" w:rsidRDefault="00D14043" w:rsidP="004F336D">
      <w:pPr>
        <w:pStyle w:val="Heading1"/>
        <w:rPr>
          <w:b/>
          <w:bCs/>
        </w:rPr>
      </w:pPr>
      <w:bookmarkStart w:id="27" w:name="_Toc145702373"/>
      <w:r>
        <w:rPr>
          <w:b/>
          <w:bCs/>
        </w:rPr>
        <w:lastRenderedPageBreak/>
        <w:t>PESTEL Analysis</w:t>
      </w:r>
      <w:r w:rsidR="00497A96">
        <w:rPr>
          <w:b/>
          <w:bCs/>
        </w:rPr>
        <w:t xml:space="preserve"> of Scotiabank </w:t>
      </w:r>
      <w:r w:rsidR="000A031D">
        <w:rPr>
          <w:b/>
          <w:bCs/>
        </w:rPr>
        <w:t>and the banking sector in Canada</w:t>
      </w:r>
      <w:r>
        <w:rPr>
          <w:b/>
          <w:bCs/>
        </w:rPr>
        <w:t>:</w:t>
      </w:r>
      <w:bookmarkEnd w:id="27"/>
    </w:p>
    <w:tbl>
      <w:tblPr>
        <w:tblStyle w:val="GridTable2-Accent5"/>
        <w:tblW w:w="0" w:type="auto"/>
        <w:tblInd w:w="0" w:type="dxa"/>
        <w:tblLook w:val="04A0" w:firstRow="1" w:lastRow="0" w:firstColumn="1" w:lastColumn="0" w:noHBand="0" w:noVBand="1"/>
      </w:tblPr>
      <w:tblGrid>
        <w:gridCol w:w="1789"/>
        <w:gridCol w:w="4061"/>
        <w:gridCol w:w="4486"/>
      </w:tblGrid>
      <w:tr w:rsidR="009D18A7" w14:paraId="353332F1" w14:textId="77777777" w:rsidTr="00974E0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9" w:type="dxa"/>
            <w:tcBorders>
              <w:left w:val="nil"/>
            </w:tcBorders>
            <w:hideMark/>
          </w:tcPr>
          <w:p w14:paraId="0DAF9BA2" w14:textId="77777777" w:rsidR="009D18A7" w:rsidRDefault="009D18A7">
            <w:r>
              <w:t>Element</w:t>
            </w:r>
          </w:p>
        </w:tc>
        <w:tc>
          <w:tcPr>
            <w:tcW w:w="4061" w:type="dxa"/>
            <w:hideMark/>
          </w:tcPr>
          <w:p w14:paraId="24F24E0D" w14:textId="77777777" w:rsidR="009D18A7" w:rsidRDefault="009D18A7">
            <w:pPr>
              <w:cnfStyle w:val="100000000000" w:firstRow="1" w:lastRow="0" w:firstColumn="0" w:lastColumn="0" w:oddVBand="0" w:evenVBand="0" w:oddHBand="0" w:evenHBand="0" w:firstRowFirstColumn="0" w:firstRowLastColumn="0" w:lastRowFirstColumn="0" w:lastRowLastColumn="0"/>
            </w:pPr>
            <w:r>
              <w:t>Factor</w:t>
            </w:r>
          </w:p>
        </w:tc>
        <w:tc>
          <w:tcPr>
            <w:tcW w:w="4486" w:type="dxa"/>
            <w:tcBorders>
              <w:right w:val="nil"/>
            </w:tcBorders>
            <w:hideMark/>
          </w:tcPr>
          <w:p w14:paraId="7EA90509" w14:textId="77777777" w:rsidR="009D18A7" w:rsidRDefault="009D18A7">
            <w:pPr>
              <w:cnfStyle w:val="100000000000" w:firstRow="1" w:lastRow="0" w:firstColumn="0" w:lastColumn="0" w:oddVBand="0" w:evenVBand="0" w:oddHBand="0" w:evenHBand="0" w:firstRowFirstColumn="0" w:firstRowLastColumn="0" w:lastRowFirstColumn="0" w:lastRowLastColumn="0"/>
            </w:pPr>
            <w:r>
              <w:t>Business Impact</w:t>
            </w:r>
          </w:p>
        </w:tc>
      </w:tr>
      <w:tr w:rsidR="009D18A7" w14:paraId="5708A336" w14:textId="77777777" w:rsidTr="00974E04">
        <w:trPr>
          <w:cnfStyle w:val="000000100000" w:firstRow="0" w:lastRow="0" w:firstColumn="0" w:lastColumn="0" w:oddVBand="0" w:evenVBand="0" w:oddHBand="1" w:evenHBand="0" w:firstRowFirstColumn="0" w:firstRowLastColumn="0" w:lastRowFirstColumn="0" w:lastRowLastColumn="0"/>
          <w:trHeight w:val="3573"/>
        </w:trPr>
        <w:tc>
          <w:tcPr>
            <w:cnfStyle w:val="001000000000" w:firstRow="0" w:lastRow="0" w:firstColumn="1" w:lastColumn="0" w:oddVBand="0" w:evenVBand="0" w:oddHBand="0" w:evenHBand="0" w:firstRowFirstColumn="0" w:firstRowLastColumn="0" w:lastRowFirstColumn="0" w:lastRowLastColumn="0"/>
            <w:tcW w:w="1789" w:type="dxa"/>
            <w:tcBorders>
              <w:top w:val="single" w:sz="2" w:space="0" w:color="9CC2E5" w:themeColor="accent5" w:themeTint="99"/>
              <w:left w:val="nil"/>
              <w:bottom w:val="single" w:sz="2" w:space="0" w:color="9CC2E5" w:themeColor="accent5" w:themeTint="99"/>
              <w:right w:val="single" w:sz="2" w:space="0" w:color="9CC2E5" w:themeColor="accent5" w:themeTint="99"/>
            </w:tcBorders>
            <w:vAlign w:val="center"/>
            <w:hideMark/>
          </w:tcPr>
          <w:p w14:paraId="08360705" w14:textId="77777777" w:rsidR="009D18A7" w:rsidRDefault="009D18A7">
            <w:r>
              <w:t>Political</w:t>
            </w:r>
          </w:p>
        </w:tc>
        <w:tc>
          <w:tcPr>
            <w:tcW w:w="406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BB7F886" w14:textId="77777777" w:rsidR="009D18A7" w:rsidRDefault="009D18A7" w:rsidP="009D18A7">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Geopolitical Tensions- Sanctions due to the Russian conflicts.</w:t>
            </w:r>
          </w:p>
          <w:p w14:paraId="7BC5FEDF" w14:textId="77777777" w:rsidR="009D18A7" w:rsidRDefault="009D18A7">
            <w:pPr>
              <w:pStyle w:val="ListParagraph"/>
              <w:cnfStyle w:val="000000100000" w:firstRow="0" w:lastRow="0" w:firstColumn="0" w:lastColumn="0" w:oddVBand="0" w:evenVBand="0" w:oddHBand="1" w:evenHBand="0" w:firstRowFirstColumn="0" w:firstRowLastColumn="0" w:lastRowFirstColumn="0" w:lastRowLastColumn="0"/>
              <w:rPr>
                <w:color w:val="000000" w:themeColor="text1"/>
              </w:rPr>
            </w:pPr>
          </w:p>
          <w:p w14:paraId="75CFBB2D" w14:textId="77777777" w:rsidR="009D18A7" w:rsidRDefault="009D18A7">
            <w:pPr>
              <w:pStyle w:val="ListParagraph"/>
              <w:cnfStyle w:val="000000100000" w:firstRow="0" w:lastRow="0" w:firstColumn="0" w:lastColumn="0" w:oddVBand="0" w:evenVBand="0" w:oddHBand="1" w:evenHBand="0" w:firstRowFirstColumn="0" w:firstRowLastColumn="0" w:lastRowFirstColumn="0" w:lastRowLastColumn="0"/>
              <w:rPr>
                <w:color w:val="000000" w:themeColor="text1"/>
              </w:rPr>
            </w:pPr>
          </w:p>
          <w:p w14:paraId="3D4CAB74" w14:textId="77777777" w:rsidR="009D18A7" w:rsidRDefault="009D18A7" w:rsidP="009D18A7">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Government policies</w:t>
            </w:r>
          </w:p>
          <w:p w14:paraId="415A4F97" w14:textId="77777777" w:rsidR="009D18A7" w:rsidRDefault="009D18A7">
            <w:pPr>
              <w:cnfStyle w:val="000000100000" w:firstRow="0" w:lastRow="0" w:firstColumn="0" w:lastColumn="0" w:oddVBand="0" w:evenVBand="0" w:oddHBand="1" w:evenHBand="0" w:firstRowFirstColumn="0" w:firstRowLastColumn="0" w:lastRowFirstColumn="0" w:lastRowLastColumn="0"/>
              <w:rPr>
                <w:color w:val="000000" w:themeColor="text1"/>
              </w:rPr>
            </w:pPr>
          </w:p>
          <w:p w14:paraId="40AC3483" w14:textId="77777777" w:rsidR="009D18A7" w:rsidRDefault="009D18A7">
            <w:pPr>
              <w:cnfStyle w:val="000000100000" w:firstRow="0" w:lastRow="0" w:firstColumn="0" w:lastColumn="0" w:oddVBand="0" w:evenVBand="0" w:oddHBand="1" w:evenHBand="0" w:firstRowFirstColumn="0" w:firstRowLastColumn="0" w:lastRowFirstColumn="0" w:lastRowLastColumn="0"/>
              <w:rPr>
                <w:color w:val="000000" w:themeColor="text1"/>
              </w:rPr>
            </w:pPr>
          </w:p>
          <w:p w14:paraId="29676B92" w14:textId="77777777" w:rsidR="009D18A7" w:rsidRDefault="009D18A7" w:rsidP="009D18A7">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Tax policies</w:t>
            </w:r>
          </w:p>
          <w:p w14:paraId="7F967BAE" w14:textId="77777777" w:rsidR="009D18A7" w:rsidRDefault="009D18A7">
            <w:pPr>
              <w:cnfStyle w:val="000000100000" w:firstRow="0" w:lastRow="0" w:firstColumn="0" w:lastColumn="0" w:oddVBand="0" w:evenVBand="0" w:oddHBand="1" w:evenHBand="0" w:firstRowFirstColumn="0" w:firstRowLastColumn="0" w:lastRowFirstColumn="0" w:lastRowLastColumn="0"/>
              <w:rPr>
                <w:color w:val="000000" w:themeColor="text1"/>
              </w:rPr>
            </w:pPr>
          </w:p>
          <w:p w14:paraId="4B13B287" w14:textId="77777777" w:rsidR="009D18A7" w:rsidRDefault="009D18A7">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448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4DB4C9AC" w14:textId="77777777" w:rsidR="009D18A7" w:rsidRDefault="009D18A7" w:rsidP="009D18A7">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This affects the rise in business and strategic risks. It may result in an increasing cost of capital deployment or more inefficient capital allocation.</w:t>
            </w:r>
          </w:p>
          <w:p w14:paraId="2BA9A327" w14:textId="77777777" w:rsidR="009D18A7" w:rsidRDefault="009D18A7" w:rsidP="009D18A7">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It plays an efficient role in the bank's working structure and sustaining development.</w:t>
            </w:r>
          </w:p>
          <w:p w14:paraId="25E4D694" w14:textId="77777777" w:rsidR="009D18A7" w:rsidRDefault="009D18A7" w:rsidP="009D18A7">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iCs/>
                <w:color w:val="000000" w:themeColor="text1"/>
              </w:rPr>
            </w:pPr>
            <w:r>
              <w:rPr>
                <w:iCs/>
                <w:color w:val="000000" w:themeColor="text1"/>
              </w:rPr>
              <w:t>Changes in tax policies always have a major role in the operational decisions and maintaining the bank's profitability.</w:t>
            </w:r>
          </w:p>
        </w:tc>
      </w:tr>
      <w:tr w:rsidR="009D18A7" w14:paraId="240E2056" w14:textId="77777777" w:rsidTr="00974E04">
        <w:trPr>
          <w:trHeight w:val="2758"/>
        </w:trPr>
        <w:tc>
          <w:tcPr>
            <w:cnfStyle w:val="001000000000" w:firstRow="0" w:lastRow="0" w:firstColumn="1" w:lastColumn="0" w:oddVBand="0" w:evenVBand="0" w:oddHBand="0" w:evenHBand="0" w:firstRowFirstColumn="0" w:firstRowLastColumn="0" w:lastRowFirstColumn="0" w:lastRowLastColumn="0"/>
            <w:tcW w:w="1789" w:type="dxa"/>
            <w:tcBorders>
              <w:top w:val="single" w:sz="2" w:space="0" w:color="9CC2E5" w:themeColor="accent5" w:themeTint="99"/>
              <w:left w:val="nil"/>
              <w:bottom w:val="single" w:sz="2" w:space="0" w:color="9CC2E5" w:themeColor="accent5" w:themeTint="99"/>
              <w:right w:val="single" w:sz="2" w:space="0" w:color="9CC2E5" w:themeColor="accent5" w:themeTint="99"/>
            </w:tcBorders>
            <w:vAlign w:val="center"/>
            <w:hideMark/>
          </w:tcPr>
          <w:p w14:paraId="016A3858" w14:textId="77777777" w:rsidR="009D18A7" w:rsidRDefault="009D18A7">
            <w:r>
              <w:t>Economic</w:t>
            </w:r>
          </w:p>
        </w:tc>
        <w:tc>
          <w:tcPr>
            <w:tcW w:w="406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30046C2" w14:textId="77777777" w:rsidR="009D18A7" w:rsidRDefault="009D18A7" w:rsidP="009D18A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Stock Exchange</w:t>
            </w:r>
          </w:p>
          <w:p w14:paraId="1CA76290"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3E508FA8"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33A406C2" w14:textId="77777777" w:rsidR="009D18A7" w:rsidRDefault="009D18A7" w:rsidP="009D18A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Currency Exchange Rates</w:t>
            </w:r>
          </w:p>
          <w:p w14:paraId="50BD8528"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11AA37D6" w14:textId="77777777" w:rsidR="009D18A7" w:rsidRDefault="009D18A7">
            <w:pPr>
              <w:cnfStyle w:val="000000000000" w:firstRow="0" w:lastRow="0" w:firstColumn="0" w:lastColumn="0" w:oddVBand="0" w:evenVBand="0" w:oddHBand="0" w:evenHBand="0" w:firstRowFirstColumn="0" w:firstRowLastColumn="0" w:lastRowFirstColumn="0" w:lastRowLastColumn="0"/>
            </w:pPr>
            <w:r>
              <w:t xml:space="preserve"> </w:t>
            </w:r>
          </w:p>
          <w:p w14:paraId="4A2CBA39" w14:textId="77777777" w:rsidR="009D18A7" w:rsidRDefault="009D18A7" w:rsidP="009D18A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Inflation rate</w:t>
            </w:r>
          </w:p>
          <w:p w14:paraId="30F1005D" w14:textId="77777777" w:rsidR="009D18A7" w:rsidRDefault="009D18A7">
            <w:pPr>
              <w:cnfStyle w:val="000000000000" w:firstRow="0" w:lastRow="0" w:firstColumn="0" w:lastColumn="0" w:oddVBand="0" w:evenVBand="0" w:oddHBand="0" w:evenHBand="0" w:firstRowFirstColumn="0" w:firstRowLastColumn="0" w:lastRowFirstColumn="0" w:lastRowLastColumn="0"/>
            </w:pPr>
          </w:p>
        </w:tc>
        <w:tc>
          <w:tcPr>
            <w:tcW w:w="448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28A7B997" w14:textId="77777777" w:rsidR="009D18A7" w:rsidRDefault="009D18A7" w:rsidP="009D18A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Stock market has a great influence on investments and earnings, as well as capitalization.</w:t>
            </w:r>
          </w:p>
          <w:p w14:paraId="4587AC79" w14:textId="77777777" w:rsidR="009D18A7" w:rsidRDefault="009D18A7" w:rsidP="009D18A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Scotiabank is functioning internationally, so the exchange rate changes affect the transactions. </w:t>
            </w:r>
          </w:p>
          <w:p w14:paraId="00F076E7" w14:textId="77777777" w:rsidR="009D18A7" w:rsidRDefault="009D18A7" w:rsidP="009D18A7">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A mild inflation rate is required for the stability of the company.</w:t>
            </w:r>
          </w:p>
        </w:tc>
      </w:tr>
      <w:tr w:rsidR="009D18A7" w14:paraId="6344AB88" w14:textId="77777777" w:rsidTr="00974E04">
        <w:trPr>
          <w:cnfStyle w:val="000000100000" w:firstRow="0" w:lastRow="0" w:firstColumn="0" w:lastColumn="0" w:oddVBand="0" w:evenVBand="0" w:oddHBand="1" w:evenHBand="0" w:firstRowFirstColumn="0" w:firstRowLastColumn="0" w:lastRowFirstColumn="0" w:lastRowLastColumn="0"/>
          <w:trHeight w:val="1665"/>
        </w:trPr>
        <w:tc>
          <w:tcPr>
            <w:cnfStyle w:val="001000000000" w:firstRow="0" w:lastRow="0" w:firstColumn="1" w:lastColumn="0" w:oddVBand="0" w:evenVBand="0" w:oddHBand="0" w:evenHBand="0" w:firstRowFirstColumn="0" w:firstRowLastColumn="0" w:lastRowFirstColumn="0" w:lastRowLastColumn="0"/>
            <w:tcW w:w="1789" w:type="dxa"/>
            <w:tcBorders>
              <w:top w:val="single" w:sz="2" w:space="0" w:color="9CC2E5" w:themeColor="accent5" w:themeTint="99"/>
              <w:left w:val="nil"/>
              <w:bottom w:val="single" w:sz="2" w:space="0" w:color="9CC2E5" w:themeColor="accent5" w:themeTint="99"/>
              <w:right w:val="single" w:sz="2" w:space="0" w:color="9CC2E5" w:themeColor="accent5" w:themeTint="99"/>
            </w:tcBorders>
            <w:vAlign w:val="center"/>
            <w:hideMark/>
          </w:tcPr>
          <w:p w14:paraId="4CFB415C" w14:textId="77777777" w:rsidR="009D18A7" w:rsidRDefault="009D18A7">
            <w:r>
              <w:t>Social</w:t>
            </w:r>
          </w:p>
        </w:tc>
        <w:tc>
          <w:tcPr>
            <w:tcW w:w="406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E073BA7" w14:textId="77777777" w:rsidR="009D18A7" w:rsidRDefault="009D18A7" w:rsidP="009D18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Education</w:t>
            </w:r>
          </w:p>
          <w:p w14:paraId="568853ED" w14:textId="77777777" w:rsidR="009D18A7" w:rsidRDefault="009D18A7">
            <w:pPr>
              <w:cnfStyle w:val="000000100000" w:firstRow="0" w:lastRow="0" w:firstColumn="0" w:lastColumn="0" w:oddVBand="0" w:evenVBand="0" w:oddHBand="1" w:evenHBand="0" w:firstRowFirstColumn="0" w:firstRowLastColumn="0" w:lastRowFirstColumn="0" w:lastRowLastColumn="0"/>
            </w:pPr>
          </w:p>
          <w:p w14:paraId="2FC65B7F" w14:textId="77777777" w:rsidR="009D18A7" w:rsidRDefault="009D18A7">
            <w:pPr>
              <w:cnfStyle w:val="000000100000" w:firstRow="0" w:lastRow="0" w:firstColumn="0" w:lastColumn="0" w:oddVBand="0" w:evenVBand="0" w:oddHBand="1" w:evenHBand="0" w:firstRowFirstColumn="0" w:firstRowLastColumn="0" w:lastRowFirstColumn="0" w:lastRowLastColumn="0"/>
            </w:pPr>
          </w:p>
          <w:p w14:paraId="67B0D51A" w14:textId="77777777" w:rsidR="009D18A7" w:rsidRDefault="009D18A7" w:rsidP="009D18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Age Factor</w:t>
            </w:r>
          </w:p>
          <w:p w14:paraId="05EC289B" w14:textId="77777777" w:rsidR="009D18A7" w:rsidRDefault="009D18A7">
            <w:pPr>
              <w:cnfStyle w:val="000000100000" w:firstRow="0" w:lastRow="0" w:firstColumn="0" w:lastColumn="0" w:oddVBand="0" w:evenVBand="0" w:oddHBand="1" w:evenHBand="0" w:firstRowFirstColumn="0" w:firstRowLastColumn="0" w:lastRowFirstColumn="0" w:lastRowLastColumn="0"/>
            </w:pPr>
          </w:p>
        </w:tc>
        <w:tc>
          <w:tcPr>
            <w:tcW w:w="448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4FDE73D6" w14:textId="77777777" w:rsidR="009D18A7" w:rsidRDefault="009D18A7" w:rsidP="009D18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A higher percentage of the educated customer population helps a lot in the smooth working of the bank.</w:t>
            </w:r>
          </w:p>
          <w:p w14:paraId="240EB50E" w14:textId="77777777" w:rsidR="009D18A7" w:rsidRDefault="009D18A7" w:rsidP="009D18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A major chunk of the youth population will be favourable.</w:t>
            </w:r>
          </w:p>
        </w:tc>
      </w:tr>
      <w:tr w:rsidR="009D18A7" w14:paraId="280C94FD" w14:textId="77777777" w:rsidTr="00974E04">
        <w:trPr>
          <w:trHeight w:val="2758"/>
        </w:trPr>
        <w:tc>
          <w:tcPr>
            <w:cnfStyle w:val="001000000000" w:firstRow="0" w:lastRow="0" w:firstColumn="1" w:lastColumn="0" w:oddVBand="0" w:evenVBand="0" w:oddHBand="0" w:evenHBand="0" w:firstRowFirstColumn="0" w:firstRowLastColumn="0" w:lastRowFirstColumn="0" w:lastRowLastColumn="0"/>
            <w:tcW w:w="1789" w:type="dxa"/>
            <w:tcBorders>
              <w:top w:val="single" w:sz="2" w:space="0" w:color="9CC2E5" w:themeColor="accent5" w:themeTint="99"/>
              <w:left w:val="nil"/>
              <w:bottom w:val="single" w:sz="2" w:space="0" w:color="9CC2E5" w:themeColor="accent5" w:themeTint="99"/>
              <w:right w:val="single" w:sz="2" w:space="0" w:color="9CC2E5" w:themeColor="accent5" w:themeTint="99"/>
            </w:tcBorders>
            <w:vAlign w:val="center"/>
            <w:hideMark/>
          </w:tcPr>
          <w:p w14:paraId="5C756B41" w14:textId="77777777" w:rsidR="009D18A7" w:rsidRDefault="009D18A7">
            <w:r>
              <w:t>Technological</w:t>
            </w:r>
          </w:p>
        </w:tc>
        <w:tc>
          <w:tcPr>
            <w:tcW w:w="406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FA07734" w14:textId="77777777" w:rsidR="009D18A7" w:rsidRDefault="009D18A7" w:rsidP="009D18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Social media</w:t>
            </w:r>
          </w:p>
          <w:p w14:paraId="159154DD"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03714DE6" w14:textId="77777777" w:rsidR="009D18A7" w:rsidRDefault="009D18A7" w:rsidP="009D18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Data security</w:t>
            </w:r>
          </w:p>
          <w:p w14:paraId="2CC61918"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46BD6B76"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6BD05B1E" w14:textId="77777777" w:rsidR="009D18A7" w:rsidRDefault="009D18A7" w:rsidP="009D18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AI Implementation</w:t>
            </w:r>
          </w:p>
          <w:p w14:paraId="33447227"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63DC1D81"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0E64C7D1" w14:textId="77777777" w:rsidR="009D18A7" w:rsidRDefault="009D18A7">
            <w:pPr>
              <w:cnfStyle w:val="000000000000" w:firstRow="0" w:lastRow="0" w:firstColumn="0" w:lastColumn="0" w:oddVBand="0" w:evenVBand="0" w:oddHBand="0" w:evenHBand="0" w:firstRowFirstColumn="0" w:firstRowLastColumn="0" w:lastRowFirstColumn="0" w:lastRowLastColumn="0"/>
            </w:pPr>
          </w:p>
        </w:tc>
        <w:tc>
          <w:tcPr>
            <w:tcW w:w="448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4B524A42" w14:textId="77777777" w:rsidR="009D18A7" w:rsidRDefault="009D18A7" w:rsidP="009D18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It helps in the marketing as well as promotional activities for the bank.</w:t>
            </w:r>
          </w:p>
          <w:p w14:paraId="2EF79BB2" w14:textId="77777777" w:rsidR="009D18A7" w:rsidRDefault="009D18A7" w:rsidP="009D18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The Banks should have a firewall to prevent cyber-attacks and protect the bank’s crucial data.</w:t>
            </w:r>
          </w:p>
          <w:p w14:paraId="6C1CCDB5" w14:textId="77777777" w:rsidR="009D18A7" w:rsidRDefault="009D18A7" w:rsidP="009D18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The AI implementation in the banking system will help in increasing customer satisfaction as well as efficient functioning.</w:t>
            </w:r>
          </w:p>
        </w:tc>
      </w:tr>
      <w:tr w:rsidR="009D18A7" w14:paraId="0DCB55B1" w14:textId="77777777" w:rsidTr="00974E04">
        <w:trPr>
          <w:cnfStyle w:val="000000100000" w:firstRow="0" w:lastRow="0" w:firstColumn="0" w:lastColumn="0" w:oddVBand="0" w:evenVBand="0" w:oddHBand="1" w:evenHBand="0" w:firstRowFirstColumn="0" w:firstRowLastColumn="0" w:lastRowFirstColumn="0" w:lastRowLastColumn="0"/>
          <w:trHeight w:val="2199"/>
        </w:trPr>
        <w:tc>
          <w:tcPr>
            <w:cnfStyle w:val="001000000000" w:firstRow="0" w:lastRow="0" w:firstColumn="1" w:lastColumn="0" w:oddVBand="0" w:evenVBand="0" w:oddHBand="0" w:evenHBand="0" w:firstRowFirstColumn="0" w:firstRowLastColumn="0" w:lastRowFirstColumn="0" w:lastRowLastColumn="0"/>
            <w:tcW w:w="1789" w:type="dxa"/>
            <w:tcBorders>
              <w:top w:val="single" w:sz="2" w:space="0" w:color="9CC2E5" w:themeColor="accent5" w:themeTint="99"/>
              <w:left w:val="nil"/>
              <w:bottom w:val="single" w:sz="2" w:space="0" w:color="9CC2E5" w:themeColor="accent5" w:themeTint="99"/>
              <w:right w:val="single" w:sz="2" w:space="0" w:color="9CC2E5" w:themeColor="accent5" w:themeTint="99"/>
            </w:tcBorders>
            <w:vAlign w:val="center"/>
            <w:hideMark/>
          </w:tcPr>
          <w:p w14:paraId="05BC67AF" w14:textId="77777777" w:rsidR="009D18A7" w:rsidRDefault="009D18A7">
            <w:r>
              <w:lastRenderedPageBreak/>
              <w:t>Environmental</w:t>
            </w:r>
          </w:p>
        </w:tc>
        <w:tc>
          <w:tcPr>
            <w:tcW w:w="406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27E259C6" w14:textId="77777777" w:rsidR="009D18A7" w:rsidRDefault="009D18A7" w:rsidP="009D18A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Regulations &amp; Standards</w:t>
            </w:r>
          </w:p>
          <w:p w14:paraId="319AD96C" w14:textId="77777777" w:rsidR="009D18A7" w:rsidRDefault="009D18A7">
            <w:pPr>
              <w:cnfStyle w:val="000000100000" w:firstRow="0" w:lastRow="0" w:firstColumn="0" w:lastColumn="0" w:oddVBand="0" w:evenVBand="0" w:oddHBand="1" w:evenHBand="0" w:firstRowFirstColumn="0" w:firstRowLastColumn="0" w:lastRowFirstColumn="0" w:lastRowLastColumn="0"/>
            </w:pPr>
          </w:p>
          <w:p w14:paraId="1C93CB92" w14:textId="77777777" w:rsidR="009D18A7" w:rsidRDefault="009D18A7">
            <w:pPr>
              <w:cnfStyle w:val="000000100000" w:firstRow="0" w:lastRow="0" w:firstColumn="0" w:lastColumn="0" w:oddVBand="0" w:evenVBand="0" w:oddHBand="1" w:evenHBand="0" w:firstRowFirstColumn="0" w:firstRowLastColumn="0" w:lastRowFirstColumn="0" w:lastRowLastColumn="0"/>
            </w:pPr>
          </w:p>
          <w:p w14:paraId="6CF55084" w14:textId="77777777" w:rsidR="009D18A7" w:rsidRDefault="009D18A7" w:rsidP="009D18A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Climate changes</w:t>
            </w:r>
          </w:p>
          <w:p w14:paraId="1A1EC5CD" w14:textId="77777777" w:rsidR="009D18A7" w:rsidRDefault="009D18A7">
            <w:pPr>
              <w:cnfStyle w:val="000000100000" w:firstRow="0" w:lastRow="0" w:firstColumn="0" w:lastColumn="0" w:oddVBand="0" w:evenVBand="0" w:oddHBand="1" w:evenHBand="0" w:firstRowFirstColumn="0" w:firstRowLastColumn="0" w:lastRowFirstColumn="0" w:lastRowLastColumn="0"/>
            </w:pPr>
          </w:p>
          <w:p w14:paraId="2F22C67C" w14:textId="77777777" w:rsidR="009D18A7" w:rsidRDefault="009D18A7">
            <w:pPr>
              <w:cnfStyle w:val="000000100000" w:firstRow="0" w:lastRow="0" w:firstColumn="0" w:lastColumn="0" w:oddVBand="0" w:evenVBand="0" w:oddHBand="1" w:evenHBand="0" w:firstRowFirstColumn="0" w:firstRowLastColumn="0" w:lastRowFirstColumn="0" w:lastRowLastColumn="0"/>
            </w:pPr>
          </w:p>
          <w:p w14:paraId="6425625B" w14:textId="77777777" w:rsidR="009D18A7" w:rsidRDefault="009D18A7" w:rsidP="009D18A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Waste management regulations</w:t>
            </w:r>
          </w:p>
          <w:p w14:paraId="093B18B3" w14:textId="77777777" w:rsidR="009D18A7" w:rsidRDefault="009D18A7">
            <w:pPr>
              <w:cnfStyle w:val="000000100000" w:firstRow="0" w:lastRow="0" w:firstColumn="0" w:lastColumn="0" w:oddVBand="0" w:evenVBand="0" w:oddHBand="1" w:evenHBand="0" w:firstRowFirstColumn="0" w:firstRowLastColumn="0" w:lastRowFirstColumn="0" w:lastRowLastColumn="0"/>
            </w:pPr>
          </w:p>
          <w:p w14:paraId="3B2F4420" w14:textId="77777777" w:rsidR="009D18A7" w:rsidRDefault="009D18A7">
            <w:pPr>
              <w:cnfStyle w:val="000000100000" w:firstRow="0" w:lastRow="0" w:firstColumn="0" w:lastColumn="0" w:oddVBand="0" w:evenVBand="0" w:oddHBand="1" w:evenHBand="0" w:firstRowFirstColumn="0" w:firstRowLastColumn="0" w:lastRowFirstColumn="0" w:lastRowLastColumn="0"/>
            </w:pPr>
          </w:p>
        </w:tc>
        <w:tc>
          <w:tcPr>
            <w:tcW w:w="448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1F5542D7" w14:textId="77777777" w:rsidR="009D18A7" w:rsidRDefault="009D18A7" w:rsidP="009D18A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The bank must comply with environmental rules and regulations for its operations.</w:t>
            </w:r>
          </w:p>
          <w:p w14:paraId="24F1E2F6" w14:textId="77777777" w:rsidR="009D18A7" w:rsidRDefault="009D18A7" w:rsidP="009D18A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Climate change risks may affect banking operations, so the bank should have a backup to manage those risks.</w:t>
            </w:r>
          </w:p>
          <w:p w14:paraId="6E9CBB53" w14:textId="77777777" w:rsidR="009D18A7" w:rsidRDefault="009D18A7" w:rsidP="009D18A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The Bank must follow regulations on waste management by the government to avoid penalties.</w:t>
            </w:r>
          </w:p>
        </w:tc>
      </w:tr>
      <w:tr w:rsidR="009D18A7" w14:paraId="54A8B8BC" w14:textId="77777777" w:rsidTr="005636F9">
        <w:trPr>
          <w:trHeight w:val="2961"/>
        </w:trPr>
        <w:tc>
          <w:tcPr>
            <w:cnfStyle w:val="001000000000" w:firstRow="0" w:lastRow="0" w:firstColumn="1" w:lastColumn="0" w:oddVBand="0" w:evenVBand="0" w:oddHBand="0" w:evenHBand="0" w:firstRowFirstColumn="0" w:firstRowLastColumn="0" w:lastRowFirstColumn="0" w:lastRowLastColumn="0"/>
            <w:tcW w:w="1789" w:type="dxa"/>
            <w:tcBorders>
              <w:top w:val="single" w:sz="2" w:space="0" w:color="9CC2E5" w:themeColor="accent5" w:themeTint="99"/>
              <w:left w:val="nil"/>
              <w:bottom w:val="single" w:sz="2" w:space="0" w:color="9CC2E5" w:themeColor="accent5" w:themeTint="99"/>
              <w:right w:val="single" w:sz="2" w:space="0" w:color="9CC2E5" w:themeColor="accent5" w:themeTint="99"/>
            </w:tcBorders>
            <w:vAlign w:val="center"/>
            <w:hideMark/>
          </w:tcPr>
          <w:p w14:paraId="4CA32890" w14:textId="77777777" w:rsidR="009D18A7" w:rsidRDefault="009D18A7">
            <w:r>
              <w:t>Legal</w:t>
            </w:r>
          </w:p>
        </w:tc>
        <w:tc>
          <w:tcPr>
            <w:tcW w:w="406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2A57FE2C" w14:textId="77777777" w:rsidR="009D18A7" w:rsidRDefault="009D18A7" w:rsidP="009D18A7">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 xml:space="preserve">Health &amp; Safety </w:t>
            </w:r>
          </w:p>
          <w:p w14:paraId="0CBE9A01"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0726DECD"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5BC7FA05"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21CF7240" w14:textId="77777777" w:rsidR="009D18A7" w:rsidRDefault="009D18A7" w:rsidP="009D18A7">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Employment Laws</w:t>
            </w:r>
          </w:p>
          <w:p w14:paraId="2E5ED253"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490927B9"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7F45D352" w14:textId="77777777" w:rsidR="009D18A7" w:rsidRDefault="009D18A7" w:rsidP="009D18A7">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Anti-Discrimination law</w:t>
            </w:r>
          </w:p>
          <w:p w14:paraId="34C8FF4E"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1DF71965"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2B960B2A" w14:textId="77777777" w:rsidR="009D18A7" w:rsidRDefault="009D18A7">
            <w:pPr>
              <w:cnfStyle w:val="000000000000" w:firstRow="0" w:lastRow="0" w:firstColumn="0" w:lastColumn="0" w:oddVBand="0" w:evenVBand="0" w:oddHBand="0" w:evenHBand="0" w:firstRowFirstColumn="0" w:firstRowLastColumn="0" w:lastRowFirstColumn="0" w:lastRowLastColumn="0"/>
            </w:pPr>
          </w:p>
          <w:p w14:paraId="36370B12" w14:textId="77777777" w:rsidR="009D18A7" w:rsidRDefault="009D18A7">
            <w:pPr>
              <w:cnfStyle w:val="000000000000" w:firstRow="0" w:lastRow="0" w:firstColumn="0" w:lastColumn="0" w:oddVBand="0" w:evenVBand="0" w:oddHBand="0" w:evenHBand="0" w:firstRowFirstColumn="0" w:firstRowLastColumn="0" w:lastRowFirstColumn="0" w:lastRowLastColumn="0"/>
            </w:pPr>
          </w:p>
        </w:tc>
        <w:tc>
          <w:tcPr>
            <w:tcW w:w="448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78B08FF2" w14:textId="77777777" w:rsidR="009D18A7" w:rsidRDefault="009D18A7" w:rsidP="009D18A7">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The bank must follow regulations for the health &amp; safety of employees. Scotiabank always try to keep this as their top priority.</w:t>
            </w:r>
          </w:p>
          <w:p w14:paraId="288F3206" w14:textId="77777777" w:rsidR="009D18A7" w:rsidRDefault="009D18A7" w:rsidP="009D18A7">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The bank should follow the Employment law contracts authorized by the government bodies.</w:t>
            </w:r>
          </w:p>
          <w:p w14:paraId="187ED471" w14:textId="0D2C9AFF" w:rsidR="009D18A7" w:rsidRDefault="009D18A7" w:rsidP="009D18A7">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 xml:space="preserve">The country has a diverse population with </w:t>
            </w:r>
            <w:r w:rsidR="00497A96">
              <w:t xml:space="preserve">a </w:t>
            </w:r>
            <w:r>
              <w:t>lot of immigrants, so the bank must ensure that there is no discrimination in the company.</w:t>
            </w:r>
          </w:p>
        </w:tc>
      </w:tr>
    </w:tbl>
    <w:p w14:paraId="580B4F25" w14:textId="48DC0460" w:rsidR="00253246" w:rsidRDefault="007C4962" w:rsidP="00253246">
      <w:r>
        <w:t>(</w:t>
      </w:r>
      <w:r>
        <w:rPr>
          <w:i/>
          <w:iCs/>
        </w:rPr>
        <w:t>PESTEL Analysis of Scotiabank</w:t>
      </w:r>
      <w:r>
        <w:t>, n.d.)</w:t>
      </w:r>
    </w:p>
    <w:p w14:paraId="1C2FCA9B" w14:textId="77777777" w:rsidR="00253246" w:rsidRDefault="00253246" w:rsidP="00253246"/>
    <w:p w14:paraId="6F9FBA90" w14:textId="77777777" w:rsidR="00253246" w:rsidRDefault="00253246" w:rsidP="00253246"/>
    <w:p w14:paraId="6BF4F45F" w14:textId="77777777" w:rsidR="00253246" w:rsidRDefault="00253246" w:rsidP="00253246"/>
    <w:p w14:paraId="26EB188A" w14:textId="77777777" w:rsidR="00253246" w:rsidRDefault="00253246" w:rsidP="00253246"/>
    <w:p w14:paraId="7484C9FC" w14:textId="77777777" w:rsidR="00253246" w:rsidRDefault="00253246" w:rsidP="00253246"/>
    <w:p w14:paraId="7EEBB9AC" w14:textId="77777777" w:rsidR="00253246" w:rsidRDefault="00253246" w:rsidP="00253246"/>
    <w:p w14:paraId="6E1C8E56" w14:textId="77777777" w:rsidR="00253246" w:rsidRDefault="00253246" w:rsidP="00253246"/>
    <w:p w14:paraId="445994AE" w14:textId="77777777" w:rsidR="00253246" w:rsidRDefault="00253246" w:rsidP="00253246"/>
    <w:p w14:paraId="75FD4848" w14:textId="77777777" w:rsidR="00253246" w:rsidRDefault="00253246" w:rsidP="00253246"/>
    <w:p w14:paraId="54C364F7" w14:textId="77777777" w:rsidR="00253246" w:rsidRDefault="00253246" w:rsidP="00253246"/>
    <w:p w14:paraId="4C9C2799" w14:textId="77777777" w:rsidR="00253246" w:rsidRDefault="00253246" w:rsidP="00253246"/>
    <w:p w14:paraId="52282715" w14:textId="77777777" w:rsidR="00253246" w:rsidRDefault="00253246" w:rsidP="00253246"/>
    <w:p w14:paraId="10701FE1" w14:textId="77777777" w:rsidR="00253246" w:rsidRDefault="00253246" w:rsidP="00253246"/>
    <w:p w14:paraId="2FED1813" w14:textId="77777777" w:rsidR="00253246" w:rsidRDefault="00253246" w:rsidP="00253246"/>
    <w:p w14:paraId="567C7FF7" w14:textId="77777777" w:rsidR="00253246" w:rsidRPr="00253246" w:rsidRDefault="00253246" w:rsidP="00253246">
      <w:pPr>
        <w:rPr>
          <w:lang w:val="en-US"/>
        </w:rPr>
      </w:pPr>
    </w:p>
    <w:p w14:paraId="72A20D44" w14:textId="3CFD2F45" w:rsidR="00D111FD" w:rsidRPr="00E64E14" w:rsidRDefault="00DD7AA5" w:rsidP="00CF52DD">
      <w:pPr>
        <w:pStyle w:val="Heading1"/>
        <w:rPr>
          <w:b/>
          <w:bCs/>
        </w:rPr>
      </w:pPr>
      <w:bookmarkStart w:id="28" w:name="_Toc145702374"/>
      <w:r w:rsidRPr="00E64E14">
        <w:rPr>
          <w:b/>
          <w:bCs/>
        </w:rPr>
        <w:lastRenderedPageBreak/>
        <w:t>BALANCED SCORECARD for Scotiabank, TD, CIBC &amp; BMO</w:t>
      </w:r>
      <w:bookmarkEnd w:id="28"/>
    </w:p>
    <w:p w14:paraId="6CA92B23" w14:textId="77777777" w:rsidR="00DD7AA5" w:rsidRDefault="00DD7AA5" w:rsidP="00D111FD">
      <w:pPr>
        <w:shd w:val="clear" w:color="auto" w:fill="FFFFFF" w:themeFill="background1"/>
        <w:ind w:left="360"/>
        <w:rPr>
          <w:rFonts w:cstheme="minorHAnsi"/>
          <w:b/>
          <w:bCs/>
          <w:color w:val="000000" w:themeColor="text1"/>
          <w:lang w:val="en-US"/>
        </w:rPr>
      </w:pPr>
    </w:p>
    <w:p w14:paraId="1F129F4B" w14:textId="77777777" w:rsidR="00DD7AA5" w:rsidRPr="005F1362" w:rsidRDefault="00DD7AA5" w:rsidP="005F1362">
      <w:pPr>
        <w:rPr>
          <w:b/>
          <w:bCs/>
          <w:sz w:val="24"/>
          <w:szCs w:val="24"/>
        </w:rPr>
      </w:pPr>
      <w:r w:rsidRPr="005F1362">
        <w:rPr>
          <w:b/>
          <w:bCs/>
          <w:sz w:val="24"/>
          <w:szCs w:val="24"/>
        </w:rPr>
        <w:t>Scotiabank's Balance Scorecard:</w:t>
      </w:r>
    </w:p>
    <w:p w14:paraId="485F7C27" w14:textId="77777777" w:rsidR="00DD7AA5" w:rsidRPr="00CF5BDF" w:rsidRDefault="00DD7AA5" w:rsidP="00CF5BDF">
      <w:pPr>
        <w:jc w:val="both"/>
        <w:rPr>
          <w:b/>
          <w:bCs/>
        </w:rPr>
      </w:pPr>
      <w:r w:rsidRPr="00CF5BDF">
        <w:rPr>
          <w:b/>
          <w:bCs/>
        </w:rPr>
        <w:t>Financial</w:t>
      </w:r>
    </w:p>
    <w:p w14:paraId="122ABBC3" w14:textId="211DDC3E" w:rsidR="00DD7AA5" w:rsidRPr="003E69C0" w:rsidRDefault="00DD7AA5" w:rsidP="00DD7AA5">
      <w:r w:rsidRPr="003E69C0">
        <w:t>• Return on equity is calculated to be 14.8%.</w:t>
      </w:r>
      <w:sdt>
        <w:sdtPr>
          <w:id w:val="-1495951557"/>
          <w:citation/>
        </w:sdtPr>
        <w:sdtContent>
          <w:r w:rsidRPr="003E69C0">
            <w:fldChar w:fldCharType="begin"/>
          </w:r>
          <w:r>
            <w:instrText xml:space="preserve">CITATION Placeholder1 \l 1033 </w:instrText>
          </w:r>
          <w:r w:rsidRPr="003E69C0">
            <w:fldChar w:fldCharType="separate"/>
          </w:r>
          <w:r w:rsidR="00AD2C7A">
            <w:rPr>
              <w:noProof/>
            </w:rPr>
            <w:t xml:space="preserve"> </w:t>
          </w:r>
          <w:r w:rsidR="00AD2C7A" w:rsidRPr="00AD2C7A">
            <w:rPr>
              <w:noProof/>
            </w:rPr>
            <w:t>(ScotiaBank, 2022)</w:t>
          </w:r>
          <w:r w:rsidRPr="003E69C0">
            <w:fldChar w:fldCharType="end"/>
          </w:r>
        </w:sdtContent>
      </w:sdt>
    </w:p>
    <w:p w14:paraId="0C71E848" w14:textId="566ACFBC" w:rsidR="00DD7AA5" w:rsidRPr="003E69C0" w:rsidRDefault="00DD7AA5" w:rsidP="00DD7AA5">
      <w:r w:rsidRPr="003E69C0">
        <w:t>• An 8.0% increase in diluted earnings per share.</w:t>
      </w:r>
      <w:sdt>
        <w:sdtPr>
          <w:id w:val="-1777783156"/>
          <w:citation/>
        </w:sdtPr>
        <w:sdtContent>
          <w:r w:rsidRPr="003E69C0">
            <w:fldChar w:fldCharType="begin"/>
          </w:r>
          <w:r>
            <w:instrText xml:space="preserve">CITATION Placeholder1 \l 1033 </w:instrText>
          </w:r>
          <w:r w:rsidRPr="003E69C0">
            <w:fldChar w:fldCharType="separate"/>
          </w:r>
          <w:r w:rsidR="00AD2C7A">
            <w:rPr>
              <w:noProof/>
            </w:rPr>
            <w:t xml:space="preserve"> </w:t>
          </w:r>
          <w:r w:rsidR="00AD2C7A" w:rsidRPr="00AD2C7A">
            <w:rPr>
              <w:noProof/>
            </w:rPr>
            <w:t>(ScotiaBank, 2022)</w:t>
          </w:r>
          <w:r w:rsidRPr="003E69C0">
            <w:fldChar w:fldCharType="end"/>
          </w:r>
        </w:sdtContent>
      </w:sdt>
    </w:p>
    <w:p w14:paraId="08E8CDBA" w14:textId="50FF0D17" w:rsidR="00DD7AA5" w:rsidRDefault="00DD7AA5" w:rsidP="00DD7AA5">
      <w:r w:rsidRPr="003E69C0">
        <w:t>• Revenue growth is 1.27%, which is somewhat higher than the previous year 2021.</w:t>
      </w:r>
      <w:sdt>
        <w:sdtPr>
          <w:id w:val="-1052534329"/>
          <w:citation/>
        </w:sdtPr>
        <w:sdtContent>
          <w:r w:rsidRPr="003E69C0">
            <w:fldChar w:fldCharType="begin"/>
          </w:r>
          <w:r w:rsidRPr="003E69C0">
            <w:instrText xml:space="preserve"> CITATION Sco21 \l 1033 </w:instrText>
          </w:r>
          <w:r w:rsidRPr="003E69C0">
            <w:fldChar w:fldCharType="separate"/>
          </w:r>
          <w:r w:rsidR="00AD2C7A">
            <w:rPr>
              <w:noProof/>
            </w:rPr>
            <w:t xml:space="preserve"> </w:t>
          </w:r>
          <w:r w:rsidR="00AD2C7A" w:rsidRPr="00AD2C7A">
            <w:rPr>
              <w:noProof/>
            </w:rPr>
            <w:t>(ScotiaBank, 2021)</w:t>
          </w:r>
          <w:r w:rsidRPr="003E69C0">
            <w:fldChar w:fldCharType="end"/>
          </w:r>
        </w:sdtContent>
      </w:sdt>
    </w:p>
    <w:p w14:paraId="54C99FA8" w14:textId="77777777" w:rsidR="00D733D6" w:rsidRPr="003E69C0" w:rsidRDefault="00D733D6" w:rsidP="00DD7AA5"/>
    <w:p w14:paraId="66291B8E" w14:textId="79483B57" w:rsidR="00DD7AA5" w:rsidRPr="00CF5BDF" w:rsidRDefault="00DD7AA5" w:rsidP="00CF5BDF">
      <w:pPr>
        <w:jc w:val="both"/>
        <w:rPr>
          <w:b/>
          <w:bCs/>
        </w:rPr>
      </w:pPr>
      <w:r w:rsidRPr="00CF5BDF">
        <w:rPr>
          <w:b/>
          <w:bCs/>
        </w:rPr>
        <w:t>Calculation</w:t>
      </w:r>
      <w:r w:rsidR="00CF5BDF">
        <w:rPr>
          <w:b/>
          <w:bCs/>
        </w:rPr>
        <w:t>s:</w:t>
      </w:r>
    </w:p>
    <w:p w14:paraId="5212FF43" w14:textId="77777777" w:rsidR="00DD7AA5" w:rsidRPr="003E69C0" w:rsidRDefault="00DD7AA5" w:rsidP="00DD7AA5">
      <w:r w:rsidRPr="003E69C0">
        <w:rPr>
          <w:b/>
          <w:bCs/>
        </w:rPr>
        <w:t>Revenue Growth = [(Adjusted Revenue this year - Adjusted Revenue last year) / Adjusted Revenue last year] * 100</w:t>
      </w:r>
    </w:p>
    <w:p w14:paraId="3DD77DAA" w14:textId="77777777" w:rsidR="00DD7AA5" w:rsidRPr="003E69C0" w:rsidRDefault="00DD7AA5" w:rsidP="00DD7AA5">
      <w:r w:rsidRPr="003E69C0">
        <w:t>Comparing the year 2022 and 2021 data,</w:t>
      </w:r>
    </w:p>
    <w:p w14:paraId="0EFCB1CF" w14:textId="77777777" w:rsidR="00DD7AA5" w:rsidRPr="003E69C0" w:rsidRDefault="00DD7AA5" w:rsidP="00DD7AA5">
      <w:r w:rsidRPr="003E69C0">
        <w:t>Adjusted Revenue of year 2022= $31.8 Billion</w:t>
      </w:r>
    </w:p>
    <w:p w14:paraId="0F3E1DE1" w14:textId="77777777" w:rsidR="00DD7AA5" w:rsidRPr="003E69C0" w:rsidRDefault="00DD7AA5" w:rsidP="00DD7AA5">
      <w:r w:rsidRPr="003E69C0">
        <w:t>Adjusted Revenue of year 2021 = $31.2 Billion</w:t>
      </w:r>
    </w:p>
    <w:p w14:paraId="5D0D05BF" w14:textId="77777777" w:rsidR="00DD7AA5" w:rsidRPr="003E69C0" w:rsidRDefault="00DD7AA5" w:rsidP="00DD7AA5">
      <w:pPr>
        <w:rPr>
          <w:b/>
          <w:bCs/>
        </w:rPr>
      </w:pPr>
      <w:r w:rsidRPr="003E69C0">
        <w:rPr>
          <w:b/>
          <w:bCs/>
        </w:rPr>
        <w:t>Revenue Growth = [($31.8B - $31.2B) / $31.2B] * 100</w:t>
      </w:r>
    </w:p>
    <w:p w14:paraId="57A25564" w14:textId="77777777" w:rsidR="00DD7AA5" w:rsidRPr="003E69C0" w:rsidRDefault="00DD7AA5" w:rsidP="00DD7AA5">
      <w:pPr>
        <w:ind w:left="1800"/>
        <w:rPr>
          <w:b/>
          <w:bCs/>
        </w:rPr>
      </w:pPr>
      <w:r w:rsidRPr="003E69C0">
        <w:rPr>
          <w:b/>
          <w:bCs/>
        </w:rPr>
        <w:t>= (0.4 / 31.2) * 100</w:t>
      </w:r>
    </w:p>
    <w:p w14:paraId="09B2B17A" w14:textId="77777777" w:rsidR="00DD7AA5" w:rsidRPr="003E69C0" w:rsidRDefault="00DD7AA5" w:rsidP="00DD7AA5">
      <w:pPr>
        <w:ind w:left="1080" w:firstLine="720"/>
        <w:rPr>
          <w:b/>
          <w:bCs/>
        </w:rPr>
      </w:pPr>
      <w:r w:rsidRPr="003E69C0">
        <w:rPr>
          <w:b/>
          <w:bCs/>
        </w:rPr>
        <w:t>= 1.28%</w:t>
      </w:r>
    </w:p>
    <w:p w14:paraId="274F4820" w14:textId="72414B13" w:rsidR="00DD7AA5" w:rsidRPr="003E69C0" w:rsidRDefault="00DD7AA5" w:rsidP="00DD7AA5">
      <w:pPr>
        <w:rPr>
          <w:b/>
          <w:bCs/>
        </w:rPr>
      </w:pPr>
      <w:r w:rsidRPr="003E69C0">
        <w:t>The Profitability (Net Profit Margin) is calculated at 33.65%.</w:t>
      </w:r>
      <w:sdt>
        <w:sdtPr>
          <w:id w:val="1194344403"/>
          <w:citation/>
        </w:sdtPr>
        <w:sdtContent>
          <w:r w:rsidRPr="003E69C0">
            <w:fldChar w:fldCharType="begin"/>
          </w:r>
          <w:r>
            <w:instrText xml:space="preserve">CITATION Placeholder1 \l 1033 </w:instrText>
          </w:r>
          <w:r w:rsidRPr="003E69C0">
            <w:fldChar w:fldCharType="separate"/>
          </w:r>
          <w:r w:rsidR="00AD2C7A">
            <w:rPr>
              <w:noProof/>
            </w:rPr>
            <w:t xml:space="preserve"> </w:t>
          </w:r>
          <w:r w:rsidR="00AD2C7A" w:rsidRPr="00AD2C7A">
            <w:rPr>
              <w:noProof/>
            </w:rPr>
            <w:t>(ScotiaBank, 2022)</w:t>
          </w:r>
          <w:r w:rsidRPr="003E69C0">
            <w:fldChar w:fldCharType="end"/>
          </w:r>
        </w:sdtContent>
      </w:sdt>
      <w:sdt>
        <w:sdtPr>
          <w:id w:val="-311647561"/>
          <w:citation/>
        </w:sdtPr>
        <w:sdtContent>
          <w:r w:rsidRPr="003E69C0">
            <w:fldChar w:fldCharType="begin"/>
          </w:r>
          <w:r w:rsidRPr="003E69C0">
            <w:instrText xml:space="preserve"> CITATION Sco21 \l 1033 </w:instrText>
          </w:r>
          <w:r w:rsidRPr="003E69C0">
            <w:fldChar w:fldCharType="separate"/>
          </w:r>
          <w:r w:rsidR="00AD2C7A">
            <w:rPr>
              <w:noProof/>
            </w:rPr>
            <w:t xml:space="preserve"> </w:t>
          </w:r>
          <w:r w:rsidR="00AD2C7A" w:rsidRPr="00AD2C7A">
            <w:rPr>
              <w:noProof/>
            </w:rPr>
            <w:t>(ScotiaBank, 2021)</w:t>
          </w:r>
          <w:r w:rsidRPr="003E69C0">
            <w:fldChar w:fldCharType="end"/>
          </w:r>
        </w:sdtContent>
      </w:sdt>
    </w:p>
    <w:p w14:paraId="737041D3" w14:textId="77777777" w:rsidR="00E62B38" w:rsidRDefault="00E62B38" w:rsidP="00DD7AA5">
      <w:pPr>
        <w:pStyle w:val="ListParagraph"/>
        <w:ind w:left="0"/>
        <w:rPr>
          <w:b/>
          <w:bCs/>
        </w:rPr>
      </w:pPr>
    </w:p>
    <w:p w14:paraId="278D9808" w14:textId="38ECE740" w:rsidR="00DD7AA5" w:rsidRDefault="00DD7AA5" w:rsidP="00DD7AA5">
      <w:pPr>
        <w:pStyle w:val="ListParagraph"/>
        <w:ind w:left="0"/>
        <w:rPr>
          <w:b/>
          <w:bCs/>
        </w:rPr>
      </w:pPr>
      <w:r w:rsidRPr="003E69C0">
        <w:rPr>
          <w:b/>
          <w:bCs/>
        </w:rPr>
        <w:t>Net Profit Margin = (Adjusted Net Income / Adjusted Revenue) * 100</w:t>
      </w:r>
    </w:p>
    <w:p w14:paraId="7E0E35C2" w14:textId="77777777" w:rsidR="00DD7AA5" w:rsidRDefault="00DD7AA5" w:rsidP="00DD7AA5">
      <w:pPr>
        <w:pStyle w:val="ListParagraph"/>
        <w:ind w:left="0"/>
        <w:rPr>
          <w:b/>
          <w:bCs/>
        </w:rPr>
      </w:pPr>
      <w:r w:rsidRPr="003E69C0">
        <w:rPr>
          <w:b/>
          <w:bCs/>
        </w:rPr>
        <w:t>Net Profit Margin = ($10.7B / $31.8B) * 100</w:t>
      </w:r>
    </w:p>
    <w:p w14:paraId="02313EEE" w14:textId="128F07A1" w:rsidR="00DD7AA5" w:rsidRDefault="00DD7AA5" w:rsidP="00DD7AA5">
      <w:pPr>
        <w:pStyle w:val="ListParagraph"/>
        <w:ind w:left="0"/>
        <w:rPr>
          <w:b/>
          <w:bCs/>
        </w:rPr>
      </w:pPr>
      <w:r w:rsidRPr="003E69C0">
        <w:rPr>
          <w:b/>
          <w:bCs/>
        </w:rPr>
        <w:t xml:space="preserve">= 33.65% </w:t>
      </w:r>
      <w:sdt>
        <w:sdtPr>
          <w:rPr>
            <w:b/>
            <w:bCs/>
          </w:rPr>
          <w:id w:val="-1798367253"/>
          <w:citation/>
        </w:sdtPr>
        <w:sdtContent>
          <w:r w:rsidRPr="003E69C0">
            <w:rPr>
              <w:b/>
              <w:bCs/>
            </w:rPr>
            <w:fldChar w:fldCharType="begin"/>
          </w:r>
          <w:r>
            <w:rPr>
              <w:b/>
              <w:bCs/>
            </w:rPr>
            <w:instrText xml:space="preserve">CITATION Placeholder1 \l 1033 </w:instrText>
          </w:r>
          <w:r w:rsidRPr="003E69C0">
            <w:rPr>
              <w:b/>
              <w:bCs/>
            </w:rPr>
            <w:fldChar w:fldCharType="separate"/>
          </w:r>
          <w:r w:rsidR="00AD2C7A" w:rsidRPr="00AD2C7A">
            <w:rPr>
              <w:noProof/>
            </w:rPr>
            <w:t>(ScotiaBank, 2022)</w:t>
          </w:r>
          <w:r w:rsidRPr="003E69C0">
            <w:rPr>
              <w:b/>
              <w:bCs/>
            </w:rPr>
            <w:fldChar w:fldCharType="end"/>
          </w:r>
        </w:sdtContent>
      </w:sdt>
    </w:p>
    <w:p w14:paraId="3647CFDB" w14:textId="77777777" w:rsidR="00DD7AA5" w:rsidRPr="003E69C0" w:rsidRDefault="00DD7AA5" w:rsidP="00DD7AA5">
      <w:pPr>
        <w:pStyle w:val="ListParagraph"/>
        <w:ind w:left="0"/>
        <w:rPr>
          <w:b/>
          <w:bCs/>
        </w:rPr>
      </w:pPr>
    </w:p>
    <w:p w14:paraId="7BFDE285" w14:textId="77777777" w:rsidR="00DD7AA5" w:rsidRPr="00CF5BDF" w:rsidRDefault="00DD7AA5" w:rsidP="00CF5BDF">
      <w:pPr>
        <w:jc w:val="both"/>
        <w:rPr>
          <w:b/>
          <w:bCs/>
        </w:rPr>
      </w:pPr>
      <w:r w:rsidRPr="00CF5BDF">
        <w:rPr>
          <w:b/>
          <w:bCs/>
        </w:rPr>
        <w:t>Customer</w:t>
      </w:r>
    </w:p>
    <w:p w14:paraId="42F946F1" w14:textId="77777777" w:rsidR="00E62B38" w:rsidRDefault="00DD7AA5" w:rsidP="00DD7AA5">
      <w:pPr>
        <w:pStyle w:val="ListParagraph"/>
        <w:ind w:left="0"/>
      </w:pPr>
      <w:r w:rsidRPr="003E69C0">
        <w:t>• Increased client satisfaction and loyalty</w:t>
      </w:r>
      <w:r w:rsidR="00E62B38">
        <w:t>.</w:t>
      </w:r>
    </w:p>
    <w:p w14:paraId="3E06B13E" w14:textId="3A9D635A" w:rsidR="00DD7AA5" w:rsidRPr="003E69C0" w:rsidRDefault="00DD7AA5" w:rsidP="00DD7AA5">
      <w:pPr>
        <w:pStyle w:val="ListParagraph"/>
        <w:ind w:left="0"/>
      </w:pPr>
      <w:r w:rsidRPr="003E69C0">
        <w:t>Looking at the NPS (Net Promoter Score), it is 23</w:t>
      </w:r>
      <w:r>
        <w:t xml:space="preserve"> </w:t>
      </w:r>
      <w:r w:rsidRPr="003E69C0">
        <w:t>NPS.</w:t>
      </w:r>
    </w:p>
    <w:p w14:paraId="21CA7B2E" w14:textId="4D4ECB87" w:rsidR="00DD7AA5" w:rsidRPr="003E69C0" w:rsidRDefault="00DD7AA5" w:rsidP="00DD7AA5">
      <w:pPr>
        <w:pStyle w:val="ListParagraph"/>
        <w:ind w:left="0"/>
      </w:pPr>
      <w:r w:rsidRPr="003E69C0">
        <w:t>52% are promoters, 19% are passives</w:t>
      </w:r>
      <w:r>
        <w:t>,</w:t>
      </w:r>
      <w:r w:rsidRPr="003E69C0">
        <w:t xml:space="preserve"> and Detractors are 29%</w:t>
      </w:r>
      <w:sdt>
        <w:sdtPr>
          <w:id w:val="1815220343"/>
          <w:citation/>
        </w:sdtPr>
        <w:sdtContent>
          <w:r w:rsidRPr="003E69C0">
            <w:fldChar w:fldCharType="begin"/>
          </w:r>
          <w:r w:rsidRPr="003E69C0">
            <w:instrText xml:space="preserve"> CITATION Com \l 1033 </w:instrText>
          </w:r>
          <w:r w:rsidRPr="003E69C0">
            <w:fldChar w:fldCharType="separate"/>
          </w:r>
          <w:r w:rsidR="00AD2C7A">
            <w:rPr>
              <w:noProof/>
            </w:rPr>
            <w:t xml:space="preserve"> </w:t>
          </w:r>
          <w:r w:rsidR="00AD2C7A" w:rsidRPr="00AD2C7A">
            <w:rPr>
              <w:noProof/>
            </w:rPr>
            <w:t>(Comparably, n.d.)</w:t>
          </w:r>
          <w:r w:rsidRPr="003E69C0">
            <w:fldChar w:fldCharType="end"/>
          </w:r>
        </w:sdtContent>
      </w:sdt>
    </w:p>
    <w:p w14:paraId="6FE45D83" w14:textId="77777777" w:rsidR="00DD7AA5" w:rsidRPr="003E69C0" w:rsidRDefault="00DD7AA5" w:rsidP="00DD7AA5">
      <w:pPr>
        <w:pStyle w:val="ListParagraph"/>
        <w:ind w:left="0"/>
      </w:pPr>
      <w:r w:rsidRPr="003E69C0">
        <w:t xml:space="preserve">• New customer acquisition </w:t>
      </w:r>
    </w:p>
    <w:p w14:paraId="26E46792" w14:textId="24E82F2A" w:rsidR="00DD7AA5" w:rsidRPr="003E69C0" w:rsidRDefault="00DD7AA5" w:rsidP="00DD7AA5">
      <w:pPr>
        <w:pStyle w:val="ListParagraph"/>
        <w:ind w:left="0"/>
      </w:pPr>
      <w:r w:rsidRPr="003E69C0">
        <w:t>• Partnerships and market share, calculated at 11% average total in the 2022 report.</w:t>
      </w:r>
    </w:p>
    <w:p w14:paraId="236624FB" w14:textId="77777777" w:rsidR="00DD7AA5" w:rsidRPr="003E69C0" w:rsidRDefault="00DD7AA5" w:rsidP="00DD7AA5">
      <w:pPr>
        <w:pStyle w:val="ListParagraph"/>
        <w:ind w:left="360"/>
      </w:pPr>
    </w:p>
    <w:p w14:paraId="20A57BF7" w14:textId="77777777" w:rsidR="00DD7AA5" w:rsidRPr="00CF5BDF" w:rsidRDefault="00DD7AA5" w:rsidP="00CF5BDF">
      <w:pPr>
        <w:jc w:val="both"/>
        <w:rPr>
          <w:b/>
          <w:bCs/>
        </w:rPr>
      </w:pPr>
      <w:r w:rsidRPr="00CF5BDF">
        <w:rPr>
          <w:b/>
          <w:bCs/>
        </w:rPr>
        <w:t>Operational</w:t>
      </w:r>
    </w:p>
    <w:p w14:paraId="079170DA" w14:textId="77777777" w:rsidR="00DD7AA5" w:rsidRPr="003E69C0" w:rsidRDefault="00DD7AA5" w:rsidP="00DD7AA5">
      <w:r w:rsidRPr="003E69C0">
        <w:t>• The productivity ratio for 2022 is 54.4%, which is somewhat higher than the productivity ratio for 2021, which was 53.2%.</w:t>
      </w:r>
    </w:p>
    <w:p w14:paraId="71A2FE8F" w14:textId="77777777" w:rsidR="00DD7AA5" w:rsidRPr="003E69C0" w:rsidRDefault="00DD7AA5" w:rsidP="00DD7AA5">
      <w:r w:rsidRPr="003E69C0">
        <w:t>• Strong company compliance and management processes</w:t>
      </w:r>
    </w:p>
    <w:p w14:paraId="150CA9F7" w14:textId="77777777" w:rsidR="00DD7AA5" w:rsidRPr="003E69C0" w:rsidRDefault="00DD7AA5" w:rsidP="00DD7AA5">
      <w:r w:rsidRPr="003E69C0">
        <w:t>• High capital ratios </w:t>
      </w:r>
    </w:p>
    <w:p w14:paraId="21E11F81" w14:textId="77777777" w:rsidR="00DD7AA5" w:rsidRPr="003E69C0" w:rsidRDefault="00DD7AA5" w:rsidP="00DD7AA5">
      <w:r w:rsidRPr="003E69C0">
        <w:lastRenderedPageBreak/>
        <w:t>• Company social responsibility </w:t>
      </w:r>
    </w:p>
    <w:p w14:paraId="5482693C" w14:textId="77777777" w:rsidR="00DD7AA5" w:rsidRPr="003E69C0" w:rsidRDefault="00DD7AA5" w:rsidP="00DD7AA5">
      <w:r w:rsidRPr="003E69C0">
        <w:t>• Good engagement with the community.</w:t>
      </w:r>
    </w:p>
    <w:p w14:paraId="5DCD4895" w14:textId="7EA1434F" w:rsidR="00DD7AA5" w:rsidRDefault="00000000" w:rsidP="00DD7AA5">
      <w:pPr>
        <w:rPr>
          <w:sz w:val="32"/>
          <w:szCs w:val="32"/>
        </w:rPr>
      </w:pPr>
      <w:sdt>
        <w:sdtPr>
          <w:id w:val="-1899126448"/>
          <w:citation/>
        </w:sdtPr>
        <w:sdtContent>
          <w:r w:rsidR="00DD7AA5" w:rsidRPr="003E69C0">
            <w:fldChar w:fldCharType="begin"/>
          </w:r>
          <w:r w:rsidR="00DD7AA5" w:rsidRPr="003E69C0">
            <w:instrText xml:space="preserve">CITATION Sco \l 1033 </w:instrText>
          </w:r>
          <w:r w:rsidR="00DD7AA5" w:rsidRPr="003E69C0">
            <w:fldChar w:fldCharType="separate"/>
          </w:r>
          <w:r w:rsidR="00AD2C7A" w:rsidRPr="00AD2C7A">
            <w:rPr>
              <w:noProof/>
            </w:rPr>
            <w:t>(ScotiaBank, 2011)</w:t>
          </w:r>
          <w:r w:rsidR="00DD7AA5" w:rsidRPr="003E69C0">
            <w:fldChar w:fldCharType="end"/>
          </w:r>
        </w:sdtContent>
      </w:sdt>
      <w:sdt>
        <w:sdtPr>
          <w:id w:val="1739592364"/>
          <w:citation/>
        </w:sdtPr>
        <w:sdtContent>
          <w:r w:rsidR="00DD7AA5" w:rsidRPr="003E69C0">
            <w:fldChar w:fldCharType="begin"/>
          </w:r>
          <w:r w:rsidR="00DD7AA5">
            <w:instrText xml:space="preserve">CITATION Placeholder1 \l 1033 </w:instrText>
          </w:r>
          <w:r w:rsidR="00DD7AA5" w:rsidRPr="003E69C0">
            <w:fldChar w:fldCharType="separate"/>
          </w:r>
          <w:r w:rsidR="00AD2C7A">
            <w:rPr>
              <w:noProof/>
            </w:rPr>
            <w:t xml:space="preserve"> </w:t>
          </w:r>
          <w:r w:rsidR="00AD2C7A" w:rsidRPr="00AD2C7A">
            <w:rPr>
              <w:noProof/>
            </w:rPr>
            <w:t>(ScotiaBank, 2022)</w:t>
          </w:r>
          <w:r w:rsidR="00DD7AA5" w:rsidRPr="003E69C0">
            <w:fldChar w:fldCharType="end"/>
          </w:r>
        </w:sdtContent>
      </w:sdt>
    </w:p>
    <w:p w14:paraId="1FF94EDB" w14:textId="77777777" w:rsidR="00DD7AA5" w:rsidRDefault="00DD7AA5" w:rsidP="00DD7AA5">
      <w:pPr>
        <w:rPr>
          <w:sz w:val="32"/>
          <w:szCs w:val="32"/>
        </w:rPr>
      </w:pPr>
    </w:p>
    <w:p w14:paraId="3A1CD970" w14:textId="4F8D20BA" w:rsidR="00E62B38" w:rsidRPr="005F1362" w:rsidRDefault="00DD7AA5" w:rsidP="005F1362">
      <w:pPr>
        <w:rPr>
          <w:b/>
          <w:bCs/>
          <w:sz w:val="24"/>
          <w:szCs w:val="24"/>
        </w:rPr>
      </w:pPr>
      <w:r w:rsidRPr="005F1362">
        <w:rPr>
          <w:b/>
          <w:bCs/>
          <w:sz w:val="24"/>
          <w:szCs w:val="24"/>
        </w:rPr>
        <w:t>BMO's Balance Scorecard:</w:t>
      </w:r>
    </w:p>
    <w:p w14:paraId="4E77BEB6" w14:textId="724919E6" w:rsidR="00E62B38" w:rsidRPr="00CF5BDF" w:rsidRDefault="00DD7AA5" w:rsidP="00CF5BDF">
      <w:pPr>
        <w:jc w:val="both"/>
        <w:rPr>
          <w:b/>
          <w:bCs/>
        </w:rPr>
      </w:pPr>
      <w:r w:rsidRPr="00CF5BDF">
        <w:rPr>
          <w:b/>
          <w:bCs/>
        </w:rPr>
        <w:t>Financial</w:t>
      </w:r>
    </w:p>
    <w:p w14:paraId="6CD3E037" w14:textId="77777777" w:rsidR="00DD7AA5" w:rsidRPr="003E69C0" w:rsidRDefault="00DD7AA5" w:rsidP="00DD7AA5">
      <w:pPr>
        <w:pStyle w:val="ListParagraph"/>
        <w:numPr>
          <w:ilvl w:val="0"/>
          <w:numId w:val="15"/>
        </w:numPr>
      </w:pPr>
      <w:r w:rsidRPr="003E69C0">
        <w:t xml:space="preserve"> An average total of 22.9% return on equity is calculated.</w:t>
      </w:r>
    </w:p>
    <w:p w14:paraId="174D915F" w14:textId="77777777" w:rsidR="00DD7AA5" w:rsidRPr="003E69C0" w:rsidRDefault="00DD7AA5" w:rsidP="00DD7AA5">
      <w:pPr>
        <w:pStyle w:val="ListParagraph"/>
        <w:numPr>
          <w:ilvl w:val="0"/>
          <w:numId w:val="15"/>
        </w:numPr>
      </w:pPr>
      <w:r w:rsidRPr="003E69C0">
        <w:t xml:space="preserve"> The value of diluted earnings per share growth is 19.99.</w:t>
      </w:r>
    </w:p>
    <w:p w14:paraId="15CEB8DD" w14:textId="367687BC" w:rsidR="00DD7AA5" w:rsidRPr="003E69C0" w:rsidRDefault="00DD7AA5" w:rsidP="00DD7AA5">
      <w:pPr>
        <w:pStyle w:val="ListParagraph"/>
        <w:numPr>
          <w:ilvl w:val="0"/>
          <w:numId w:val="15"/>
        </w:numPr>
      </w:pPr>
      <w:r w:rsidRPr="003E69C0">
        <w:t xml:space="preserve"> Revenue growth is 31.52% higher in 2021 than </w:t>
      </w:r>
      <w:r w:rsidR="00C26A54">
        <w:t>in</w:t>
      </w:r>
      <w:r w:rsidRPr="003E69C0">
        <w:t xml:space="preserve"> the prior year.</w:t>
      </w:r>
    </w:p>
    <w:p w14:paraId="4F0977D8" w14:textId="51A25B94" w:rsidR="00DD7AA5" w:rsidRPr="004701EE" w:rsidRDefault="00DD7AA5" w:rsidP="004701EE">
      <w:pPr>
        <w:pStyle w:val="ListParagraph"/>
        <w:numPr>
          <w:ilvl w:val="0"/>
          <w:numId w:val="15"/>
        </w:numPr>
        <w:rPr>
          <w:b/>
          <w:bCs/>
        </w:rPr>
      </w:pPr>
      <w:r w:rsidRPr="003E69C0">
        <w:t>Our reported and adjusted dividend payout ratios in 2022 were 48.8% and 46.3%, respectively, compared to 41.8% and 40.3% in 2021.</w:t>
      </w:r>
      <w:sdt>
        <w:sdtPr>
          <w:id w:val="-1056858277"/>
          <w:citation/>
        </w:sdtPr>
        <w:sdtContent>
          <w:r w:rsidRPr="003E69C0">
            <w:fldChar w:fldCharType="begin"/>
          </w:r>
          <w:r>
            <w:instrText xml:space="preserve">CITATION Placeholder2 \l 1033 </w:instrText>
          </w:r>
          <w:r w:rsidRPr="003E69C0">
            <w:fldChar w:fldCharType="separate"/>
          </w:r>
          <w:r w:rsidR="00AD2C7A">
            <w:rPr>
              <w:noProof/>
            </w:rPr>
            <w:t xml:space="preserve"> </w:t>
          </w:r>
          <w:r w:rsidR="00AD2C7A" w:rsidRPr="00AD2C7A">
            <w:rPr>
              <w:noProof/>
            </w:rPr>
            <w:t>(BMO, 2022)</w:t>
          </w:r>
          <w:r w:rsidRPr="003E69C0">
            <w:fldChar w:fldCharType="end"/>
          </w:r>
        </w:sdtContent>
      </w:sdt>
      <w:sdt>
        <w:sdtPr>
          <w:id w:val="599074351"/>
          <w:citation/>
        </w:sdtPr>
        <w:sdtContent>
          <w:r w:rsidRPr="003E69C0">
            <w:fldChar w:fldCharType="begin"/>
          </w:r>
          <w:r w:rsidRPr="003E69C0">
            <w:instrText xml:space="preserve"> CITATION BMO221 \l 1033 </w:instrText>
          </w:r>
          <w:r w:rsidRPr="003E69C0">
            <w:fldChar w:fldCharType="separate"/>
          </w:r>
          <w:r w:rsidR="00AD2C7A">
            <w:rPr>
              <w:noProof/>
            </w:rPr>
            <w:t xml:space="preserve"> </w:t>
          </w:r>
          <w:r w:rsidR="00AD2C7A" w:rsidRPr="00AD2C7A">
            <w:rPr>
              <w:noProof/>
            </w:rPr>
            <w:t>(BMO, 2022)</w:t>
          </w:r>
          <w:r w:rsidRPr="003E69C0">
            <w:fldChar w:fldCharType="end"/>
          </w:r>
        </w:sdtContent>
      </w:sdt>
    </w:p>
    <w:p w14:paraId="39477FF9" w14:textId="77777777" w:rsidR="00DD7AA5" w:rsidRPr="00CF5BDF" w:rsidRDefault="00DD7AA5" w:rsidP="00CF5BDF">
      <w:pPr>
        <w:jc w:val="both"/>
        <w:rPr>
          <w:b/>
          <w:bCs/>
        </w:rPr>
      </w:pPr>
      <w:r w:rsidRPr="00CF5BDF">
        <w:rPr>
          <w:b/>
          <w:bCs/>
        </w:rPr>
        <w:t>Customer</w:t>
      </w:r>
    </w:p>
    <w:p w14:paraId="07053985" w14:textId="77777777" w:rsidR="00DD7AA5" w:rsidRPr="003E69C0" w:rsidRDefault="00DD7AA5" w:rsidP="00DD7AA5">
      <w:pPr>
        <w:pStyle w:val="ListParagraph"/>
        <w:numPr>
          <w:ilvl w:val="0"/>
          <w:numId w:val="15"/>
        </w:numPr>
      </w:pPr>
      <w:r w:rsidRPr="003E69C0">
        <w:t>BMO has failed in the Customer Satisfaction asset because they have a severely low average Net Promoter Score of -57 NPS.</w:t>
      </w:r>
    </w:p>
    <w:p w14:paraId="6E7C506C" w14:textId="77777777" w:rsidR="00DD7AA5" w:rsidRPr="003E69C0" w:rsidRDefault="00DD7AA5" w:rsidP="00DD7AA5">
      <w:pPr>
        <w:pStyle w:val="ListParagraph"/>
        <w:numPr>
          <w:ilvl w:val="0"/>
          <w:numId w:val="15"/>
        </w:numPr>
      </w:pPr>
      <w:r w:rsidRPr="003E69C0">
        <w:t>14% are promoters, 15% are passive and 71% of people are against it.</w:t>
      </w:r>
    </w:p>
    <w:p w14:paraId="32262669" w14:textId="77777777" w:rsidR="00DD7AA5" w:rsidRPr="003E69C0" w:rsidRDefault="00DD7AA5" w:rsidP="00DD7AA5">
      <w:pPr>
        <w:pStyle w:val="ListParagraph"/>
        <w:numPr>
          <w:ilvl w:val="0"/>
          <w:numId w:val="15"/>
        </w:numPr>
      </w:pPr>
      <w:r w:rsidRPr="003E69C0">
        <w:t>Gaining client trust and offering satisfactory service</w:t>
      </w:r>
    </w:p>
    <w:p w14:paraId="1766C434" w14:textId="33BBF3FC" w:rsidR="00DD7AA5" w:rsidRPr="003E69C0" w:rsidRDefault="00DD7AA5" w:rsidP="004701EE">
      <w:pPr>
        <w:pStyle w:val="ListParagraph"/>
        <w:numPr>
          <w:ilvl w:val="0"/>
          <w:numId w:val="15"/>
        </w:numPr>
      </w:pPr>
      <w:r w:rsidRPr="003E69C0">
        <w:t>According to the 2022 research, the market share is calculated to be 9.4% of the average total.</w:t>
      </w:r>
      <w:sdt>
        <w:sdtPr>
          <w:id w:val="-1193837208"/>
          <w:citation/>
        </w:sdtPr>
        <w:sdtContent>
          <w:r w:rsidRPr="003E69C0">
            <w:fldChar w:fldCharType="begin"/>
          </w:r>
          <w:r w:rsidRPr="003E69C0">
            <w:instrText xml:space="preserve">CITATION Com22 \l 1033 </w:instrText>
          </w:r>
          <w:r w:rsidRPr="003E69C0">
            <w:fldChar w:fldCharType="separate"/>
          </w:r>
          <w:r w:rsidR="00AD2C7A">
            <w:rPr>
              <w:noProof/>
            </w:rPr>
            <w:t xml:space="preserve"> </w:t>
          </w:r>
          <w:r w:rsidR="00AD2C7A" w:rsidRPr="00AD2C7A">
            <w:rPr>
              <w:noProof/>
            </w:rPr>
            <w:t>(Comparably, n.d.)</w:t>
          </w:r>
          <w:r w:rsidRPr="003E69C0">
            <w:fldChar w:fldCharType="end"/>
          </w:r>
        </w:sdtContent>
      </w:sdt>
    </w:p>
    <w:p w14:paraId="5C81BEF4" w14:textId="77777777" w:rsidR="00DD7AA5" w:rsidRPr="00CF5BDF" w:rsidRDefault="00DD7AA5" w:rsidP="00CF5BDF">
      <w:pPr>
        <w:jc w:val="both"/>
        <w:rPr>
          <w:b/>
          <w:bCs/>
        </w:rPr>
      </w:pPr>
      <w:r w:rsidRPr="00CF5BDF">
        <w:rPr>
          <w:b/>
          <w:bCs/>
        </w:rPr>
        <w:t>Operational</w:t>
      </w:r>
    </w:p>
    <w:p w14:paraId="78877C17" w14:textId="77777777" w:rsidR="00DD7AA5" w:rsidRPr="003E69C0" w:rsidRDefault="00DD7AA5" w:rsidP="00DD7AA5">
      <w:pPr>
        <w:pStyle w:val="ListParagraph"/>
        <w:numPr>
          <w:ilvl w:val="0"/>
          <w:numId w:val="21"/>
        </w:numPr>
      </w:pPr>
      <w:r w:rsidRPr="003E69C0">
        <w:t>The reported gross efficiency ratio for BMO was 48.0%, down from 57.0% in 2021.</w:t>
      </w:r>
    </w:p>
    <w:p w14:paraId="00B07C50" w14:textId="09AFEA65" w:rsidR="00DD7AA5" w:rsidRPr="003E69C0" w:rsidRDefault="00DD7AA5" w:rsidP="00DD7AA5">
      <w:pPr>
        <w:pStyle w:val="ListParagraph"/>
        <w:numPr>
          <w:ilvl w:val="0"/>
          <w:numId w:val="15"/>
        </w:numPr>
      </w:pPr>
      <w:r w:rsidRPr="003E69C0">
        <w:t xml:space="preserve">The reported operational leverage was 19.6% in </w:t>
      </w:r>
      <w:r w:rsidR="00C26A54">
        <w:t>favour</w:t>
      </w:r>
      <w:r w:rsidRPr="003E69C0">
        <w:t>. Adjusted operating leverage was positive 1.3% and reported operating leverage was positive 29.0% on a net revenue basis.</w:t>
      </w:r>
    </w:p>
    <w:p w14:paraId="0C2A37E0" w14:textId="01CB5824" w:rsidR="00B90C52" w:rsidRDefault="00000000" w:rsidP="00E62B38">
      <w:pPr>
        <w:pStyle w:val="ListParagraph"/>
      </w:pPr>
      <w:sdt>
        <w:sdtPr>
          <w:id w:val="1170221514"/>
          <w:citation/>
        </w:sdtPr>
        <w:sdtContent>
          <w:r w:rsidR="00DD7AA5" w:rsidRPr="003E69C0">
            <w:fldChar w:fldCharType="begin"/>
          </w:r>
          <w:r w:rsidR="00DD7AA5">
            <w:instrText xml:space="preserve">CITATION Placeholder2 \l 1033 </w:instrText>
          </w:r>
          <w:r w:rsidR="00DD7AA5" w:rsidRPr="003E69C0">
            <w:fldChar w:fldCharType="separate"/>
          </w:r>
          <w:r w:rsidR="00AD2C7A" w:rsidRPr="00AD2C7A">
            <w:rPr>
              <w:noProof/>
            </w:rPr>
            <w:t>(BMO, 2022)</w:t>
          </w:r>
          <w:r w:rsidR="00DD7AA5" w:rsidRPr="003E69C0">
            <w:fldChar w:fldCharType="end"/>
          </w:r>
        </w:sdtContent>
      </w:sdt>
    </w:p>
    <w:p w14:paraId="20408651" w14:textId="77777777" w:rsidR="00E62B38" w:rsidRPr="00E62B38" w:rsidRDefault="00E62B38" w:rsidP="00E62B38">
      <w:pPr>
        <w:pStyle w:val="ListParagraph"/>
        <w:rPr>
          <w:sz w:val="32"/>
          <w:szCs w:val="32"/>
        </w:rPr>
      </w:pPr>
    </w:p>
    <w:p w14:paraId="4BB17BB4" w14:textId="6E915758" w:rsidR="00DD7AA5" w:rsidRPr="005F1362" w:rsidRDefault="00DD7AA5" w:rsidP="005F1362">
      <w:pPr>
        <w:rPr>
          <w:b/>
          <w:bCs/>
          <w:sz w:val="24"/>
          <w:szCs w:val="24"/>
        </w:rPr>
      </w:pPr>
      <w:r w:rsidRPr="005F1362">
        <w:rPr>
          <w:b/>
          <w:bCs/>
          <w:sz w:val="24"/>
          <w:szCs w:val="24"/>
        </w:rPr>
        <w:t>CIBC's Balance Scorecard:</w:t>
      </w:r>
    </w:p>
    <w:p w14:paraId="72E379D6" w14:textId="0CBC9471" w:rsidR="00DD7AA5" w:rsidRPr="00CF5BDF" w:rsidRDefault="00DD7AA5" w:rsidP="00CF5BDF">
      <w:pPr>
        <w:jc w:val="both"/>
        <w:rPr>
          <w:b/>
          <w:bCs/>
        </w:rPr>
      </w:pPr>
      <w:r w:rsidRPr="00CF5BDF">
        <w:rPr>
          <w:b/>
          <w:bCs/>
        </w:rPr>
        <w:t>Financial</w:t>
      </w:r>
    </w:p>
    <w:p w14:paraId="1BC5F198" w14:textId="77777777" w:rsidR="00DD7AA5" w:rsidRPr="003E69C0" w:rsidRDefault="00DD7AA5" w:rsidP="00DD7AA5">
      <w:pPr>
        <w:ind w:left="360"/>
      </w:pPr>
      <w:r w:rsidRPr="003E69C0">
        <w:t>• A 14.0% return on equity has been calculated.</w:t>
      </w:r>
    </w:p>
    <w:p w14:paraId="13D20899" w14:textId="77777777" w:rsidR="00DD7AA5" w:rsidRPr="003E69C0" w:rsidRDefault="00DD7AA5" w:rsidP="00DD7AA5">
      <w:pPr>
        <w:ind w:left="360"/>
      </w:pPr>
      <w:r w:rsidRPr="003E69C0">
        <w:t>• The growth rate of diluted earnings per share is 6.68.</w:t>
      </w:r>
    </w:p>
    <w:p w14:paraId="7BA087C8" w14:textId="77777777" w:rsidR="00DD7AA5" w:rsidRPr="003E69C0" w:rsidRDefault="00DD7AA5" w:rsidP="00DD7AA5">
      <w:pPr>
        <w:ind w:left="360"/>
      </w:pPr>
      <w:r w:rsidRPr="003E69C0">
        <w:t>• Revenue Growth increased by 24.0% in 2022 compared to the prior year, when it only increased by 7.9%.</w:t>
      </w:r>
    </w:p>
    <w:p w14:paraId="5885F852" w14:textId="77777777" w:rsidR="00DD7AA5" w:rsidRPr="003E69C0" w:rsidRDefault="00DD7AA5" w:rsidP="00DD7AA5">
      <w:pPr>
        <w:ind w:left="360"/>
      </w:pPr>
      <w:r w:rsidRPr="003E69C0">
        <w:t>• The Net Profit Margin (profitability) is evaluated at 27.96%.</w:t>
      </w:r>
    </w:p>
    <w:p w14:paraId="26943496" w14:textId="24B55495" w:rsidR="00DD7AA5" w:rsidRDefault="00000000" w:rsidP="00DD7AA5">
      <w:pPr>
        <w:ind w:left="360"/>
      </w:pPr>
      <w:sdt>
        <w:sdtPr>
          <w:id w:val="-767149000"/>
          <w:citation/>
        </w:sdtPr>
        <w:sdtContent>
          <w:r w:rsidR="00DD7AA5" w:rsidRPr="003E69C0">
            <w:fldChar w:fldCharType="begin"/>
          </w:r>
          <w:r w:rsidR="00DD7AA5">
            <w:instrText xml:space="preserve">CITATION Placeholder3 \l 1033 </w:instrText>
          </w:r>
          <w:r w:rsidR="00DD7AA5" w:rsidRPr="003E69C0">
            <w:fldChar w:fldCharType="separate"/>
          </w:r>
          <w:r w:rsidR="00AD2C7A" w:rsidRPr="00AD2C7A">
            <w:rPr>
              <w:noProof/>
            </w:rPr>
            <w:t>(CIBC, 2022)</w:t>
          </w:r>
          <w:r w:rsidR="00DD7AA5" w:rsidRPr="003E69C0">
            <w:fldChar w:fldCharType="end"/>
          </w:r>
        </w:sdtContent>
      </w:sdt>
      <w:sdt>
        <w:sdtPr>
          <w:id w:val="-344405270"/>
          <w:citation/>
        </w:sdtPr>
        <w:sdtContent>
          <w:r w:rsidR="00DD7AA5" w:rsidRPr="003E69C0">
            <w:fldChar w:fldCharType="begin"/>
          </w:r>
          <w:r w:rsidR="00DD7AA5" w:rsidRPr="003E69C0">
            <w:instrText xml:space="preserve"> CITATION CIB221 \l 1033 </w:instrText>
          </w:r>
          <w:r w:rsidR="00DD7AA5" w:rsidRPr="003E69C0">
            <w:fldChar w:fldCharType="separate"/>
          </w:r>
          <w:r w:rsidR="00AD2C7A">
            <w:rPr>
              <w:noProof/>
            </w:rPr>
            <w:t xml:space="preserve"> </w:t>
          </w:r>
          <w:r w:rsidR="00AD2C7A" w:rsidRPr="00AD2C7A">
            <w:rPr>
              <w:noProof/>
            </w:rPr>
            <w:t>(CIBC, 2022)</w:t>
          </w:r>
          <w:r w:rsidR="00DD7AA5" w:rsidRPr="003E69C0">
            <w:fldChar w:fldCharType="end"/>
          </w:r>
        </w:sdtContent>
      </w:sdt>
    </w:p>
    <w:p w14:paraId="6A5EBE43" w14:textId="77777777" w:rsidR="00E62B38" w:rsidRPr="003E69C0" w:rsidRDefault="00E62B38" w:rsidP="00DD7AA5">
      <w:pPr>
        <w:ind w:left="360"/>
      </w:pPr>
    </w:p>
    <w:p w14:paraId="1EB22D52" w14:textId="7164F279" w:rsidR="00DD7AA5" w:rsidRPr="00CF5BDF" w:rsidRDefault="00DD7AA5" w:rsidP="00CF5BDF">
      <w:pPr>
        <w:jc w:val="both"/>
        <w:rPr>
          <w:b/>
          <w:bCs/>
        </w:rPr>
      </w:pPr>
      <w:r w:rsidRPr="00CF5BDF">
        <w:rPr>
          <w:b/>
          <w:bCs/>
        </w:rPr>
        <w:t>Customer</w:t>
      </w:r>
    </w:p>
    <w:p w14:paraId="34815990" w14:textId="77777777" w:rsidR="00DD7AA5" w:rsidRPr="003E69C0" w:rsidRDefault="00DD7AA5" w:rsidP="00DD7AA5">
      <w:pPr>
        <w:pStyle w:val="ListParagraph"/>
        <w:numPr>
          <w:ilvl w:val="0"/>
          <w:numId w:val="15"/>
        </w:numPr>
      </w:pPr>
      <w:r w:rsidRPr="003E69C0">
        <w:t>CIBC's Net Promoter Score, which is 10 NPS, is respectable.</w:t>
      </w:r>
    </w:p>
    <w:p w14:paraId="6155BAAF" w14:textId="77777777" w:rsidR="00DD7AA5" w:rsidRPr="003E69C0" w:rsidRDefault="00DD7AA5" w:rsidP="00DD7AA5">
      <w:pPr>
        <w:pStyle w:val="ListParagraph"/>
        <w:numPr>
          <w:ilvl w:val="0"/>
          <w:numId w:val="15"/>
        </w:numPr>
      </w:pPr>
      <w:r w:rsidRPr="003E69C0">
        <w:lastRenderedPageBreak/>
        <w:t>Promoter: 46% Passive: 18% and 36% were against.</w:t>
      </w:r>
    </w:p>
    <w:p w14:paraId="30E7AF74" w14:textId="77777777" w:rsidR="00DD7AA5" w:rsidRPr="003E69C0" w:rsidRDefault="00DD7AA5" w:rsidP="00DD7AA5">
      <w:pPr>
        <w:pStyle w:val="ListParagraph"/>
        <w:numPr>
          <w:ilvl w:val="0"/>
          <w:numId w:val="15"/>
        </w:numPr>
      </w:pPr>
      <w:r w:rsidRPr="003E69C0">
        <w:t>The Dividend is estimated to be $3.27 by the end of 2022.</w:t>
      </w:r>
    </w:p>
    <w:p w14:paraId="4342D3DA" w14:textId="77777777" w:rsidR="00DD7AA5" w:rsidRPr="003E69C0" w:rsidRDefault="00DD7AA5" w:rsidP="00DD7AA5">
      <w:pPr>
        <w:pStyle w:val="ListParagraph"/>
        <w:numPr>
          <w:ilvl w:val="0"/>
          <w:numId w:val="15"/>
        </w:numPr>
        <w:rPr>
          <w:b/>
          <w:bCs/>
        </w:rPr>
      </w:pPr>
      <w:r w:rsidRPr="003E69C0">
        <w:t xml:space="preserve">Fostering and strengthening client relationships </w:t>
      </w:r>
    </w:p>
    <w:p w14:paraId="75C61C72" w14:textId="77777777" w:rsidR="00DD7AA5" w:rsidRPr="003E69C0" w:rsidRDefault="00DD7AA5" w:rsidP="00DD7AA5">
      <w:pPr>
        <w:pStyle w:val="ListParagraph"/>
        <w:numPr>
          <w:ilvl w:val="0"/>
          <w:numId w:val="15"/>
        </w:numPr>
        <w:rPr>
          <w:b/>
          <w:bCs/>
        </w:rPr>
      </w:pPr>
      <w:r w:rsidRPr="003E69C0">
        <w:t>Enhancing productivity using data and technology</w:t>
      </w:r>
    </w:p>
    <w:p w14:paraId="4C3E41D7" w14:textId="602E3ECF" w:rsidR="00DD7AA5" w:rsidRPr="003E69C0" w:rsidRDefault="00000000" w:rsidP="00DD7AA5">
      <w:pPr>
        <w:pStyle w:val="ListParagraph"/>
        <w:rPr>
          <w:b/>
          <w:bCs/>
        </w:rPr>
      </w:pPr>
      <w:sdt>
        <w:sdtPr>
          <w:rPr>
            <w:b/>
            <w:bCs/>
          </w:rPr>
          <w:id w:val="1401172624"/>
          <w:citation/>
        </w:sdtPr>
        <w:sdtContent>
          <w:r w:rsidR="00DD7AA5" w:rsidRPr="003E69C0">
            <w:rPr>
              <w:b/>
              <w:bCs/>
            </w:rPr>
            <w:fldChar w:fldCharType="begin"/>
          </w:r>
          <w:r w:rsidR="00DD7AA5" w:rsidRPr="003E69C0">
            <w:instrText xml:space="preserve"> CITATION Com1 \l 1033 </w:instrText>
          </w:r>
          <w:r w:rsidR="00DD7AA5" w:rsidRPr="003E69C0">
            <w:rPr>
              <w:b/>
              <w:bCs/>
            </w:rPr>
            <w:fldChar w:fldCharType="separate"/>
          </w:r>
          <w:r w:rsidR="00AD2C7A" w:rsidRPr="00AD2C7A">
            <w:rPr>
              <w:noProof/>
            </w:rPr>
            <w:t>(Comparably, n.d.)</w:t>
          </w:r>
          <w:r w:rsidR="00DD7AA5" w:rsidRPr="003E69C0">
            <w:rPr>
              <w:b/>
              <w:bCs/>
            </w:rPr>
            <w:fldChar w:fldCharType="end"/>
          </w:r>
        </w:sdtContent>
      </w:sdt>
      <w:sdt>
        <w:sdtPr>
          <w:rPr>
            <w:b/>
            <w:bCs/>
          </w:rPr>
          <w:id w:val="-1122528848"/>
          <w:citation/>
        </w:sdtPr>
        <w:sdtContent>
          <w:r w:rsidR="00DD7AA5" w:rsidRPr="003E69C0">
            <w:rPr>
              <w:b/>
              <w:bCs/>
            </w:rPr>
            <w:fldChar w:fldCharType="begin"/>
          </w:r>
          <w:r w:rsidR="00DD7AA5" w:rsidRPr="003E69C0">
            <w:rPr>
              <w:b/>
              <w:bCs/>
            </w:rPr>
            <w:instrText xml:space="preserve"> CITATION CIB221 \l 1033 </w:instrText>
          </w:r>
          <w:r w:rsidR="00DD7AA5" w:rsidRPr="003E69C0">
            <w:rPr>
              <w:b/>
              <w:bCs/>
            </w:rPr>
            <w:fldChar w:fldCharType="separate"/>
          </w:r>
          <w:r w:rsidR="00AD2C7A">
            <w:rPr>
              <w:b/>
              <w:bCs/>
              <w:noProof/>
            </w:rPr>
            <w:t xml:space="preserve"> </w:t>
          </w:r>
          <w:r w:rsidR="00AD2C7A" w:rsidRPr="00AD2C7A">
            <w:rPr>
              <w:noProof/>
            </w:rPr>
            <w:t>(CIBC, 2022)</w:t>
          </w:r>
          <w:r w:rsidR="00DD7AA5" w:rsidRPr="003E69C0">
            <w:rPr>
              <w:b/>
              <w:bCs/>
            </w:rPr>
            <w:fldChar w:fldCharType="end"/>
          </w:r>
        </w:sdtContent>
      </w:sdt>
      <w:sdt>
        <w:sdtPr>
          <w:rPr>
            <w:b/>
            <w:bCs/>
          </w:rPr>
          <w:id w:val="357630389"/>
          <w:citation/>
        </w:sdtPr>
        <w:sdtContent>
          <w:r w:rsidR="00DD7AA5" w:rsidRPr="003E69C0">
            <w:rPr>
              <w:b/>
              <w:bCs/>
            </w:rPr>
            <w:fldChar w:fldCharType="begin"/>
          </w:r>
          <w:r w:rsidR="00DD7AA5">
            <w:rPr>
              <w:b/>
              <w:bCs/>
            </w:rPr>
            <w:instrText xml:space="preserve">CITATION Placeholder3 \l 1033 </w:instrText>
          </w:r>
          <w:r w:rsidR="00DD7AA5" w:rsidRPr="003E69C0">
            <w:rPr>
              <w:b/>
              <w:bCs/>
            </w:rPr>
            <w:fldChar w:fldCharType="separate"/>
          </w:r>
          <w:r w:rsidR="00AD2C7A">
            <w:rPr>
              <w:b/>
              <w:bCs/>
              <w:noProof/>
            </w:rPr>
            <w:t xml:space="preserve"> </w:t>
          </w:r>
          <w:r w:rsidR="00AD2C7A" w:rsidRPr="00AD2C7A">
            <w:rPr>
              <w:noProof/>
            </w:rPr>
            <w:t>(CIBC, 2022)</w:t>
          </w:r>
          <w:r w:rsidR="00DD7AA5" w:rsidRPr="003E69C0">
            <w:rPr>
              <w:b/>
              <w:bCs/>
            </w:rPr>
            <w:fldChar w:fldCharType="end"/>
          </w:r>
        </w:sdtContent>
      </w:sdt>
    </w:p>
    <w:p w14:paraId="0B70BBD6" w14:textId="33D08DD5" w:rsidR="00DD7AA5" w:rsidRPr="00CF5BDF" w:rsidRDefault="00DD7AA5" w:rsidP="00CF5BDF">
      <w:pPr>
        <w:jc w:val="both"/>
        <w:rPr>
          <w:b/>
          <w:bCs/>
        </w:rPr>
      </w:pPr>
      <w:r w:rsidRPr="00CF5BDF">
        <w:rPr>
          <w:b/>
          <w:bCs/>
        </w:rPr>
        <w:t>Operational</w:t>
      </w:r>
    </w:p>
    <w:p w14:paraId="7EE2B557" w14:textId="77777777" w:rsidR="00DD7AA5" w:rsidRPr="003E69C0" w:rsidRDefault="00DD7AA5" w:rsidP="00DD7AA5">
      <w:pPr>
        <w:ind w:left="360"/>
      </w:pPr>
      <w:r w:rsidRPr="003E69C0">
        <w:t>• CIBC</w:t>
      </w:r>
      <w:r>
        <w:t>'</w:t>
      </w:r>
      <w:r w:rsidRPr="003E69C0">
        <w:t>s reported gross efficiency ratio is 58.6%, compared with 57.6% in 2021.</w:t>
      </w:r>
    </w:p>
    <w:p w14:paraId="5A53B813" w14:textId="77777777" w:rsidR="00DD7AA5" w:rsidRPr="003E69C0" w:rsidRDefault="00DD7AA5" w:rsidP="00DD7AA5">
      <w:pPr>
        <w:ind w:left="360"/>
      </w:pPr>
      <w:r w:rsidRPr="003E69C0">
        <w:t>• Reported operating leverage was positive 1.9%, a decrease of 720bp (basis points) from 2021.</w:t>
      </w:r>
    </w:p>
    <w:p w14:paraId="58C99947" w14:textId="28F38980" w:rsidR="00DD7AA5" w:rsidRPr="003E69C0" w:rsidRDefault="00000000" w:rsidP="00DD7AA5">
      <w:pPr>
        <w:ind w:left="360"/>
      </w:pPr>
      <w:sdt>
        <w:sdtPr>
          <w:id w:val="680624866"/>
          <w:citation/>
        </w:sdtPr>
        <w:sdtContent>
          <w:r w:rsidR="00DD7AA5" w:rsidRPr="003E69C0">
            <w:fldChar w:fldCharType="begin"/>
          </w:r>
          <w:r w:rsidR="00DD7AA5">
            <w:instrText xml:space="preserve">CITATION Placeholder3 \l 1033 </w:instrText>
          </w:r>
          <w:r w:rsidR="00DD7AA5" w:rsidRPr="003E69C0">
            <w:fldChar w:fldCharType="separate"/>
          </w:r>
          <w:r w:rsidR="00AD2C7A" w:rsidRPr="00AD2C7A">
            <w:rPr>
              <w:noProof/>
            </w:rPr>
            <w:t>(CIBC, 2022)</w:t>
          </w:r>
          <w:r w:rsidR="00DD7AA5" w:rsidRPr="003E69C0">
            <w:fldChar w:fldCharType="end"/>
          </w:r>
        </w:sdtContent>
      </w:sdt>
    </w:p>
    <w:p w14:paraId="45FE24AA" w14:textId="77777777" w:rsidR="00B90C52" w:rsidRPr="00CF5BDF" w:rsidRDefault="00B90C52" w:rsidP="00CF5BDF">
      <w:pPr>
        <w:pStyle w:val="Heading2"/>
        <w:rPr>
          <w:sz w:val="24"/>
          <w:szCs w:val="24"/>
        </w:rPr>
      </w:pPr>
    </w:p>
    <w:p w14:paraId="03B8F605" w14:textId="1E7961BD" w:rsidR="00E62B38" w:rsidRPr="005F1362" w:rsidRDefault="00DD7AA5" w:rsidP="005F1362">
      <w:pPr>
        <w:rPr>
          <w:b/>
          <w:bCs/>
        </w:rPr>
      </w:pPr>
      <w:r w:rsidRPr="005F1362">
        <w:rPr>
          <w:b/>
          <w:bCs/>
        </w:rPr>
        <w:t>TD Bank's Balance Scorecard:</w:t>
      </w:r>
    </w:p>
    <w:p w14:paraId="5D099AE9" w14:textId="5D3C33E0" w:rsidR="00E62B38" w:rsidRPr="00CF5BDF" w:rsidRDefault="00DD7AA5" w:rsidP="003172DE">
      <w:pPr>
        <w:jc w:val="both"/>
        <w:rPr>
          <w:b/>
          <w:bCs/>
        </w:rPr>
      </w:pPr>
      <w:r w:rsidRPr="00CF5BDF">
        <w:rPr>
          <w:b/>
          <w:bCs/>
        </w:rPr>
        <w:t>Financial</w:t>
      </w:r>
    </w:p>
    <w:p w14:paraId="7A77A2C0" w14:textId="77777777" w:rsidR="00DD7AA5" w:rsidRPr="003E69C0" w:rsidRDefault="00DD7AA5" w:rsidP="00DD7AA5">
      <w:pPr>
        <w:pStyle w:val="ListParagraph"/>
        <w:numPr>
          <w:ilvl w:val="0"/>
          <w:numId w:val="15"/>
        </w:numPr>
      </w:pPr>
      <w:r w:rsidRPr="003E69C0">
        <w:t xml:space="preserve"> The reported growth rate for diluted earnings per share is 11.5%.</w:t>
      </w:r>
    </w:p>
    <w:p w14:paraId="5AAB92C3" w14:textId="2BB6D9E3" w:rsidR="00DD7AA5" w:rsidRPr="003E69C0" w:rsidRDefault="00DD7AA5" w:rsidP="00DD7AA5">
      <w:pPr>
        <w:pStyle w:val="ListParagraph"/>
        <w:numPr>
          <w:ilvl w:val="0"/>
          <w:numId w:val="15"/>
        </w:numPr>
      </w:pPr>
      <w:r w:rsidRPr="003E69C0">
        <w:t xml:space="preserve">The yearly </w:t>
      </w:r>
      <w:r w:rsidR="003B309A">
        <w:t>R</w:t>
      </w:r>
      <w:r w:rsidRPr="003E69C0">
        <w:t>evenue for Toronto Dominion Bank in 2022 was $48.714B, a 27.23% increase over 2021.</w:t>
      </w:r>
    </w:p>
    <w:p w14:paraId="032A3C27" w14:textId="77777777" w:rsidR="00DD7AA5" w:rsidRPr="003E69C0" w:rsidRDefault="00DD7AA5" w:rsidP="00DD7AA5">
      <w:pPr>
        <w:ind w:left="720" w:hanging="360"/>
      </w:pPr>
      <w:r w:rsidRPr="003E69C0">
        <w:t>•</w:t>
      </w:r>
      <w:r w:rsidRPr="003E69C0">
        <w:tab/>
        <w:t xml:space="preserve"> In 2022, net interest margin grew by 13 basis points to 1.69% from 1.56%, principally due to better deposit margins in the context of rising rate environments.</w:t>
      </w:r>
    </w:p>
    <w:p w14:paraId="06525A92" w14:textId="0C44AD17" w:rsidR="00DD7AA5" w:rsidRDefault="00000000" w:rsidP="00DD7AA5">
      <w:pPr>
        <w:ind w:left="720" w:hanging="360"/>
      </w:pPr>
      <w:sdt>
        <w:sdtPr>
          <w:id w:val="-518933097"/>
          <w:citation/>
        </w:sdtPr>
        <w:sdtContent>
          <w:r w:rsidR="00DD7AA5" w:rsidRPr="003E69C0">
            <w:fldChar w:fldCharType="begin"/>
          </w:r>
          <w:r w:rsidR="00DD7AA5" w:rsidRPr="003E69C0">
            <w:instrText xml:space="preserve"> CITATION TDB22 \l 1033 </w:instrText>
          </w:r>
          <w:r w:rsidR="00DD7AA5" w:rsidRPr="003E69C0">
            <w:fldChar w:fldCharType="separate"/>
          </w:r>
          <w:r w:rsidR="00AD2C7A" w:rsidRPr="00AD2C7A">
            <w:rPr>
              <w:noProof/>
            </w:rPr>
            <w:t>(TD Bank, 2022)</w:t>
          </w:r>
          <w:r w:rsidR="00DD7AA5" w:rsidRPr="003E69C0">
            <w:fldChar w:fldCharType="end"/>
          </w:r>
        </w:sdtContent>
      </w:sdt>
      <w:sdt>
        <w:sdtPr>
          <w:id w:val="-525485033"/>
          <w:citation/>
        </w:sdtPr>
        <w:sdtContent>
          <w:r w:rsidR="00DD7AA5" w:rsidRPr="003E69C0">
            <w:fldChar w:fldCharType="begin"/>
          </w:r>
          <w:r w:rsidR="00DD7AA5" w:rsidRPr="003E69C0">
            <w:instrText xml:space="preserve"> CITATION Mac \l 1033 </w:instrText>
          </w:r>
          <w:r w:rsidR="00DD7AA5" w:rsidRPr="003E69C0">
            <w:fldChar w:fldCharType="separate"/>
          </w:r>
          <w:r w:rsidR="00AD2C7A">
            <w:rPr>
              <w:noProof/>
            </w:rPr>
            <w:t xml:space="preserve"> </w:t>
          </w:r>
          <w:r w:rsidR="00AD2C7A" w:rsidRPr="00AD2C7A">
            <w:rPr>
              <w:noProof/>
            </w:rPr>
            <w:t>(Macrotrends, n.d.)</w:t>
          </w:r>
          <w:r w:rsidR="00DD7AA5" w:rsidRPr="003E69C0">
            <w:fldChar w:fldCharType="end"/>
          </w:r>
        </w:sdtContent>
      </w:sdt>
    </w:p>
    <w:p w14:paraId="1ED9E801" w14:textId="77777777" w:rsidR="00E62B38" w:rsidRPr="003E69C0" w:rsidRDefault="00E62B38" w:rsidP="00DD7AA5">
      <w:pPr>
        <w:ind w:left="720" w:hanging="360"/>
      </w:pPr>
    </w:p>
    <w:p w14:paraId="1854F806" w14:textId="00F63DA5" w:rsidR="009F58AF" w:rsidRPr="00CF5BDF" w:rsidRDefault="00D273FD" w:rsidP="003172DE">
      <w:pPr>
        <w:jc w:val="both"/>
        <w:rPr>
          <w:b/>
          <w:bCs/>
        </w:rPr>
      </w:pPr>
      <w:r w:rsidRPr="00CF5BDF">
        <w:rPr>
          <w:b/>
          <w:bCs/>
        </w:rPr>
        <w:t>Customer:</w:t>
      </w:r>
      <w:r w:rsidR="00C73547" w:rsidRPr="00CF5BDF">
        <w:rPr>
          <w:b/>
          <w:bCs/>
        </w:rPr>
        <w:t xml:space="preserve"> </w:t>
      </w:r>
    </w:p>
    <w:p w14:paraId="01056729" w14:textId="07530E37" w:rsidR="00DD7AA5" w:rsidRPr="003E69C0" w:rsidRDefault="00DD7AA5" w:rsidP="00DD7AA5">
      <w:pPr>
        <w:pStyle w:val="ListParagraph"/>
        <w:numPr>
          <w:ilvl w:val="0"/>
          <w:numId w:val="18"/>
        </w:numPr>
        <w:ind w:left="642"/>
        <w:jc w:val="both"/>
      </w:pPr>
      <w:r w:rsidRPr="003E69C0">
        <w:t>The Net Promoter Score (NPS) of TD Bank Group is -13, with 37% Promoters, 13% Passives, and 50% Detractors.</w:t>
      </w:r>
    </w:p>
    <w:p w14:paraId="47532E0E" w14:textId="77777777" w:rsidR="00DD7AA5" w:rsidRPr="003E69C0" w:rsidRDefault="00DD7AA5" w:rsidP="00DD7AA5">
      <w:pPr>
        <w:pStyle w:val="ListParagraph"/>
        <w:numPr>
          <w:ilvl w:val="0"/>
          <w:numId w:val="15"/>
        </w:numPr>
        <w:rPr>
          <w:b/>
          <w:bCs/>
        </w:rPr>
      </w:pPr>
      <w:r w:rsidRPr="003E69C0">
        <w:t>Maintained strong market share11 positions and gained momentum across the businesses.</w:t>
      </w:r>
    </w:p>
    <w:p w14:paraId="5D1A99FA" w14:textId="77777777" w:rsidR="00DD7AA5" w:rsidRPr="003E69C0" w:rsidRDefault="00DD7AA5" w:rsidP="00DD7AA5">
      <w:pPr>
        <w:pStyle w:val="ListParagraph"/>
        <w:numPr>
          <w:ilvl w:val="0"/>
          <w:numId w:val="15"/>
        </w:numPr>
        <w:rPr>
          <w:b/>
          <w:bCs/>
        </w:rPr>
      </w:pPr>
      <w:r w:rsidRPr="003E69C0">
        <w:t xml:space="preserve">#1 market share in Personal Non-Term deposits with industry-leading market share gains. </w:t>
      </w:r>
    </w:p>
    <w:p w14:paraId="6091F312" w14:textId="77777777" w:rsidR="00DD7AA5" w:rsidRPr="003E69C0" w:rsidRDefault="00DD7AA5" w:rsidP="00DD7AA5">
      <w:pPr>
        <w:pStyle w:val="ListParagraph"/>
        <w:numPr>
          <w:ilvl w:val="0"/>
          <w:numId w:val="15"/>
        </w:numPr>
        <w:rPr>
          <w:b/>
          <w:bCs/>
        </w:rPr>
      </w:pPr>
      <w:r w:rsidRPr="003E69C0">
        <w:t>#1 market share in Interac Mobile Wallet</w:t>
      </w:r>
      <w:r w:rsidRPr="00D93777">
        <w:t>.</w:t>
      </w:r>
    </w:p>
    <w:p w14:paraId="5A26DEEA" w14:textId="3406A273" w:rsidR="00DD7AA5" w:rsidRDefault="00000000" w:rsidP="00DD7AA5">
      <w:pPr>
        <w:pStyle w:val="ListParagraph"/>
        <w:rPr>
          <w:b/>
          <w:bCs/>
        </w:rPr>
      </w:pPr>
      <w:sdt>
        <w:sdtPr>
          <w:rPr>
            <w:b/>
            <w:bCs/>
          </w:rPr>
          <w:id w:val="590897599"/>
          <w:citation/>
        </w:sdtPr>
        <w:sdtContent>
          <w:r w:rsidR="00DD7AA5" w:rsidRPr="003E69C0">
            <w:rPr>
              <w:b/>
              <w:bCs/>
            </w:rPr>
            <w:fldChar w:fldCharType="begin"/>
          </w:r>
          <w:r w:rsidR="00DD7AA5" w:rsidRPr="003E69C0">
            <w:instrText xml:space="preserve"> CITATION Com2 \l 1033 </w:instrText>
          </w:r>
          <w:r w:rsidR="00DD7AA5" w:rsidRPr="003E69C0">
            <w:rPr>
              <w:b/>
              <w:bCs/>
            </w:rPr>
            <w:fldChar w:fldCharType="separate"/>
          </w:r>
          <w:r w:rsidR="00AD2C7A" w:rsidRPr="00AD2C7A">
            <w:rPr>
              <w:noProof/>
            </w:rPr>
            <w:t>(Comparably, n.d.)</w:t>
          </w:r>
          <w:r w:rsidR="00DD7AA5" w:rsidRPr="003E69C0">
            <w:rPr>
              <w:b/>
              <w:bCs/>
            </w:rPr>
            <w:fldChar w:fldCharType="end"/>
          </w:r>
        </w:sdtContent>
      </w:sdt>
      <w:sdt>
        <w:sdtPr>
          <w:rPr>
            <w:b/>
            <w:bCs/>
          </w:rPr>
          <w:id w:val="1987975316"/>
          <w:citation/>
        </w:sdtPr>
        <w:sdtContent>
          <w:r w:rsidR="00DD7AA5" w:rsidRPr="003E69C0">
            <w:rPr>
              <w:b/>
              <w:bCs/>
            </w:rPr>
            <w:fldChar w:fldCharType="begin"/>
          </w:r>
          <w:r w:rsidR="00DD7AA5" w:rsidRPr="003E69C0">
            <w:rPr>
              <w:b/>
              <w:bCs/>
            </w:rPr>
            <w:instrText xml:space="preserve"> CITATION TDB22 \l 1033 </w:instrText>
          </w:r>
          <w:r w:rsidR="00DD7AA5" w:rsidRPr="003E69C0">
            <w:rPr>
              <w:b/>
              <w:bCs/>
            </w:rPr>
            <w:fldChar w:fldCharType="separate"/>
          </w:r>
          <w:r w:rsidR="00AD2C7A">
            <w:rPr>
              <w:b/>
              <w:bCs/>
              <w:noProof/>
            </w:rPr>
            <w:t xml:space="preserve"> </w:t>
          </w:r>
          <w:r w:rsidR="00AD2C7A" w:rsidRPr="00AD2C7A">
            <w:rPr>
              <w:noProof/>
            </w:rPr>
            <w:t>(TD Bank, 2022)</w:t>
          </w:r>
          <w:r w:rsidR="00DD7AA5" w:rsidRPr="003E69C0">
            <w:rPr>
              <w:b/>
              <w:bCs/>
            </w:rPr>
            <w:fldChar w:fldCharType="end"/>
          </w:r>
        </w:sdtContent>
      </w:sdt>
    </w:p>
    <w:p w14:paraId="07F44C36" w14:textId="77777777" w:rsidR="00E62B38" w:rsidRPr="003E69C0" w:rsidRDefault="00E62B38" w:rsidP="00DD7AA5">
      <w:pPr>
        <w:pStyle w:val="ListParagraph"/>
        <w:rPr>
          <w:b/>
          <w:bCs/>
        </w:rPr>
      </w:pPr>
    </w:p>
    <w:p w14:paraId="2042ADFF" w14:textId="409CCA22" w:rsidR="00DD7AA5" w:rsidRPr="00CF5BDF" w:rsidRDefault="00DD7AA5" w:rsidP="003172DE">
      <w:pPr>
        <w:jc w:val="both"/>
        <w:rPr>
          <w:b/>
          <w:bCs/>
        </w:rPr>
      </w:pPr>
      <w:r w:rsidRPr="00CF5BDF">
        <w:rPr>
          <w:b/>
          <w:bCs/>
        </w:rPr>
        <w:t>Operational</w:t>
      </w:r>
    </w:p>
    <w:p w14:paraId="3919D432" w14:textId="77777777" w:rsidR="00DD7AA5" w:rsidRPr="003E69C0" w:rsidRDefault="00DD7AA5" w:rsidP="00DD7AA5">
      <w:pPr>
        <w:ind w:left="360"/>
      </w:pPr>
      <w:r w:rsidRPr="003E69C0">
        <w:t>• TD</w:t>
      </w:r>
      <w:r>
        <w:t>'</w:t>
      </w:r>
      <w:r w:rsidRPr="003E69C0">
        <w:t>s reported efficiency ratio is 50.3%, compared with 54.1% in 2021.</w:t>
      </w:r>
    </w:p>
    <w:p w14:paraId="2EEE63B9" w14:textId="77777777" w:rsidR="00DD7AA5" w:rsidRPr="003E69C0" w:rsidRDefault="00DD7AA5" w:rsidP="00DD7AA5">
      <w:pPr>
        <w:ind w:left="360"/>
      </w:pPr>
      <w:r w:rsidRPr="003E69C0">
        <w:t>• Reported operating leverage was positive with an increase in 4bps which made it 380 in total.</w:t>
      </w:r>
    </w:p>
    <w:p w14:paraId="0A7476B8" w14:textId="200F157B" w:rsidR="00DD7AA5" w:rsidRDefault="00000000" w:rsidP="00DD7AA5">
      <w:pPr>
        <w:ind w:left="360"/>
      </w:pPr>
      <w:sdt>
        <w:sdtPr>
          <w:id w:val="142172662"/>
          <w:citation/>
        </w:sdtPr>
        <w:sdtContent>
          <w:r w:rsidR="00DD7AA5" w:rsidRPr="003E69C0">
            <w:fldChar w:fldCharType="begin"/>
          </w:r>
          <w:r w:rsidR="00DD7AA5" w:rsidRPr="003E69C0">
            <w:instrText xml:space="preserve"> CITATION TDB22 \l 1033 </w:instrText>
          </w:r>
          <w:r w:rsidR="00DD7AA5" w:rsidRPr="003E69C0">
            <w:fldChar w:fldCharType="separate"/>
          </w:r>
          <w:r w:rsidR="00AD2C7A" w:rsidRPr="00AD2C7A">
            <w:rPr>
              <w:noProof/>
            </w:rPr>
            <w:t>(TD Bank, 2022)</w:t>
          </w:r>
          <w:r w:rsidR="00DD7AA5" w:rsidRPr="003E69C0">
            <w:fldChar w:fldCharType="end"/>
          </w:r>
        </w:sdtContent>
      </w:sdt>
    </w:p>
    <w:p w14:paraId="0BED48D9" w14:textId="77777777" w:rsidR="004F336D" w:rsidRDefault="004F336D" w:rsidP="00DD7AA5">
      <w:pPr>
        <w:ind w:left="360"/>
      </w:pPr>
    </w:p>
    <w:p w14:paraId="75881319" w14:textId="77777777" w:rsidR="00253246" w:rsidRDefault="00253246" w:rsidP="00F6368D">
      <w:pPr>
        <w:pStyle w:val="Heading1"/>
        <w:rPr>
          <w:b/>
          <w:bCs/>
        </w:rPr>
      </w:pPr>
    </w:p>
    <w:p w14:paraId="4277AB5C" w14:textId="77777777" w:rsidR="00F6368D" w:rsidRDefault="00F6368D" w:rsidP="00F6368D">
      <w:pPr>
        <w:rPr>
          <w:lang w:val="en-US"/>
        </w:rPr>
      </w:pPr>
    </w:p>
    <w:p w14:paraId="05ABDBB5" w14:textId="77777777" w:rsidR="00F6368D" w:rsidRPr="00F6368D" w:rsidRDefault="00F6368D" w:rsidP="00F6368D">
      <w:pPr>
        <w:rPr>
          <w:lang w:val="en-US"/>
        </w:rPr>
      </w:pPr>
    </w:p>
    <w:p w14:paraId="6AA0FD0F" w14:textId="77777777" w:rsidR="004F336D" w:rsidRPr="00CF5BDF" w:rsidRDefault="004F336D" w:rsidP="00CF5BDF">
      <w:pPr>
        <w:pStyle w:val="Heading1"/>
        <w:ind w:left="4320"/>
        <w:rPr>
          <w:b/>
          <w:bCs/>
        </w:rPr>
      </w:pPr>
      <w:bookmarkStart w:id="29" w:name="_Toc145702375"/>
      <w:r w:rsidRPr="00CF5BDF">
        <w:rPr>
          <w:b/>
          <w:bCs/>
        </w:rPr>
        <w:lastRenderedPageBreak/>
        <w:t>Conclusion</w:t>
      </w:r>
      <w:bookmarkEnd w:id="29"/>
    </w:p>
    <w:p w14:paraId="3D1921E9" w14:textId="646672BD" w:rsidR="004F336D" w:rsidRDefault="004F336D" w:rsidP="004F336D">
      <w:pPr>
        <w:ind w:left="360"/>
        <w:rPr>
          <w:rFonts w:cstheme="minorHAnsi"/>
        </w:rPr>
      </w:pPr>
      <w:r w:rsidRPr="003676DA">
        <w:rPr>
          <w:rFonts w:cstheme="minorHAnsi"/>
        </w:rPr>
        <w:t xml:space="preserve">As per our Deep Analysis, </w:t>
      </w:r>
      <w:r w:rsidR="00A8791D">
        <w:rPr>
          <w:rFonts w:cstheme="minorHAnsi"/>
        </w:rPr>
        <w:t>we</w:t>
      </w:r>
      <w:r w:rsidRPr="003676DA">
        <w:rPr>
          <w:rFonts w:cstheme="minorHAnsi"/>
        </w:rPr>
        <w:t xml:space="preserve"> have some helpful insights</w:t>
      </w:r>
      <w:r w:rsidR="00955F23">
        <w:rPr>
          <w:rFonts w:cstheme="minorHAnsi"/>
        </w:rPr>
        <w:t xml:space="preserve"> </w:t>
      </w:r>
      <w:r w:rsidR="005A6D37">
        <w:rPr>
          <w:rFonts w:cstheme="minorHAnsi"/>
        </w:rPr>
        <w:t>into</w:t>
      </w:r>
      <w:r w:rsidR="00955F23">
        <w:rPr>
          <w:rFonts w:cstheme="minorHAnsi"/>
        </w:rPr>
        <w:t xml:space="preserve"> Scotiab</w:t>
      </w:r>
      <w:r w:rsidR="00ED0794">
        <w:rPr>
          <w:rFonts w:cstheme="minorHAnsi"/>
        </w:rPr>
        <w:t>ank</w:t>
      </w:r>
      <w:r w:rsidR="00802018">
        <w:rPr>
          <w:rFonts w:cstheme="minorHAnsi"/>
        </w:rPr>
        <w:t>’s</w:t>
      </w:r>
      <w:r w:rsidRPr="003676DA">
        <w:rPr>
          <w:rFonts w:cstheme="minorHAnsi"/>
        </w:rPr>
        <w:t xml:space="preserve"> </w:t>
      </w:r>
      <w:r>
        <w:rPr>
          <w:rFonts w:cstheme="minorHAnsi"/>
        </w:rPr>
        <w:t>NPS</w:t>
      </w:r>
      <w:r w:rsidR="007C048B">
        <w:rPr>
          <w:rFonts w:cstheme="minorHAnsi"/>
        </w:rPr>
        <w:t xml:space="preserve"> </w:t>
      </w:r>
      <w:r w:rsidR="001841FD">
        <w:rPr>
          <w:rFonts w:cstheme="minorHAnsi"/>
        </w:rPr>
        <w:t>can be increase</w:t>
      </w:r>
      <w:r w:rsidR="005A6D37">
        <w:rPr>
          <w:rFonts w:cstheme="minorHAnsi"/>
        </w:rPr>
        <w:t>d</w:t>
      </w:r>
      <w:r w:rsidR="00EC0DC1">
        <w:rPr>
          <w:rFonts w:cstheme="minorHAnsi"/>
        </w:rPr>
        <w:t xml:space="preserve"> so that </w:t>
      </w:r>
      <w:r w:rsidR="00615A52">
        <w:rPr>
          <w:rFonts w:cstheme="minorHAnsi"/>
        </w:rPr>
        <w:t>it can help to increase</w:t>
      </w:r>
      <w:r w:rsidR="001841FD">
        <w:rPr>
          <w:rFonts w:cstheme="minorHAnsi"/>
        </w:rPr>
        <w:t xml:space="preserve"> Revenue and Net income</w:t>
      </w:r>
      <w:r w:rsidR="003B4EAB">
        <w:rPr>
          <w:rFonts w:cstheme="minorHAnsi"/>
        </w:rPr>
        <w:t xml:space="preserve"> gradually,</w:t>
      </w:r>
      <w:r w:rsidR="008555A0">
        <w:rPr>
          <w:rFonts w:cstheme="minorHAnsi"/>
        </w:rPr>
        <w:t xml:space="preserve"> its market share in the Pacific allian</w:t>
      </w:r>
      <w:r w:rsidR="00A2327F">
        <w:rPr>
          <w:rFonts w:cstheme="minorHAnsi"/>
        </w:rPr>
        <w:t>ce can be improved by implementing some marketing strategies to acquire more customer base,</w:t>
      </w:r>
      <w:r w:rsidR="009C710D">
        <w:rPr>
          <w:rFonts w:cstheme="minorHAnsi"/>
        </w:rPr>
        <w:t xml:space="preserve"> </w:t>
      </w:r>
      <w:r w:rsidR="002237EE">
        <w:rPr>
          <w:rFonts w:cstheme="minorHAnsi"/>
        </w:rPr>
        <w:t>etc.</w:t>
      </w:r>
      <w:r>
        <w:rPr>
          <w:rFonts w:cstheme="minorHAnsi"/>
        </w:rPr>
        <w:t xml:space="preserve"> which is also provided in the scorecard, and </w:t>
      </w:r>
      <w:r w:rsidR="009E100A">
        <w:rPr>
          <w:rFonts w:cstheme="minorHAnsi"/>
        </w:rPr>
        <w:t xml:space="preserve">a </w:t>
      </w:r>
      <w:r>
        <w:rPr>
          <w:rFonts w:cstheme="minorHAnsi"/>
        </w:rPr>
        <w:t xml:space="preserve">few other information </w:t>
      </w:r>
      <w:r w:rsidRPr="003676DA">
        <w:rPr>
          <w:rFonts w:cstheme="minorHAnsi"/>
        </w:rPr>
        <w:t xml:space="preserve">which will act as key </w:t>
      </w:r>
      <w:r w:rsidR="009E100A">
        <w:rPr>
          <w:rFonts w:cstheme="minorHAnsi"/>
        </w:rPr>
        <w:t>findings</w:t>
      </w:r>
      <w:r w:rsidRPr="003676DA">
        <w:rPr>
          <w:rFonts w:cstheme="minorHAnsi"/>
        </w:rPr>
        <w:t xml:space="preserve"> to the new change suggestion</w:t>
      </w:r>
      <w:r w:rsidR="00062B30">
        <w:rPr>
          <w:rFonts w:cstheme="minorHAnsi"/>
        </w:rPr>
        <w:t xml:space="preserve"> and</w:t>
      </w:r>
      <w:r w:rsidRPr="003676DA">
        <w:rPr>
          <w:rFonts w:cstheme="minorHAnsi"/>
        </w:rPr>
        <w:t xml:space="preserve"> will not only help to boost the profit but find new areas to play with.</w:t>
      </w:r>
    </w:p>
    <w:p w14:paraId="66EFD6FA" w14:textId="77777777" w:rsidR="0089209C" w:rsidRPr="00CF5BDF" w:rsidRDefault="0089209C" w:rsidP="0089209C">
      <w:pPr>
        <w:pStyle w:val="Heading1"/>
        <w:ind w:left="3600" w:firstLine="720"/>
        <w:rPr>
          <w:b/>
          <w:bCs/>
        </w:rPr>
      </w:pPr>
      <w:bookmarkStart w:id="30" w:name="_Toc145702376"/>
      <w:r w:rsidRPr="00CF5BDF">
        <w:rPr>
          <w:b/>
          <w:bCs/>
        </w:rPr>
        <w:t>Call to Action</w:t>
      </w:r>
      <w:bookmarkEnd w:id="30"/>
    </w:p>
    <w:p w14:paraId="1A172045" w14:textId="77777777" w:rsidR="0089209C" w:rsidRPr="003676DA" w:rsidRDefault="0089209C" w:rsidP="0089209C">
      <w:pPr>
        <w:ind w:left="360"/>
        <w:rPr>
          <w:rFonts w:asciiTheme="majorHAnsi" w:eastAsiaTheme="majorEastAsia" w:hAnsiTheme="majorHAnsi" w:cstheme="majorBidi"/>
          <w:b/>
          <w:bCs/>
          <w:color w:val="2F5496" w:themeColor="accent1" w:themeShade="BF"/>
          <w:kern w:val="2"/>
          <w:sz w:val="32"/>
          <w:szCs w:val="32"/>
          <w:lang w:val="en-US"/>
          <w14:ligatures w14:val="standardContextual"/>
        </w:rPr>
      </w:pPr>
      <w:r>
        <w:rPr>
          <w:rFonts w:cstheme="minorHAnsi"/>
        </w:rPr>
        <w:t>RevolEdge Solutions</w:t>
      </w:r>
      <w:r w:rsidRPr="003676DA">
        <w:rPr>
          <w:rFonts w:cstheme="minorHAnsi"/>
        </w:rPr>
        <w:t xml:space="preserve"> </w:t>
      </w:r>
      <w:r>
        <w:rPr>
          <w:rFonts w:cstheme="minorHAnsi"/>
        </w:rPr>
        <w:t>uses</w:t>
      </w:r>
      <w:r w:rsidRPr="003676DA">
        <w:rPr>
          <w:rFonts w:cstheme="minorHAnsi"/>
        </w:rPr>
        <w:t xml:space="preserve"> </w:t>
      </w:r>
      <w:r>
        <w:rPr>
          <w:rFonts w:cstheme="minorHAnsi"/>
        </w:rPr>
        <w:t>state-of-the-art multi-analysis</w:t>
      </w:r>
      <w:r w:rsidRPr="003676DA">
        <w:rPr>
          <w:rFonts w:cstheme="minorHAnsi"/>
        </w:rPr>
        <w:t xml:space="preserve"> techniques to find the threats or </w:t>
      </w:r>
      <w:r>
        <w:rPr>
          <w:rFonts w:cstheme="minorHAnsi"/>
        </w:rPr>
        <w:t>weaknesses</w:t>
      </w:r>
      <w:r w:rsidRPr="003676DA">
        <w:rPr>
          <w:rFonts w:cstheme="minorHAnsi"/>
        </w:rPr>
        <w:t xml:space="preserve"> in the existing process and procedure within Scotiabank or use it </w:t>
      </w:r>
      <w:r>
        <w:rPr>
          <w:rFonts w:cstheme="minorHAnsi"/>
        </w:rPr>
        <w:t>to find</w:t>
      </w:r>
      <w:r w:rsidRPr="003676DA">
        <w:rPr>
          <w:rFonts w:cstheme="minorHAnsi"/>
        </w:rPr>
        <w:t xml:space="preserve"> scope to increase its performance and thus </w:t>
      </w:r>
      <w:r>
        <w:rPr>
          <w:rFonts w:cstheme="minorHAnsi"/>
        </w:rPr>
        <w:t>increase</w:t>
      </w:r>
      <w:r w:rsidRPr="003676DA">
        <w:rPr>
          <w:rFonts w:cstheme="minorHAnsi"/>
        </w:rPr>
        <w:t xml:space="preserve"> profitability. As per </w:t>
      </w:r>
      <w:r>
        <w:rPr>
          <w:rFonts w:cstheme="minorHAnsi"/>
        </w:rPr>
        <w:t>the</w:t>
      </w:r>
      <w:r w:rsidRPr="003676DA">
        <w:rPr>
          <w:rFonts w:cstheme="minorHAnsi"/>
        </w:rPr>
        <w:t xml:space="preserve"> Company's protocol, we have done our Analysis and </w:t>
      </w:r>
      <w:r>
        <w:rPr>
          <w:rFonts w:cstheme="minorHAnsi"/>
        </w:rPr>
        <w:t xml:space="preserve">we </w:t>
      </w:r>
      <w:r w:rsidRPr="003676DA">
        <w:rPr>
          <w:rFonts w:cstheme="minorHAnsi"/>
        </w:rPr>
        <w:t xml:space="preserve">have a deep understanding, so our insight and suggestions will help </w:t>
      </w:r>
      <w:r>
        <w:rPr>
          <w:rFonts w:cstheme="minorHAnsi"/>
        </w:rPr>
        <w:t xml:space="preserve">to </w:t>
      </w:r>
      <w:r w:rsidRPr="003676DA">
        <w:rPr>
          <w:rFonts w:cstheme="minorHAnsi"/>
        </w:rPr>
        <w:t xml:space="preserve">change the scope for </w:t>
      </w:r>
      <w:r>
        <w:rPr>
          <w:rFonts w:cstheme="minorHAnsi"/>
        </w:rPr>
        <w:t xml:space="preserve">the </w:t>
      </w:r>
      <w:r w:rsidRPr="003676DA">
        <w:rPr>
          <w:rFonts w:cstheme="minorHAnsi"/>
        </w:rPr>
        <w:t>better.</w:t>
      </w:r>
    </w:p>
    <w:p w14:paraId="5A40B481" w14:textId="77777777" w:rsidR="0089209C" w:rsidRPr="003676DA" w:rsidRDefault="0089209C" w:rsidP="004F336D">
      <w:pPr>
        <w:ind w:left="360"/>
        <w:rPr>
          <w:rFonts w:cstheme="minorHAnsi"/>
        </w:rPr>
      </w:pPr>
    </w:p>
    <w:p w14:paraId="4B1B63AB" w14:textId="77777777" w:rsidR="004F336D" w:rsidRDefault="004F336D" w:rsidP="00DD7AA5">
      <w:pPr>
        <w:ind w:left="360"/>
      </w:pPr>
    </w:p>
    <w:p w14:paraId="30E68D57" w14:textId="77777777" w:rsidR="00044F80" w:rsidRDefault="00044F80" w:rsidP="00DD7AA5">
      <w:pPr>
        <w:ind w:left="360"/>
        <w:rPr>
          <w:sz w:val="32"/>
          <w:szCs w:val="32"/>
        </w:rPr>
      </w:pPr>
    </w:p>
    <w:p w14:paraId="536E6962" w14:textId="77777777" w:rsidR="00253246" w:rsidRDefault="00253246" w:rsidP="00DD7AA5">
      <w:pPr>
        <w:ind w:left="360"/>
        <w:rPr>
          <w:sz w:val="32"/>
          <w:szCs w:val="32"/>
        </w:rPr>
      </w:pPr>
    </w:p>
    <w:p w14:paraId="0A3D3A73" w14:textId="77777777" w:rsidR="00253246" w:rsidRDefault="00253246" w:rsidP="00DD7AA5">
      <w:pPr>
        <w:ind w:left="360"/>
        <w:rPr>
          <w:sz w:val="32"/>
          <w:szCs w:val="32"/>
        </w:rPr>
      </w:pPr>
    </w:p>
    <w:p w14:paraId="6AF3052B" w14:textId="77777777" w:rsidR="00253246" w:rsidRDefault="00253246" w:rsidP="00DD7AA5">
      <w:pPr>
        <w:ind w:left="360"/>
        <w:rPr>
          <w:sz w:val="32"/>
          <w:szCs w:val="32"/>
        </w:rPr>
      </w:pPr>
    </w:p>
    <w:p w14:paraId="72F84505" w14:textId="77777777" w:rsidR="00253246" w:rsidRDefault="00253246" w:rsidP="00DD7AA5">
      <w:pPr>
        <w:ind w:left="360"/>
        <w:rPr>
          <w:sz w:val="32"/>
          <w:szCs w:val="32"/>
        </w:rPr>
      </w:pPr>
    </w:p>
    <w:p w14:paraId="02073A30" w14:textId="77777777" w:rsidR="00253246" w:rsidRDefault="00253246" w:rsidP="00DD7AA5">
      <w:pPr>
        <w:ind w:left="360"/>
        <w:rPr>
          <w:sz w:val="32"/>
          <w:szCs w:val="32"/>
        </w:rPr>
      </w:pPr>
    </w:p>
    <w:p w14:paraId="1A16514B" w14:textId="77777777" w:rsidR="00253246" w:rsidRDefault="00253246" w:rsidP="00DD7AA5">
      <w:pPr>
        <w:ind w:left="360"/>
        <w:rPr>
          <w:sz w:val="32"/>
          <w:szCs w:val="32"/>
        </w:rPr>
      </w:pPr>
    </w:p>
    <w:p w14:paraId="696D9E98" w14:textId="77777777" w:rsidR="00253246" w:rsidRDefault="00253246" w:rsidP="00DD7AA5">
      <w:pPr>
        <w:ind w:left="360"/>
        <w:rPr>
          <w:sz w:val="32"/>
          <w:szCs w:val="32"/>
        </w:rPr>
      </w:pPr>
    </w:p>
    <w:p w14:paraId="5BD0ABC0" w14:textId="77777777" w:rsidR="00253246" w:rsidRDefault="00253246" w:rsidP="00DD7AA5">
      <w:pPr>
        <w:ind w:left="360"/>
        <w:rPr>
          <w:sz w:val="32"/>
          <w:szCs w:val="32"/>
        </w:rPr>
      </w:pPr>
    </w:p>
    <w:p w14:paraId="659D42BA" w14:textId="77777777" w:rsidR="00253246" w:rsidRDefault="00253246" w:rsidP="00DD7AA5">
      <w:pPr>
        <w:ind w:left="360"/>
        <w:rPr>
          <w:sz w:val="32"/>
          <w:szCs w:val="32"/>
        </w:rPr>
      </w:pPr>
    </w:p>
    <w:p w14:paraId="265100A5" w14:textId="77777777" w:rsidR="00253246" w:rsidRDefault="00253246" w:rsidP="00DD7AA5">
      <w:pPr>
        <w:ind w:left="360"/>
        <w:rPr>
          <w:sz w:val="32"/>
          <w:szCs w:val="32"/>
        </w:rPr>
      </w:pPr>
    </w:p>
    <w:p w14:paraId="69CFA448" w14:textId="77777777" w:rsidR="00253246" w:rsidRDefault="00253246" w:rsidP="00DD7AA5">
      <w:pPr>
        <w:ind w:left="360"/>
        <w:rPr>
          <w:sz w:val="32"/>
          <w:szCs w:val="32"/>
        </w:rPr>
      </w:pPr>
    </w:p>
    <w:p w14:paraId="32E2EE9E" w14:textId="77777777" w:rsidR="00253246" w:rsidRDefault="00253246" w:rsidP="00DD7AA5">
      <w:pPr>
        <w:ind w:left="360"/>
        <w:rPr>
          <w:sz w:val="32"/>
          <w:szCs w:val="32"/>
        </w:rPr>
      </w:pPr>
    </w:p>
    <w:p w14:paraId="27ED13AA" w14:textId="77777777" w:rsidR="00114F88" w:rsidRDefault="00114F88" w:rsidP="00DD7AA5">
      <w:pPr>
        <w:ind w:left="360"/>
        <w:rPr>
          <w:sz w:val="32"/>
          <w:szCs w:val="32"/>
        </w:rPr>
      </w:pPr>
    </w:p>
    <w:p w14:paraId="38A83A32" w14:textId="77777777" w:rsidR="00D632D2" w:rsidRDefault="00D632D2" w:rsidP="00DD7AA5">
      <w:pPr>
        <w:ind w:left="360"/>
        <w:rPr>
          <w:sz w:val="32"/>
          <w:szCs w:val="32"/>
        </w:rPr>
      </w:pPr>
    </w:p>
    <w:p w14:paraId="1823D9B9" w14:textId="77777777" w:rsidR="00114F88" w:rsidRDefault="00114F88" w:rsidP="00DD7AA5">
      <w:pPr>
        <w:ind w:left="360"/>
        <w:rPr>
          <w:sz w:val="32"/>
          <w:szCs w:val="32"/>
        </w:rPr>
      </w:pPr>
    </w:p>
    <w:bookmarkStart w:id="31" w:name="_Toc145702377" w:displacedByCustomXml="next"/>
    <w:sdt>
      <w:sdtPr>
        <w:rPr>
          <w:rFonts w:asciiTheme="minorHAnsi" w:eastAsiaTheme="minorHAnsi" w:hAnsiTheme="minorHAnsi" w:cstheme="minorBidi"/>
          <w:color w:val="auto"/>
          <w:kern w:val="0"/>
          <w:sz w:val="22"/>
          <w:szCs w:val="22"/>
          <w:lang w:val="en-IN"/>
          <w14:ligatures w14:val="none"/>
        </w:rPr>
        <w:id w:val="2072539753"/>
        <w:docPartObj>
          <w:docPartGallery w:val="Bibliographies"/>
          <w:docPartUnique/>
        </w:docPartObj>
      </w:sdtPr>
      <w:sdtContent>
        <w:p w14:paraId="585FF7EC" w14:textId="763E1FF6" w:rsidR="00763EE3" w:rsidRPr="00114F88" w:rsidRDefault="00763EE3" w:rsidP="00E62B38">
          <w:pPr>
            <w:pStyle w:val="Heading1"/>
            <w:jc w:val="center"/>
            <w:rPr>
              <w:rFonts w:asciiTheme="minorHAnsi" w:eastAsiaTheme="minorHAnsi" w:hAnsiTheme="minorHAnsi" w:cstheme="minorBidi"/>
              <w:color w:val="auto"/>
              <w:kern w:val="0"/>
              <w:sz w:val="22"/>
              <w:szCs w:val="22"/>
              <w:lang w:val="en-IN"/>
              <w14:ligatures w14:val="none"/>
            </w:rPr>
          </w:pPr>
          <w:r w:rsidRPr="00E62B38">
            <w:rPr>
              <w:b/>
              <w:bCs/>
            </w:rPr>
            <w:t>References</w:t>
          </w:r>
          <w:bookmarkEnd w:id="31"/>
        </w:p>
        <w:p w14:paraId="69D63E2F" w14:textId="77777777" w:rsidR="00E62B38" w:rsidRPr="00E62B38" w:rsidRDefault="00E62B38" w:rsidP="00E62B38">
          <w:pPr>
            <w:rPr>
              <w:lang w:val="en-US"/>
            </w:rPr>
          </w:pPr>
        </w:p>
        <w:sdt>
          <w:sdtPr>
            <w:id w:val="-573587230"/>
            <w:bibliography/>
          </w:sdtPr>
          <w:sdtContent>
            <w:p w14:paraId="15BBF7B7" w14:textId="77777777" w:rsidR="00AD2C7A" w:rsidRDefault="00763EE3" w:rsidP="00AD2C7A">
              <w:pPr>
                <w:pStyle w:val="Bibliography"/>
                <w:ind w:left="720" w:hanging="720"/>
                <w:rPr>
                  <w:noProof/>
                  <w:sz w:val="24"/>
                  <w:szCs w:val="24"/>
                  <w:lang w:val="en-US"/>
                </w:rPr>
              </w:pPr>
              <w:r>
                <w:fldChar w:fldCharType="begin"/>
              </w:r>
              <w:r>
                <w:instrText xml:space="preserve"> BIBLIOGRAPHY </w:instrText>
              </w:r>
              <w:r>
                <w:fldChar w:fldCharType="separate"/>
              </w:r>
              <w:r w:rsidR="00AD2C7A">
                <w:rPr>
                  <w:noProof/>
                  <w:lang w:val="en-US"/>
                </w:rPr>
                <w:t xml:space="preserve">BMO. (2022). </w:t>
              </w:r>
              <w:r w:rsidR="00AD2C7A">
                <w:rPr>
                  <w:i/>
                  <w:iCs/>
                  <w:noProof/>
                  <w:lang w:val="en-US"/>
                </w:rPr>
                <w:t>2022 Annual Report to Shareholders.</w:t>
              </w:r>
              <w:r w:rsidR="00AD2C7A">
                <w:rPr>
                  <w:noProof/>
                  <w:lang w:val="en-US"/>
                </w:rPr>
                <w:t xml:space="preserve"> Retrieved from chrome-extension://efaidnbmnnnibpcajpcglclefindmkaj/https://www.bmo.com/ir/archive/en/bmo_ar2022.pdf</w:t>
              </w:r>
            </w:p>
            <w:p w14:paraId="671AD389" w14:textId="77777777" w:rsidR="00AD2C7A" w:rsidRDefault="00AD2C7A" w:rsidP="00AD2C7A">
              <w:pPr>
                <w:pStyle w:val="Bibliography"/>
                <w:ind w:left="720" w:hanging="720"/>
                <w:rPr>
                  <w:noProof/>
                  <w:lang w:val="en-US"/>
                </w:rPr>
              </w:pPr>
              <w:r>
                <w:rPr>
                  <w:noProof/>
                  <w:lang w:val="en-US"/>
                </w:rPr>
                <w:t xml:space="preserve">BMO. (2022). </w:t>
              </w:r>
              <w:r>
                <w:rPr>
                  <w:i/>
                  <w:iCs/>
                  <w:noProof/>
                  <w:lang w:val="en-US"/>
                </w:rPr>
                <w:t>Annual Report 2022.</w:t>
              </w:r>
              <w:r>
                <w:rPr>
                  <w:noProof/>
                  <w:lang w:val="en-US"/>
                </w:rPr>
                <w:t xml:space="preserve"> Retrieved from https://www.bmo.com/ir/archive/en/bmo_ar2022.pdf</w:t>
              </w:r>
            </w:p>
            <w:p w14:paraId="0B32277C" w14:textId="77777777" w:rsidR="00AD2C7A" w:rsidRDefault="00AD2C7A" w:rsidP="00AD2C7A">
              <w:pPr>
                <w:pStyle w:val="Bibliography"/>
                <w:ind w:left="720" w:hanging="720"/>
                <w:rPr>
                  <w:noProof/>
                  <w:lang w:val="en-US"/>
                </w:rPr>
              </w:pPr>
              <w:r>
                <w:rPr>
                  <w:noProof/>
                  <w:lang w:val="en-US"/>
                </w:rPr>
                <w:t xml:space="preserve">BMO. (2022). </w:t>
              </w:r>
              <w:r>
                <w:rPr>
                  <w:i/>
                  <w:iCs/>
                  <w:noProof/>
                  <w:lang w:val="en-US"/>
                </w:rPr>
                <w:t>At a Glance.</w:t>
              </w:r>
              <w:r>
                <w:rPr>
                  <w:noProof/>
                  <w:lang w:val="en-US"/>
                </w:rPr>
                <w:t xml:space="preserve"> Retrieved from https://about.bmo.com/at-a-glance/</w:t>
              </w:r>
            </w:p>
            <w:p w14:paraId="1E216510" w14:textId="77777777" w:rsidR="00AD2C7A" w:rsidRDefault="00AD2C7A" w:rsidP="00AD2C7A">
              <w:pPr>
                <w:pStyle w:val="Bibliography"/>
                <w:ind w:left="720" w:hanging="720"/>
                <w:rPr>
                  <w:noProof/>
                  <w:lang w:val="en-US"/>
                </w:rPr>
              </w:pPr>
              <w:r>
                <w:rPr>
                  <w:noProof/>
                  <w:lang w:val="en-US"/>
                </w:rPr>
                <w:t xml:space="preserve">CIBC. (2022). </w:t>
              </w:r>
              <w:r>
                <w:rPr>
                  <w:i/>
                  <w:iCs/>
                  <w:noProof/>
                  <w:lang w:val="en-US"/>
                </w:rPr>
                <w:t>Ambitions made real Annual Report 2022.</w:t>
              </w:r>
              <w:r>
                <w:rPr>
                  <w:noProof/>
                  <w:lang w:val="en-US"/>
                </w:rPr>
                <w:t xml:space="preserve"> Retrieved from chrome-extension://efaidnbmnnnibpcajpcglclefindmkaj/https://www.cibc.com/content/dam/cibc-public-assets/about-cibc/investor-relations/pdfs/quarterly-results/2022/ar-22-en.pdf</w:t>
              </w:r>
            </w:p>
            <w:p w14:paraId="022EE651" w14:textId="3CBFE68E" w:rsidR="00AD2C7A" w:rsidRDefault="00AD2C7A" w:rsidP="00AD2C7A">
              <w:pPr>
                <w:pStyle w:val="Bibliography"/>
                <w:ind w:left="720" w:hanging="720"/>
                <w:rPr>
                  <w:noProof/>
                  <w:lang w:val="en-US"/>
                </w:rPr>
              </w:pPr>
              <w:r>
                <w:rPr>
                  <w:noProof/>
                  <w:lang w:val="en-US"/>
                </w:rPr>
                <w:t xml:space="preserve">CIBC. (2022). </w:t>
              </w:r>
              <w:r>
                <w:rPr>
                  <w:i/>
                  <w:iCs/>
                  <w:noProof/>
                  <w:lang w:val="en-US"/>
                </w:rPr>
                <w:t>CIBC.</w:t>
              </w:r>
              <w:r>
                <w:rPr>
                  <w:noProof/>
                  <w:lang w:val="en-US"/>
                </w:rPr>
                <w:t xml:space="preserve"> Retrieved from https://www.cibc.com/content/dam/cibc-public-assets/about-cibc/investor-relations/pdfs/quarterly-results/2022/ar-22-en.pdf</w:t>
              </w:r>
            </w:p>
            <w:p w14:paraId="5C465A2F" w14:textId="77777777" w:rsidR="00AD2C7A" w:rsidRDefault="00AD2C7A" w:rsidP="00AD2C7A">
              <w:pPr>
                <w:pStyle w:val="Bibliography"/>
                <w:ind w:left="720" w:hanging="720"/>
                <w:rPr>
                  <w:noProof/>
                  <w:lang w:val="en-US"/>
                </w:rPr>
              </w:pPr>
              <w:r>
                <w:rPr>
                  <w:noProof/>
                  <w:lang w:val="en-US"/>
                </w:rPr>
                <w:t xml:space="preserve">CIBC. (2022). </w:t>
              </w:r>
              <w:r>
                <w:rPr>
                  <w:i/>
                  <w:iCs/>
                  <w:noProof/>
                  <w:lang w:val="en-US"/>
                </w:rPr>
                <w:t>CIBC Fact Sheet.</w:t>
              </w:r>
              <w:r>
                <w:rPr>
                  <w:noProof/>
                  <w:lang w:val="en-US"/>
                </w:rPr>
                <w:t xml:space="preserve"> Retrieved from https://www.cibc.com/content/dam/cibc-public-assets/about-cibc/investor-relations/pdfs/quarterly-results/2022/q422factsheet-en.pdf</w:t>
              </w:r>
            </w:p>
            <w:p w14:paraId="11FEB617" w14:textId="77777777" w:rsidR="00AD2C7A" w:rsidRDefault="00AD2C7A" w:rsidP="00AD2C7A">
              <w:pPr>
                <w:pStyle w:val="Bibliography"/>
                <w:ind w:left="720" w:hanging="720"/>
                <w:rPr>
                  <w:noProof/>
                  <w:lang w:val="en-US"/>
                </w:rPr>
              </w:pPr>
              <w:r>
                <w:rPr>
                  <w:noProof/>
                  <w:lang w:val="en-US"/>
                </w:rPr>
                <w:t xml:space="preserve">Comparably. (n.d.). </w:t>
              </w:r>
              <w:r>
                <w:rPr>
                  <w:i/>
                  <w:iCs/>
                  <w:noProof/>
                  <w:lang w:val="en-US"/>
                </w:rPr>
                <w:t>BMO</w:t>
              </w:r>
              <w:r>
                <w:rPr>
                  <w:noProof/>
                  <w:lang w:val="en-US"/>
                </w:rPr>
                <w:t>. Retrieved from comparably.com: https://www.comparably.com/brands/bmo-private-bank</w:t>
              </w:r>
            </w:p>
            <w:p w14:paraId="739C41E1" w14:textId="77777777" w:rsidR="00AD2C7A" w:rsidRDefault="00AD2C7A" w:rsidP="00AD2C7A">
              <w:pPr>
                <w:pStyle w:val="Bibliography"/>
                <w:ind w:left="720" w:hanging="720"/>
                <w:rPr>
                  <w:noProof/>
                  <w:lang w:val="en-US"/>
                </w:rPr>
              </w:pPr>
              <w:r>
                <w:rPr>
                  <w:noProof/>
                  <w:lang w:val="en-US"/>
                </w:rPr>
                <w:t xml:space="preserve">Comparably. (n.d.). </w:t>
              </w:r>
              <w:r>
                <w:rPr>
                  <w:i/>
                  <w:iCs/>
                  <w:noProof/>
                  <w:lang w:val="en-US"/>
                </w:rPr>
                <w:t>Comparably</w:t>
              </w:r>
              <w:r>
                <w:rPr>
                  <w:noProof/>
                  <w:lang w:val="en-US"/>
                </w:rPr>
                <w:t>. Retrieved from https://www.comparably.com/brands/cibc</w:t>
              </w:r>
            </w:p>
            <w:p w14:paraId="4C98576A" w14:textId="77777777" w:rsidR="00AD2C7A" w:rsidRDefault="00AD2C7A" w:rsidP="00AD2C7A">
              <w:pPr>
                <w:pStyle w:val="Bibliography"/>
                <w:ind w:left="720" w:hanging="720"/>
                <w:rPr>
                  <w:noProof/>
                  <w:lang w:val="en-US"/>
                </w:rPr>
              </w:pPr>
              <w:r>
                <w:rPr>
                  <w:noProof/>
                  <w:lang w:val="en-US"/>
                </w:rPr>
                <w:t xml:space="preserve">Comparably. (n.d.). </w:t>
              </w:r>
              <w:r>
                <w:rPr>
                  <w:i/>
                  <w:iCs/>
                  <w:noProof/>
                  <w:lang w:val="en-US"/>
                </w:rPr>
                <w:t>Comparably</w:t>
              </w:r>
              <w:r>
                <w:rPr>
                  <w:noProof/>
                  <w:lang w:val="en-US"/>
                </w:rPr>
                <w:t>. Retrieved from comparably.com: https://www.comparably.com/brands/td-bank-group</w:t>
              </w:r>
            </w:p>
            <w:p w14:paraId="0B5E4EF5" w14:textId="77777777" w:rsidR="00AD2C7A" w:rsidRDefault="00AD2C7A" w:rsidP="00AD2C7A">
              <w:pPr>
                <w:pStyle w:val="Bibliography"/>
                <w:ind w:left="720" w:hanging="720"/>
                <w:rPr>
                  <w:noProof/>
                  <w:lang w:val="en-US"/>
                </w:rPr>
              </w:pPr>
              <w:r>
                <w:rPr>
                  <w:noProof/>
                  <w:lang w:val="en-US"/>
                </w:rPr>
                <w:t xml:space="preserve">Comparably. (n.d.). </w:t>
              </w:r>
              <w:r>
                <w:rPr>
                  <w:i/>
                  <w:iCs/>
                  <w:noProof/>
                  <w:lang w:val="en-US"/>
                </w:rPr>
                <w:t>Scotiabank</w:t>
              </w:r>
              <w:r>
                <w:rPr>
                  <w:noProof/>
                  <w:lang w:val="en-US"/>
                </w:rPr>
                <w:t>. Retrieved from comparably.com: https://www.comparably.com/brands/scotiabank</w:t>
              </w:r>
            </w:p>
            <w:p w14:paraId="3C07D17D" w14:textId="77777777" w:rsidR="00AD2C7A" w:rsidRDefault="00AD2C7A" w:rsidP="00AD2C7A">
              <w:pPr>
                <w:pStyle w:val="Bibliography"/>
                <w:ind w:left="720" w:hanging="720"/>
                <w:rPr>
                  <w:noProof/>
                  <w:lang w:val="en-US"/>
                </w:rPr>
              </w:pPr>
              <w:r>
                <w:rPr>
                  <w:noProof/>
                  <w:lang w:val="en-US"/>
                </w:rPr>
                <w:t xml:space="preserve">Macrotrends. (n.d.). </w:t>
              </w:r>
              <w:r>
                <w:rPr>
                  <w:i/>
                  <w:iCs/>
                  <w:noProof/>
                  <w:lang w:val="en-US"/>
                </w:rPr>
                <w:t>Macrotrends</w:t>
              </w:r>
              <w:r>
                <w:rPr>
                  <w:noProof/>
                  <w:lang w:val="en-US"/>
                </w:rPr>
                <w:t>. Retrieved from macrotrends.net: https://www.macrotrends.net/stocks/charts/TD/toronto-dominion-bank/</w:t>
              </w:r>
            </w:p>
            <w:p w14:paraId="12FC8300" w14:textId="77777777" w:rsidR="00AD2C7A" w:rsidRDefault="00AD2C7A" w:rsidP="00AD2C7A">
              <w:pPr>
                <w:pStyle w:val="Bibliography"/>
                <w:ind w:left="720" w:hanging="720"/>
                <w:rPr>
                  <w:noProof/>
                  <w:lang w:val="en-US"/>
                </w:rPr>
              </w:pPr>
              <w:r>
                <w:rPr>
                  <w:noProof/>
                  <w:lang w:val="en-US"/>
                </w:rPr>
                <w:t xml:space="preserve">ScotiaBank. (2011). </w:t>
              </w:r>
              <w:r>
                <w:rPr>
                  <w:i/>
                  <w:iCs/>
                  <w:noProof/>
                  <w:lang w:val="en-US"/>
                </w:rPr>
                <w:t>Balance Scorecard.</w:t>
              </w:r>
              <w:r>
                <w:rPr>
                  <w:noProof/>
                  <w:lang w:val="en-US"/>
                </w:rPr>
                <w:t xml:space="preserve"> Retrieved from https://www.scotiabank.com/ca/common/pdf/scotia_world/scotia_world_magazine_Q22011.pdf</w:t>
              </w:r>
            </w:p>
            <w:p w14:paraId="66C03407" w14:textId="77777777" w:rsidR="00AD2C7A" w:rsidRDefault="00AD2C7A" w:rsidP="00AD2C7A">
              <w:pPr>
                <w:pStyle w:val="Bibliography"/>
                <w:ind w:left="720" w:hanging="720"/>
                <w:rPr>
                  <w:noProof/>
                  <w:lang w:val="en-US"/>
                </w:rPr>
              </w:pPr>
              <w:r>
                <w:rPr>
                  <w:noProof/>
                  <w:lang w:val="en-US"/>
                </w:rPr>
                <w:t xml:space="preserve">ScotiaBank. (2021). </w:t>
              </w:r>
              <w:r>
                <w:rPr>
                  <w:i/>
                  <w:iCs/>
                  <w:noProof/>
                  <w:lang w:val="en-US"/>
                </w:rPr>
                <w:t>Annual Report 2021.</w:t>
              </w:r>
              <w:r>
                <w:rPr>
                  <w:noProof/>
                  <w:lang w:val="en-US"/>
                </w:rPr>
                <w:t xml:space="preserve"> Retrieved from https://www.scotiabank.com/content/dam/scotiabank/corporate/quarterly-reports/2021/q4/Annual_Report_2021_AODA_EN.pdf</w:t>
              </w:r>
            </w:p>
            <w:p w14:paraId="632DAE82" w14:textId="77777777" w:rsidR="00AD2C7A" w:rsidRDefault="00AD2C7A" w:rsidP="00AD2C7A">
              <w:pPr>
                <w:pStyle w:val="Bibliography"/>
                <w:ind w:left="720" w:hanging="720"/>
                <w:rPr>
                  <w:noProof/>
                  <w:lang w:val="en-US"/>
                </w:rPr>
              </w:pPr>
              <w:r>
                <w:rPr>
                  <w:noProof/>
                  <w:lang w:val="en-US"/>
                </w:rPr>
                <w:t xml:space="preserve">Scotiabank. (2022). </w:t>
              </w:r>
              <w:r>
                <w:rPr>
                  <w:i/>
                  <w:iCs/>
                  <w:noProof/>
                  <w:lang w:val="en-US"/>
                </w:rPr>
                <w:t>Annual Report 2022.</w:t>
              </w:r>
              <w:r>
                <w:rPr>
                  <w:noProof/>
                  <w:lang w:val="en-US"/>
                </w:rPr>
                <w:t xml:space="preserve"> Retrieved from https://www.scotiabank.com/content/dam/scotiabank/corporate/BNS_Annual_Report_2022_v1.pdf</w:t>
              </w:r>
            </w:p>
            <w:p w14:paraId="2DB151FC" w14:textId="77777777" w:rsidR="00AD2C7A" w:rsidRDefault="00AD2C7A" w:rsidP="00AD2C7A">
              <w:pPr>
                <w:pStyle w:val="Bibliography"/>
                <w:ind w:left="720" w:hanging="720"/>
                <w:rPr>
                  <w:noProof/>
                  <w:lang w:val="en-US"/>
                </w:rPr>
              </w:pPr>
              <w:r>
                <w:rPr>
                  <w:noProof/>
                  <w:lang w:val="en-US"/>
                </w:rPr>
                <w:t xml:space="preserve">Scotiabank. (Q3 2023). </w:t>
              </w:r>
              <w:r>
                <w:rPr>
                  <w:i/>
                  <w:iCs/>
                  <w:noProof/>
                  <w:lang w:val="en-US"/>
                </w:rPr>
                <w:t>Q3 2023 Investor Fact Sheet.</w:t>
              </w:r>
              <w:r>
                <w:rPr>
                  <w:noProof/>
                  <w:lang w:val="en-US"/>
                </w:rPr>
                <w:t xml:space="preserve"> Retrieved from https://www.scotiabank.com/content/dam/scotiabank/corporate/quarterly-reports/2023/q3/Q323_Scotiabank_Investor_Factsheet.pdf</w:t>
              </w:r>
            </w:p>
            <w:p w14:paraId="556A65D1" w14:textId="77777777" w:rsidR="00A153CB" w:rsidRDefault="00A153CB" w:rsidP="00A153CB">
              <w:pPr>
                <w:pStyle w:val="Bibliography"/>
                <w:ind w:left="720" w:hanging="720"/>
                <w:rPr>
                  <w:noProof/>
                  <w:lang w:val="en-US"/>
                </w:rPr>
              </w:pPr>
              <w:r w:rsidRPr="00A153CB">
                <w:rPr>
                  <w:noProof/>
                  <w:lang w:val="en-US"/>
                </w:rPr>
                <w:t xml:space="preserve">Scotiabank. (n.d.). Executive Management. </w:t>
              </w:r>
              <w:hyperlink r:id="rId16" w:history="1">
                <w:r w:rsidRPr="00A153CB">
                  <w:rPr>
                    <w:noProof/>
                    <w:lang w:val="en-US"/>
                  </w:rPr>
                  <w:t>https://www.scotiabank.com/ca/en/about/our-company/executive-management.html</w:t>
                </w:r>
              </w:hyperlink>
            </w:p>
            <w:p w14:paraId="37204437" w14:textId="77777777" w:rsidR="00482EA4" w:rsidRDefault="00482EA4" w:rsidP="00482EA4">
              <w:pPr>
                <w:spacing w:line="360" w:lineRule="auto"/>
                <w:rPr>
                  <w:rFonts w:cstheme="minorHAnsi"/>
                </w:rPr>
              </w:pPr>
              <w:r>
                <w:rPr>
                  <w:rFonts w:cstheme="minorHAnsi"/>
                </w:rPr>
                <w:t>Scotiabank. (n.d.).</w:t>
              </w:r>
              <w:r w:rsidRPr="002330EA">
                <w:t xml:space="preserve"> </w:t>
              </w:r>
              <w:r w:rsidRPr="002330EA">
                <w:rPr>
                  <w:rFonts w:cstheme="minorHAnsi"/>
                  <w:i/>
                  <w:iCs/>
                </w:rPr>
                <w:t>Scotiabank Timeline</w:t>
              </w:r>
              <w:r>
                <w:rPr>
                  <w:rFonts w:cstheme="minorHAnsi"/>
                </w:rPr>
                <w:t xml:space="preserve">. </w:t>
              </w:r>
              <w:hyperlink r:id="rId17" w:history="1">
                <w:r w:rsidRPr="004777C5">
                  <w:rPr>
                    <w:rStyle w:val="Hyperlink"/>
                    <w:rFonts w:cstheme="minorHAnsi"/>
                  </w:rPr>
                  <w:t>https://www.scotiabank.com/ca/en/about/historic-timeline.html</w:t>
                </w:r>
              </w:hyperlink>
            </w:p>
            <w:p w14:paraId="6AA37F21" w14:textId="77777777" w:rsidR="00482EA4" w:rsidRDefault="00482EA4" w:rsidP="00482EA4">
              <w:pPr>
                <w:spacing w:line="360" w:lineRule="auto"/>
                <w:rPr>
                  <w:rStyle w:val="Hyperlink"/>
                  <w:rFonts w:cstheme="minorHAnsi"/>
                </w:rPr>
              </w:pPr>
              <w:r>
                <w:rPr>
                  <w:rFonts w:cstheme="minorHAnsi"/>
                </w:rPr>
                <w:t>Scotiabank. (n.d.).</w:t>
              </w:r>
              <w:r w:rsidRPr="002330EA">
                <w:t xml:space="preserve"> </w:t>
              </w:r>
              <w:r w:rsidRPr="002D3EB9">
                <w:rPr>
                  <w:i/>
                  <w:iCs/>
                </w:rPr>
                <w:t>ScotiaRISE</w:t>
              </w:r>
              <w:r>
                <w:t xml:space="preserve">. </w:t>
              </w:r>
              <w:hyperlink r:id="rId18" w:history="1">
                <w:r w:rsidRPr="00C430DF">
                  <w:rPr>
                    <w:rStyle w:val="Hyperlink"/>
                    <w:rFonts w:cstheme="minorHAnsi"/>
                  </w:rPr>
                  <w:t>https://www.scotiabank.com/ca/en/about/responsibility-impact/scotiarise.html</w:t>
                </w:r>
              </w:hyperlink>
            </w:p>
            <w:p w14:paraId="2C3C1E72" w14:textId="77777777" w:rsidR="00080BCB" w:rsidRDefault="00080BCB" w:rsidP="00080BCB">
              <w:pPr>
                <w:spacing w:line="360" w:lineRule="auto"/>
                <w:rPr>
                  <w:rFonts w:cstheme="minorHAnsi"/>
                </w:rPr>
              </w:pPr>
              <w:r>
                <w:rPr>
                  <w:rFonts w:cstheme="minorHAnsi"/>
                </w:rPr>
                <w:lastRenderedPageBreak/>
                <w:t>Scotiabank. (n.d.).</w:t>
              </w:r>
              <w:r w:rsidRPr="002330EA">
                <w:t xml:space="preserve"> </w:t>
              </w:r>
              <w:r>
                <w:rPr>
                  <w:i/>
                  <w:iCs/>
                </w:rPr>
                <w:t>Scotiabank Women Initiative</w:t>
              </w:r>
              <w:r>
                <w:rPr>
                  <w:rFonts w:cstheme="minorHAnsi"/>
                </w:rPr>
                <w:t xml:space="preserve">. </w:t>
              </w:r>
              <w:hyperlink r:id="rId19" w:history="1">
                <w:r w:rsidRPr="00C430DF">
                  <w:rPr>
                    <w:rStyle w:val="Hyperlink"/>
                    <w:rFonts w:cstheme="minorHAnsi"/>
                  </w:rPr>
                  <w:t>https://www.scotiabank.com/women-initiative/ca/en.html</w:t>
                </w:r>
              </w:hyperlink>
            </w:p>
            <w:p w14:paraId="1968BD21" w14:textId="77777777" w:rsidR="00080BCB" w:rsidRDefault="00080BCB" w:rsidP="00080BCB">
              <w:pPr>
                <w:spacing w:line="360" w:lineRule="auto"/>
                <w:rPr>
                  <w:rFonts w:cstheme="minorHAnsi"/>
                </w:rPr>
              </w:pPr>
              <w:r>
                <w:rPr>
                  <w:rFonts w:cstheme="minorHAnsi"/>
                </w:rPr>
                <w:t xml:space="preserve">Scotiabank. (2022). </w:t>
              </w:r>
              <w:r w:rsidRPr="00726ED1">
                <w:rPr>
                  <w:rFonts w:cstheme="minorHAnsi"/>
                  <w:i/>
                  <w:iCs/>
                </w:rPr>
                <w:t>2022 ESG REPORT</w:t>
              </w:r>
              <w:r w:rsidRPr="00726ED1">
                <w:rPr>
                  <w:rFonts w:cstheme="minorHAnsi"/>
                </w:rPr>
                <w:t xml:space="preserve"> </w:t>
              </w:r>
              <w:hyperlink r:id="rId20" w:history="1">
                <w:r w:rsidRPr="00C430DF">
                  <w:rPr>
                    <w:rStyle w:val="Hyperlink"/>
                    <w:rFonts w:cstheme="minorHAnsi"/>
                  </w:rPr>
                  <w:t>https://www.scotiabank.com/content/dam/scotiabank/corporate/Documents/Scotiabank_2022_ESG_Report_Final.pdf</w:t>
                </w:r>
              </w:hyperlink>
            </w:p>
            <w:p w14:paraId="1F8F3ED6" w14:textId="458DAACD" w:rsidR="00A153CB" w:rsidRPr="00080BCB" w:rsidRDefault="00080BCB" w:rsidP="00080BCB">
              <w:pPr>
                <w:spacing w:line="360" w:lineRule="auto"/>
                <w:rPr>
                  <w:rFonts w:cstheme="minorHAnsi"/>
                  <w:color w:val="0563C1" w:themeColor="hyperlink"/>
                  <w:u w:val="single"/>
                </w:rPr>
              </w:pPr>
              <w:r>
                <w:rPr>
                  <w:rFonts w:cstheme="minorHAnsi"/>
                </w:rPr>
                <w:t>Scotiabank. (n.d.).</w:t>
              </w:r>
              <w:r w:rsidRPr="008A3237">
                <w:t xml:space="preserve"> </w:t>
              </w:r>
              <w:r w:rsidRPr="008A3237">
                <w:rPr>
                  <w:rFonts w:cstheme="minorHAnsi"/>
                  <w:i/>
                  <w:iCs/>
                </w:rPr>
                <w:t>Scott Thomson</w:t>
              </w:r>
              <w:r>
                <w:rPr>
                  <w:rFonts w:cstheme="minorHAnsi"/>
                </w:rPr>
                <w:t xml:space="preserve">. </w:t>
              </w:r>
              <w:hyperlink r:id="rId21" w:history="1">
                <w:r w:rsidRPr="00C430DF">
                  <w:rPr>
                    <w:rStyle w:val="Hyperlink"/>
                    <w:rFonts w:cstheme="minorHAnsi"/>
                  </w:rPr>
                  <w:t>https://www.scotiabank.com/ca/en/about/our-company/board-of-directors/l-scott-thomson.html</w:t>
                </w:r>
              </w:hyperlink>
            </w:p>
            <w:p w14:paraId="06A3090A" w14:textId="77777777" w:rsidR="00AD2C7A" w:rsidRDefault="00AD2C7A" w:rsidP="00AD2C7A">
              <w:pPr>
                <w:pStyle w:val="Bibliography"/>
                <w:ind w:left="720" w:hanging="720"/>
                <w:rPr>
                  <w:noProof/>
                  <w:lang w:val="en-US"/>
                </w:rPr>
              </w:pPr>
              <w:r>
                <w:rPr>
                  <w:noProof/>
                  <w:lang w:val="en-US"/>
                </w:rPr>
                <w:t xml:space="preserve">TD. (2022). </w:t>
              </w:r>
              <w:r w:rsidRPr="00A153CB">
                <w:rPr>
                  <w:noProof/>
                  <w:lang w:val="en-US"/>
                </w:rPr>
                <w:t>Annual Report 2022.</w:t>
              </w:r>
              <w:r>
                <w:rPr>
                  <w:noProof/>
                  <w:lang w:val="en-US"/>
                </w:rPr>
                <w:t xml:space="preserve"> Retrieved from chrome-extension://efaidnbmnnnibpcajpcglclefindmkaj/https://www.td.com/document/PDF/ar2022/ar2022-Complete-Report.pdf</w:t>
              </w:r>
            </w:p>
            <w:p w14:paraId="379E8BF7" w14:textId="77777777" w:rsidR="00AD2C7A" w:rsidRDefault="00AD2C7A" w:rsidP="00AD2C7A">
              <w:pPr>
                <w:pStyle w:val="Bibliography"/>
                <w:ind w:left="720" w:hanging="720"/>
                <w:rPr>
                  <w:noProof/>
                  <w:lang w:val="en-US"/>
                </w:rPr>
              </w:pPr>
              <w:r>
                <w:rPr>
                  <w:noProof/>
                  <w:lang w:val="en-US"/>
                </w:rPr>
                <w:t xml:space="preserve">TD Bank. (2022). </w:t>
              </w:r>
              <w:r w:rsidRPr="00A153CB">
                <w:rPr>
                  <w:noProof/>
                  <w:lang w:val="en-US"/>
                </w:rPr>
                <w:t>TD.</w:t>
              </w:r>
              <w:r>
                <w:rPr>
                  <w:noProof/>
                  <w:lang w:val="en-US"/>
                </w:rPr>
                <w:t xml:space="preserve"> Retrieved from https://www.td.com/document/PDF/ar2022/ar2022-Complete-Report.pdf</w:t>
              </w:r>
            </w:p>
            <w:p w14:paraId="1499F80B" w14:textId="22ECFAD9" w:rsidR="00F86D5B" w:rsidRPr="0081423B" w:rsidRDefault="0081423B" w:rsidP="0081423B">
              <w:pPr>
                <w:spacing w:line="360" w:lineRule="auto"/>
                <w:rPr>
                  <w:rFonts w:cstheme="minorHAnsi"/>
                </w:rPr>
              </w:pPr>
              <w:r w:rsidRPr="0081423B">
                <w:rPr>
                  <w:rFonts w:cstheme="minorHAnsi"/>
                </w:rPr>
                <w:t>PESTEL Analysis of Scotiabank. (n.d.). 247caseanalysis. https://www.247caseanalysis.com/essay/Scotiabank-13753-Pestel-Analysis</w:t>
              </w:r>
            </w:p>
            <w:p w14:paraId="74B6F558" w14:textId="5FD58687" w:rsidR="00763EE3" w:rsidRDefault="00763EE3" w:rsidP="00AD2C7A">
              <w:r>
                <w:rPr>
                  <w:b/>
                  <w:bCs/>
                  <w:noProof/>
                </w:rPr>
                <w:fldChar w:fldCharType="end"/>
              </w:r>
            </w:p>
          </w:sdtContent>
        </w:sdt>
      </w:sdtContent>
    </w:sdt>
    <w:p w14:paraId="1ADC5B2F" w14:textId="77777777" w:rsidR="00B15787" w:rsidRDefault="00B15787"/>
    <w:p w14:paraId="1806E0AC" w14:textId="7E1CAF09" w:rsidR="00763EE3" w:rsidRPr="00763EE3" w:rsidRDefault="00763EE3" w:rsidP="00763EE3">
      <w:pPr>
        <w:tabs>
          <w:tab w:val="left" w:pos="3730"/>
        </w:tabs>
      </w:pPr>
    </w:p>
    <w:sectPr w:rsidR="00763EE3" w:rsidRPr="00763EE3" w:rsidSect="006821B3">
      <w:headerReference w:type="default" r:id="rId22"/>
      <w:footerReference w:type="default" r:id="rId23"/>
      <w:footerReference w:type="first" r:id="rId2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EA66" w14:textId="77777777" w:rsidR="009B72F5" w:rsidRDefault="009B72F5" w:rsidP="00F70953">
      <w:pPr>
        <w:spacing w:after="0" w:line="240" w:lineRule="auto"/>
      </w:pPr>
      <w:r>
        <w:separator/>
      </w:r>
    </w:p>
  </w:endnote>
  <w:endnote w:type="continuationSeparator" w:id="0">
    <w:p w14:paraId="6743858C" w14:textId="77777777" w:rsidR="009B72F5" w:rsidRDefault="009B72F5" w:rsidP="00F7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086665"/>
      <w:docPartObj>
        <w:docPartGallery w:val="Page Numbers (Bottom of Page)"/>
        <w:docPartUnique/>
      </w:docPartObj>
    </w:sdtPr>
    <w:sdtEndPr>
      <w:rPr>
        <w:noProof/>
      </w:rPr>
    </w:sdtEndPr>
    <w:sdtContent>
      <w:p w14:paraId="56537FE3" w14:textId="548471B2" w:rsidR="00DF2787" w:rsidRDefault="00DF27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25EAD3" w14:textId="77777777" w:rsidR="006821B3" w:rsidRDefault="00682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304854"/>
      <w:docPartObj>
        <w:docPartGallery w:val="Page Numbers (Bottom of Page)"/>
        <w:docPartUnique/>
      </w:docPartObj>
    </w:sdtPr>
    <w:sdtEndPr>
      <w:rPr>
        <w:noProof/>
      </w:rPr>
    </w:sdtEndPr>
    <w:sdtContent>
      <w:p w14:paraId="041EA14B" w14:textId="3BFDA386" w:rsidR="004E6598" w:rsidRDefault="004E65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DDC160" w14:textId="77777777" w:rsidR="006821B3" w:rsidRDefault="00682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B19A5" w14:textId="77777777" w:rsidR="009B72F5" w:rsidRDefault="009B72F5" w:rsidP="00F70953">
      <w:pPr>
        <w:spacing w:after="0" w:line="240" w:lineRule="auto"/>
      </w:pPr>
      <w:r>
        <w:separator/>
      </w:r>
    </w:p>
  </w:footnote>
  <w:footnote w:type="continuationSeparator" w:id="0">
    <w:p w14:paraId="75800552" w14:textId="77777777" w:rsidR="009B72F5" w:rsidRDefault="009B72F5" w:rsidP="00F70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AED3" w14:textId="793B4D4E" w:rsidR="00F135A5" w:rsidRDefault="00E56830" w:rsidP="005F469E">
    <w:pPr>
      <w:pStyle w:val="Header"/>
      <w:pBdr>
        <w:bottom w:val="single" w:sz="12" w:space="1" w:color="auto"/>
      </w:pBdr>
    </w:pPr>
    <w:r>
      <w:rPr>
        <w:noProof/>
      </w:rPr>
      <w:drawing>
        <wp:inline distT="0" distB="0" distL="0" distR="0" wp14:anchorId="2D95CA62" wp14:editId="4C4474A2">
          <wp:extent cx="590550" cy="590550"/>
          <wp:effectExtent l="0" t="0" r="0" b="0"/>
          <wp:docPr id="464076260" name="Picture 7" descr="A logo with a hand pointing at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76260" name="Picture 7" descr="A logo with a hand pointing at a circuit boar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006C35A2">
      <w:tab/>
    </w:r>
    <w:r w:rsidR="006C35A2">
      <w:tab/>
      <w:t xml:space="preserve">      </w:t>
    </w:r>
  </w:p>
  <w:p w14:paraId="037EEC0D" w14:textId="7F045152" w:rsidR="00F70953" w:rsidRDefault="00F70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43D"/>
    <w:multiLevelType w:val="hybridMultilevel"/>
    <w:tmpl w:val="9F003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9E6D34"/>
    <w:multiLevelType w:val="hybridMultilevel"/>
    <w:tmpl w:val="7902B75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0E33D76"/>
    <w:multiLevelType w:val="hybridMultilevel"/>
    <w:tmpl w:val="41D29CF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AF1E6A"/>
    <w:multiLevelType w:val="hybridMultilevel"/>
    <w:tmpl w:val="EA28A7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8A54B31"/>
    <w:multiLevelType w:val="hybridMultilevel"/>
    <w:tmpl w:val="30BCFCD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9BA6736"/>
    <w:multiLevelType w:val="hybridMultilevel"/>
    <w:tmpl w:val="8FCAD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A162D9"/>
    <w:multiLevelType w:val="hybridMultilevel"/>
    <w:tmpl w:val="F198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0377FA"/>
    <w:multiLevelType w:val="hybridMultilevel"/>
    <w:tmpl w:val="F57EA4C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F4B8F"/>
    <w:multiLevelType w:val="hybridMultilevel"/>
    <w:tmpl w:val="9676BA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15227E33"/>
    <w:multiLevelType w:val="hybridMultilevel"/>
    <w:tmpl w:val="37B8E1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15813112"/>
    <w:multiLevelType w:val="hybridMultilevel"/>
    <w:tmpl w:val="7CBCB0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8CE4DAF"/>
    <w:multiLevelType w:val="hybridMultilevel"/>
    <w:tmpl w:val="CE94ACB4"/>
    <w:lvl w:ilvl="0" w:tplc="1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96027C2"/>
    <w:multiLevelType w:val="hybridMultilevel"/>
    <w:tmpl w:val="0D70E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585334"/>
    <w:multiLevelType w:val="hybridMultilevel"/>
    <w:tmpl w:val="75CC9EF4"/>
    <w:lvl w:ilvl="0" w:tplc="861EC6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D80316"/>
    <w:multiLevelType w:val="hybridMultilevel"/>
    <w:tmpl w:val="150AA29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B07AE"/>
    <w:multiLevelType w:val="hybridMultilevel"/>
    <w:tmpl w:val="7C265222"/>
    <w:lvl w:ilvl="0" w:tplc="861EC6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57492C"/>
    <w:multiLevelType w:val="hybridMultilevel"/>
    <w:tmpl w:val="5F0A9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604FA8"/>
    <w:multiLevelType w:val="hybridMultilevel"/>
    <w:tmpl w:val="F7564B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8" w15:restartNumberingAfterBreak="0">
    <w:nsid w:val="27855C60"/>
    <w:multiLevelType w:val="hybridMultilevel"/>
    <w:tmpl w:val="CDCA6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443F44"/>
    <w:multiLevelType w:val="hybridMultilevel"/>
    <w:tmpl w:val="8AA45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D4680A"/>
    <w:multiLevelType w:val="hybridMultilevel"/>
    <w:tmpl w:val="DE805D74"/>
    <w:lvl w:ilvl="0" w:tplc="FFFFFFFF">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C320154"/>
    <w:multiLevelType w:val="hybridMultilevel"/>
    <w:tmpl w:val="6FA0AB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E447AA4"/>
    <w:multiLevelType w:val="hybridMultilevel"/>
    <w:tmpl w:val="8E0E1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D61EB0"/>
    <w:multiLevelType w:val="hybridMultilevel"/>
    <w:tmpl w:val="D6FE8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02456"/>
    <w:multiLevelType w:val="hybridMultilevel"/>
    <w:tmpl w:val="E8EA0F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436235FD"/>
    <w:multiLevelType w:val="hybridMultilevel"/>
    <w:tmpl w:val="B7549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552E28"/>
    <w:multiLevelType w:val="hybridMultilevel"/>
    <w:tmpl w:val="00DC48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46060BA4"/>
    <w:multiLevelType w:val="hybridMultilevel"/>
    <w:tmpl w:val="493C0DE2"/>
    <w:lvl w:ilvl="0" w:tplc="861EC6B0">
      <w:numFmt w:val="bullet"/>
      <w:lvlText w:val="•"/>
      <w:lvlJc w:val="left"/>
      <w:pPr>
        <w:ind w:left="1518" w:hanging="360"/>
      </w:pPr>
      <w:rPr>
        <w:rFonts w:ascii="Calibri" w:eastAsiaTheme="minorHAnsi" w:hAnsi="Calibri" w:cs="Calibri"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28" w15:restartNumberingAfterBreak="0">
    <w:nsid w:val="4B426A3C"/>
    <w:multiLevelType w:val="hybridMultilevel"/>
    <w:tmpl w:val="2092D3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282152F"/>
    <w:multiLevelType w:val="hybridMultilevel"/>
    <w:tmpl w:val="C7CA1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D96B83"/>
    <w:multiLevelType w:val="hybridMultilevel"/>
    <w:tmpl w:val="9AF06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347BEC"/>
    <w:multiLevelType w:val="hybridMultilevel"/>
    <w:tmpl w:val="A13E4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68218A"/>
    <w:multiLevelType w:val="hybridMultilevel"/>
    <w:tmpl w:val="C0D09244"/>
    <w:lvl w:ilvl="0" w:tplc="1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0AC736C"/>
    <w:multiLevelType w:val="hybridMultilevel"/>
    <w:tmpl w:val="9FBEE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BC20C6"/>
    <w:multiLevelType w:val="hybridMultilevel"/>
    <w:tmpl w:val="D2C087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5" w15:restartNumberingAfterBreak="0">
    <w:nsid w:val="67CB2864"/>
    <w:multiLevelType w:val="hybridMultilevel"/>
    <w:tmpl w:val="94D079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6" w15:restartNumberingAfterBreak="0">
    <w:nsid w:val="67E343E2"/>
    <w:multiLevelType w:val="hybridMultilevel"/>
    <w:tmpl w:val="EC5C3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200DB0"/>
    <w:multiLevelType w:val="hybridMultilevel"/>
    <w:tmpl w:val="8CB200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0C72FC"/>
    <w:multiLevelType w:val="hybridMultilevel"/>
    <w:tmpl w:val="B0EA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B1D9C"/>
    <w:multiLevelType w:val="hybridMultilevel"/>
    <w:tmpl w:val="356A8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C11403"/>
    <w:multiLevelType w:val="hybridMultilevel"/>
    <w:tmpl w:val="3170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D4BCC"/>
    <w:multiLevelType w:val="hybridMultilevel"/>
    <w:tmpl w:val="16D0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255020"/>
    <w:multiLevelType w:val="hybridMultilevel"/>
    <w:tmpl w:val="2258F34E"/>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3201926">
    <w:abstractNumId w:val="36"/>
  </w:num>
  <w:num w:numId="2" w16cid:durableId="1622151104">
    <w:abstractNumId w:val="18"/>
  </w:num>
  <w:num w:numId="3" w16cid:durableId="1934240484">
    <w:abstractNumId w:val="16"/>
  </w:num>
  <w:num w:numId="4" w16cid:durableId="368342759">
    <w:abstractNumId w:val="22"/>
  </w:num>
  <w:num w:numId="5" w16cid:durableId="998381572">
    <w:abstractNumId w:val="12"/>
  </w:num>
  <w:num w:numId="6" w16cid:durableId="33235105">
    <w:abstractNumId w:val="39"/>
  </w:num>
  <w:num w:numId="7" w16cid:durableId="1827236864">
    <w:abstractNumId w:val="31"/>
  </w:num>
  <w:num w:numId="8" w16cid:durableId="2054503708">
    <w:abstractNumId w:val="25"/>
  </w:num>
  <w:num w:numId="9" w16cid:durableId="783354072">
    <w:abstractNumId w:val="5"/>
  </w:num>
  <w:num w:numId="10" w16cid:durableId="66390222">
    <w:abstractNumId w:val="6"/>
  </w:num>
  <w:num w:numId="11" w16cid:durableId="176700406">
    <w:abstractNumId w:val="29"/>
  </w:num>
  <w:num w:numId="12" w16cid:durableId="426849277">
    <w:abstractNumId w:val="41"/>
  </w:num>
  <w:num w:numId="13" w16cid:durableId="1054694924">
    <w:abstractNumId w:val="19"/>
  </w:num>
  <w:num w:numId="14" w16cid:durableId="1052653204">
    <w:abstractNumId w:val="23"/>
  </w:num>
  <w:num w:numId="15" w16cid:durableId="93985020">
    <w:abstractNumId w:val="15"/>
  </w:num>
  <w:num w:numId="16" w16cid:durableId="740831351">
    <w:abstractNumId w:val="40"/>
  </w:num>
  <w:num w:numId="17" w16cid:durableId="1943608791">
    <w:abstractNumId w:val="33"/>
  </w:num>
  <w:num w:numId="18" w16cid:durableId="1710060158">
    <w:abstractNumId w:val="27"/>
  </w:num>
  <w:num w:numId="19" w16cid:durableId="609434813">
    <w:abstractNumId w:val="30"/>
  </w:num>
  <w:num w:numId="20" w16cid:durableId="1749427269">
    <w:abstractNumId w:val="38"/>
  </w:num>
  <w:num w:numId="21" w16cid:durableId="632753259">
    <w:abstractNumId w:val="13"/>
  </w:num>
  <w:num w:numId="22" w16cid:durableId="1111362097">
    <w:abstractNumId w:val="10"/>
  </w:num>
  <w:num w:numId="23" w16cid:durableId="780993295">
    <w:abstractNumId w:val="3"/>
  </w:num>
  <w:num w:numId="24" w16cid:durableId="2087191943">
    <w:abstractNumId w:val="0"/>
  </w:num>
  <w:num w:numId="25" w16cid:durableId="1211451901">
    <w:abstractNumId w:val="7"/>
  </w:num>
  <w:num w:numId="26" w16cid:durableId="891041373">
    <w:abstractNumId w:val="14"/>
  </w:num>
  <w:num w:numId="27" w16cid:durableId="1832402612">
    <w:abstractNumId w:val="26"/>
  </w:num>
  <w:num w:numId="28" w16cid:durableId="39983568">
    <w:abstractNumId w:val="4"/>
  </w:num>
  <w:num w:numId="29" w16cid:durableId="219946949">
    <w:abstractNumId w:val="20"/>
  </w:num>
  <w:num w:numId="30" w16cid:durableId="83573199">
    <w:abstractNumId w:val="37"/>
  </w:num>
  <w:num w:numId="31" w16cid:durableId="2038381881">
    <w:abstractNumId w:val="1"/>
  </w:num>
  <w:num w:numId="32" w16cid:durableId="1032615146">
    <w:abstractNumId w:val="2"/>
  </w:num>
  <w:num w:numId="33" w16cid:durableId="1460880746">
    <w:abstractNumId w:val="21"/>
  </w:num>
  <w:num w:numId="34" w16cid:durableId="1866016148">
    <w:abstractNumId w:val="11"/>
  </w:num>
  <w:num w:numId="35" w16cid:durableId="1524128125">
    <w:abstractNumId w:val="32"/>
  </w:num>
  <w:num w:numId="36" w16cid:durableId="564802413">
    <w:abstractNumId w:val="34"/>
  </w:num>
  <w:num w:numId="37" w16cid:durableId="1774521006">
    <w:abstractNumId w:val="35"/>
  </w:num>
  <w:num w:numId="38" w16cid:durableId="951935316">
    <w:abstractNumId w:val="24"/>
  </w:num>
  <w:num w:numId="39" w16cid:durableId="1282344673">
    <w:abstractNumId w:val="8"/>
  </w:num>
  <w:num w:numId="40" w16cid:durableId="1482774166">
    <w:abstractNumId w:val="9"/>
  </w:num>
  <w:num w:numId="41" w16cid:durableId="666253270">
    <w:abstractNumId w:val="17"/>
  </w:num>
  <w:num w:numId="42" w16cid:durableId="923027925">
    <w:abstractNumId w:val="42"/>
  </w:num>
  <w:num w:numId="43" w16cid:durableId="18248155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A0sDAxNjA3sjA3tzRR0lEKTi0uzszPAykwrgUAB9m7biwAAAA="/>
  </w:docVars>
  <w:rsids>
    <w:rsidRoot w:val="00D111FD"/>
    <w:rsid w:val="000265DD"/>
    <w:rsid w:val="00044F80"/>
    <w:rsid w:val="00062B30"/>
    <w:rsid w:val="00080BCB"/>
    <w:rsid w:val="00081D7D"/>
    <w:rsid w:val="000A031D"/>
    <w:rsid w:val="000D4F72"/>
    <w:rsid w:val="00114F88"/>
    <w:rsid w:val="00121257"/>
    <w:rsid w:val="00135ED8"/>
    <w:rsid w:val="001841FD"/>
    <w:rsid w:val="00195211"/>
    <w:rsid w:val="001C4180"/>
    <w:rsid w:val="00204D61"/>
    <w:rsid w:val="0021491B"/>
    <w:rsid w:val="002237EE"/>
    <w:rsid w:val="0022500C"/>
    <w:rsid w:val="002316CD"/>
    <w:rsid w:val="002421D8"/>
    <w:rsid w:val="00250B70"/>
    <w:rsid w:val="00253246"/>
    <w:rsid w:val="00261951"/>
    <w:rsid w:val="002741A3"/>
    <w:rsid w:val="002F7EA9"/>
    <w:rsid w:val="0030686A"/>
    <w:rsid w:val="0030782C"/>
    <w:rsid w:val="003172DE"/>
    <w:rsid w:val="0032215F"/>
    <w:rsid w:val="00325CFF"/>
    <w:rsid w:val="0032656E"/>
    <w:rsid w:val="0032676C"/>
    <w:rsid w:val="003344A6"/>
    <w:rsid w:val="003847F3"/>
    <w:rsid w:val="00386B2D"/>
    <w:rsid w:val="0038762C"/>
    <w:rsid w:val="003A1F4A"/>
    <w:rsid w:val="003A5C15"/>
    <w:rsid w:val="003A7B87"/>
    <w:rsid w:val="003B309A"/>
    <w:rsid w:val="003B4AD3"/>
    <w:rsid w:val="003B4EAB"/>
    <w:rsid w:val="003E053D"/>
    <w:rsid w:val="003E325A"/>
    <w:rsid w:val="00406B90"/>
    <w:rsid w:val="004140FC"/>
    <w:rsid w:val="00424E12"/>
    <w:rsid w:val="00452BBA"/>
    <w:rsid w:val="004646AE"/>
    <w:rsid w:val="004701EE"/>
    <w:rsid w:val="004722CF"/>
    <w:rsid w:val="004730B6"/>
    <w:rsid w:val="00477228"/>
    <w:rsid w:val="00482EA4"/>
    <w:rsid w:val="00487417"/>
    <w:rsid w:val="00497A96"/>
    <w:rsid w:val="004E6598"/>
    <w:rsid w:val="004F336D"/>
    <w:rsid w:val="005335CF"/>
    <w:rsid w:val="005560D3"/>
    <w:rsid w:val="005636F9"/>
    <w:rsid w:val="005A6D37"/>
    <w:rsid w:val="005C1C35"/>
    <w:rsid w:val="005F1362"/>
    <w:rsid w:val="005F469E"/>
    <w:rsid w:val="00611936"/>
    <w:rsid w:val="006144D2"/>
    <w:rsid w:val="00615A52"/>
    <w:rsid w:val="00620E9D"/>
    <w:rsid w:val="006630C0"/>
    <w:rsid w:val="006821B3"/>
    <w:rsid w:val="00682FF5"/>
    <w:rsid w:val="00686CE7"/>
    <w:rsid w:val="006909DD"/>
    <w:rsid w:val="00697A95"/>
    <w:rsid w:val="006A75D3"/>
    <w:rsid w:val="006B14B7"/>
    <w:rsid w:val="006C35A2"/>
    <w:rsid w:val="006E74B6"/>
    <w:rsid w:val="006F5AEA"/>
    <w:rsid w:val="00712BFE"/>
    <w:rsid w:val="00763EE3"/>
    <w:rsid w:val="00765254"/>
    <w:rsid w:val="00796256"/>
    <w:rsid w:val="00797A8F"/>
    <w:rsid w:val="007B4F04"/>
    <w:rsid w:val="007C048B"/>
    <w:rsid w:val="007C4962"/>
    <w:rsid w:val="007D3C58"/>
    <w:rsid w:val="007F183D"/>
    <w:rsid w:val="00802018"/>
    <w:rsid w:val="0081423B"/>
    <w:rsid w:val="00830E71"/>
    <w:rsid w:val="0083185F"/>
    <w:rsid w:val="008537D6"/>
    <w:rsid w:val="008555A0"/>
    <w:rsid w:val="008824DD"/>
    <w:rsid w:val="00890C02"/>
    <w:rsid w:val="0089209C"/>
    <w:rsid w:val="008A73E5"/>
    <w:rsid w:val="008D3716"/>
    <w:rsid w:val="00904386"/>
    <w:rsid w:val="00942359"/>
    <w:rsid w:val="00943913"/>
    <w:rsid w:val="0094756A"/>
    <w:rsid w:val="00955F23"/>
    <w:rsid w:val="00974E04"/>
    <w:rsid w:val="009B3CD0"/>
    <w:rsid w:val="009B683A"/>
    <w:rsid w:val="009B72F5"/>
    <w:rsid w:val="009C710D"/>
    <w:rsid w:val="009D18A7"/>
    <w:rsid w:val="009D3EA8"/>
    <w:rsid w:val="009E100A"/>
    <w:rsid w:val="009F58AF"/>
    <w:rsid w:val="00A153CB"/>
    <w:rsid w:val="00A2327F"/>
    <w:rsid w:val="00A31535"/>
    <w:rsid w:val="00A4787B"/>
    <w:rsid w:val="00A60B17"/>
    <w:rsid w:val="00A76C37"/>
    <w:rsid w:val="00A8791D"/>
    <w:rsid w:val="00A97826"/>
    <w:rsid w:val="00AA3A5E"/>
    <w:rsid w:val="00AA4A8B"/>
    <w:rsid w:val="00AB7AD0"/>
    <w:rsid w:val="00AD0638"/>
    <w:rsid w:val="00AD2C7A"/>
    <w:rsid w:val="00AF724A"/>
    <w:rsid w:val="00B06414"/>
    <w:rsid w:val="00B15787"/>
    <w:rsid w:val="00B27A67"/>
    <w:rsid w:val="00B3104B"/>
    <w:rsid w:val="00B51641"/>
    <w:rsid w:val="00B84336"/>
    <w:rsid w:val="00B90C52"/>
    <w:rsid w:val="00BB7B0C"/>
    <w:rsid w:val="00BC05F5"/>
    <w:rsid w:val="00BD05C1"/>
    <w:rsid w:val="00BE3CB5"/>
    <w:rsid w:val="00C07C65"/>
    <w:rsid w:val="00C23EF0"/>
    <w:rsid w:val="00C26A54"/>
    <w:rsid w:val="00C31E5D"/>
    <w:rsid w:val="00C7087D"/>
    <w:rsid w:val="00C73547"/>
    <w:rsid w:val="00C84911"/>
    <w:rsid w:val="00C90A75"/>
    <w:rsid w:val="00CB0DE3"/>
    <w:rsid w:val="00CD54E8"/>
    <w:rsid w:val="00CF27C6"/>
    <w:rsid w:val="00CF52DD"/>
    <w:rsid w:val="00CF5BDF"/>
    <w:rsid w:val="00D111FD"/>
    <w:rsid w:val="00D14043"/>
    <w:rsid w:val="00D273FD"/>
    <w:rsid w:val="00D44CBC"/>
    <w:rsid w:val="00D632D2"/>
    <w:rsid w:val="00D7316F"/>
    <w:rsid w:val="00D733D6"/>
    <w:rsid w:val="00D74235"/>
    <w:rsid w:val="00D82D2A"/>
    <w:rsid w:val="00D94C38"/>
    <w:rsid w:val="00DA2371"/>
    <w:rsid w:val="00DA75F8"/>
    <w:rsid w:val="00DC5B20"/>
    <w:rsid w:val="00DD3805"/>
    <w:rsid w:val="00DD4DF4"/>
    <w:rsid w:val="00DD7AA5"/>
    <w:rsid w:val="00DF2787"/>
    <w:rsid w:val="00DF7DCC"/>
    <w:rsid w:val="00E03F2E"/>
    <w:rsid w:val="00E14F63"/>
    <w:rsid w:val="00E350BB"/>
    <w:rsid w:val="00E37456"/>
    <w:rsid w:val="00E42B27"/>
    <w:rsid w:val="00E474B5"/>
    <w:rsid w:val="00E56830"/>
    <w:rsid w:val="00E62B38"/>
    <w:rsid w:val="00E64E14"/>
    <w:rsid w:val="00E936D5"/>
    <w:rsid w:val="00E95A48"/>
    <w:rsid w:val="00EB2FA5"/>
    <w:rsid w:val="00EC0DC1"/>
    <w:rsid w:val="00ED0794"/>
    <w:rsid w:val="00ED2094"/>
    <w:rsid w:val="00EF1D65"/>
    <w:rsid w:val="00F11972"/>
    <w:rsid w:val="00F135A5"/>
    <w:rsid w:val="00F14B98"/>
    <w:rsid w:val="00F53AB7"/>
    <w:rsid w:val="00F6368D"/>
    <w:rsid w:val="00F659D3"/>
    <w:rsid w:val="00F70953"/>
    <w:rsid w:val="00F803A8"/>
    <w:rsid w:val="00F86D5B"/>
    <w:rsid w:val="00FA77FB"/>
    <w:rsid w:val="00FB3033"/>
    <w:rsid w:val="00FE065B"/>
    <w:rsid w:val="00FE2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9DEBC"/>
  <w15:chartTrackingRefBased/>
  <w15:docId w15:val="{C36BB855-6591-48E2-897B-1C9CD782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1FD"/>
  </w:style>
  <w:style w:type="paragraph" w:styleId="Heading1">
    <w:name w:val="heading 1"/>
    <w:basedOn w:val="Normal"/>
    <w:next w:val="Normal"/>
    <w:link w:val="Heading1Char"/>
    <w:uiPriority w:val="9"/>
    <w:qFormat/>
    <w:rsid w:val="00DD7AA5"/>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2">
    <w:name w:val="heading 2"/>
    <w:basedOn w:val="Normal"/>
    <w:next w:val="Normal"/>
    <w:link w:val="Heading2Char"/>
    <w:uiPriority w:val="9"/>
    <w:unhideWhenUsed/>
    <w:qFormat/>
    <w:rsid w:val="000D4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3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953"/>
  </w:style>
  <w:style w:type="paragraph" w:styleId="Footer">
    <w:name w:val="footer"/>
    <w:basedOn w:val="Normal"/>
    <w:link w:val="FooterChar"/>
    <w:uiPriority w:val="99"/>
    <w:unhideWhenUsed/>
    <w:rsid w:val="00F70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953"/>
  </w:style>
  <w:style w:type="table" w:styleId="TableGrid">
    <w:name w:val="Table Grid"/>
    <w:basedOn w:val="TableNormal"/>
    <w:uiPriority w:val="39"/>
    <w:rsid w:val="00AA3A5E"/>
    <w:pPr>
      <w:spacing w:after="0" w:line="240" w:lineRule="auto"/>
    </w:pPr>
    <w:rPr>
      <w:kern w:val="2"/>
      <w:lang w:val="en-C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Normal"/>
    <w:next w:val="Normal"/>
    <w:rsid w:val="00204D61"/>
    <w:pPr>
      <w:pBdr>
        <w:bottom w:val="single" w:sz="6" w:space="0" w:color="auto"/>
      </w:pBdr>
      <w:spacing w:before="130" w:after="0" w:line="200" w:lineRule="exact"/>
    </w:pPr>
    <w:rPr>
      <w:rFonts w:ascii="New York" w:eastAsia="Times New Roman" w:hAnsi="New York" w:cs="Times New Roman"/>
      <w:sz w:val="16"/>
      <w:szCs w:val="20"/>
      <w:lang w:val="en-US"/>
    </w:rPr>
  </w:style>
  <w:style w:type="paragraph" w:styleId="ListParagraph">
    <w:name w:val="List Paragraph"/>
    <w:basedOn w:val="Normal"/>
    <w:uiPriority w:val="34"/>
    <w:qFormat/>
    <w:rsid w:val="00BD05C1"/>
    <w:pPr>
      <w:ind w:left="720"/>
      <w:contextualSpacing/>
    </w:pPr>
  </w:style>
  <w:style w:type="character" w:customStyle="1" w:styleId="Heading1Char">
    <w:name w:val="Heading 1 Char"/>
    <w:basedOn w:val="DefaultParagraphFont"/>
    <w:link w:val="Heading1"/>
    <w:uiPriority w:val="9"/>
    <w:rsid w:val="00DD7AA5"/>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Bibliography">
    <w:name w:val="Bibliography"/>
    <w:basedOn w:val="Normal"/>
    <w:next w:val="Normal"/>
    <w:uiPriority w:val="37"/>
    <w:unhideWhenUsed/>
    <w:rsid w:val="00B15787"/>
  </w:style>
  <w:style w:type="paragraph" w:styleId="TOCHeading">
    <w:name w:val="TOC Heading"/>
    <w:basedOn w:val="Heading1"/>
    <w:next w:val="Normal"/>
    <w:uiPriority w:val="39"/>
    <w:unhideWhenUsed/>
    <w:qFormat/>
    <w:rsid w:val="004730B6"/>
    <w:pPr>
      <w:outlineLvl w:val="9"/>
    </w:pPr>
    <w:rPr>
      <w:kern w:val="0"/>
      <w14:ligatures w14:val="none"/>
    </w:rPr>
  </w:style>
  <w:style w:type="paragraph" w:styleId="TOC1">
    <w:name w:val="toc 1"/>
    <w:basedOn w:val="Normal"/>
    <w:next w:val="Normal"/>
    <w:autoRedefine/>
    <w:uiPriority w:val="39"/>
    <w:unhideWhenUsed/>
    <w:rsid w:val="00E350BB"/>
    <w:pPr>
      <w:tabs>
        <w:tab w:val="right" w:leader="dot" w:pos="10456"/>
      </w:tabs>
      <w:spacing w:after="100"/>
    </w:pPr>
    <w:rPr>
      <w:b/>
      <w:bCs/>
      <w:noProof/>
    </w:rPr>
  </w:style>
  <w:style w:type="character" w:styleId="Hyperlink">
    <w:name w:val="Hyperlink"/>
    <w:basedOn w:val="DefaultParagraphFont"/>
    <w:uiPriority w:val="99"/>
    <w:unhideWhenUsed/>
    <w:rsid w:val="004730B6"/>
    <w:rPr>
      <w:color w:val="0563C1" w:themeColor="hyperlink"/>
      <w:u w:val="single"/>
    </w:rPr>
  </w:style>
  <w:style w:type="character" w:customStyle="1" w:styleId="Heading2Char">
    <w:name w:val="Heading 2 Char"/>
    <w:basedOn w:val="DefaultParagraphFont"/>
    <w:link w:val="Heading2"/>
    <w:uiPriority w:val="9"/>
    <w:rsid w:val="000D4F72"/>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0D4F72"/>
    <w:rPr>
      <w:i/>
      <w:iCs/>
      <w:color w:val="4472C4" w:themeColor="accent1"/>
    </w:rPr>
  </w:style>
  <w:style w:type="paragraph" w:styleId="IntenseQuote">
    <w:name w:val="Intense Quote"/>
    <w:basedOn w:val="Normal"/>
    <w:next w:val="Normal"/>
    <w:link w:val="IntenseQuoteChar"/>
    <w:uiPriority w:val="30"/>
    <w:qFormat/>
    <w:rsid w:val="000D4F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4F72"/>
    <w:rPr>
      <w:i/>
      <w:iCs/>
      <w:color w:val="4472C4" w:themeColor="accent1"/>
    </w:rPr>
  </w:style>
  <w:style w:type="paragraph" w:styleId="TOC2">
    <w:name w:val="toc 2"/>
    <w:basedOn w:val="Normal"/>
    <w:next w:val="Normal"/>
    <w:autoRedefine/>
    <w:uiPriority w:val="39"/>
    <w:unhideWhenUsed/>
    <w:rsid w:val="00C90A75"/>
    <w:pPr>
      <w:tabs>
        <w:tab w:val="right" w:leader="dot" w:pos="10456"/>
      </w:tabs>
      <w:spacing w:after="100"/>
    </w:pPr>
  </w:style>
  <w:style w:type="table" w:styleId="GridTable4-Accent1">
    <w:name w:val="Grid Table 4 Accent 1"/>
    <w:basedOn w:val="TableNormal"/>
    <w:uiPriority w:val="49"/>
    <w:rsid w:val="00D731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731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2FF5"/>
    <w:pPr>
      <w:spacing w:after="100"/>
      <w:ind w:left="440"/>
    </w:pPr>
  </w:style>
  <w:style w:type="table" w:styleId="GridTable4-Accent5">
    <w:name w:val="Grid Table 4 Accent 5"/>
    <w:basedOn w:val="TableNormal"/>
    <w:uiPriority w:val="49"/>
    <w:rsid w:val="00E14F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E14F6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2-Accent5">
    <w:name w:val="Grid Table 2 Accent 5"/>
    <w:basedOn w:val="TableNormal"/>
    <w:uiPriority w:val="47"/>
    <w:rsid w:val="009D18A7"/>
    <w:pPr>
      <w:spacing w:after="0" w:line="240" w:lineRule="auto"/>
    </w:pPr>
    <w:rPr>
      <w:lang w:val="en-GB"/>
    </w:r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337">
      <w:bodyDiv w:val="1"/>
      <w:marLeft w:val="0"/>
      <w:marRight w:val="0"/>
      <w:marTop w:val="0"/>
      <w:marBottom w:val="0"/>
      <w:divBdr>
        <w:top w:val="none" w:sz="0" w:space="0" w:color="auto"/>
        <w:left w:val="none" w:sz="0" w:space="0" w:color="auto"/>
        <w:bottom w:val="none" w:sz="0" w:space="0" w:color="auto"/>
        <w:right w:val="none" w:sz="0" w:space="0" w:color="auto"/>
      </w:divBdr>
    </w:div>
    <w:div w:id="9184124">
      <w:bodyDiv w:val="1"/>
      <w:marLeft w:val="0"/>
      <w:marRight w:val="0"/>
      <w:marTop w:val="0"/>
      <w:marBottom w:val="0"/>
      <w:divBdr>
        <w:top w:val="none" w:sz="0" w:space="0" w:color="auto"/>
        <w:left w:val="none" w:sz="0" w:space="0" w:color="auto"/>
        <w:bottom w:val="none" w:sz="0" w:space="0" w:color="auto"/>
        <w:right w:val="none" w:sz="0" w:space="0" w:color="auto"/>
      </w:divBdr>
    </w:div>
    <w:div w:id="27226705">
      <w:bodyDiv w:val="1"/>
      <w:marLeft w:val="0"/>
      <w:marRight w:val="0"/>
      <w:marTop w:val="0"/>
      <w:marBottom w:val="0"/>
      <w:divBdr>
        <w:top w:val="none" w:sz="0" w:space="0" w:color="auto"/>
        <w:left w:val="none" w:sz="0" w:space="0" w:color="auto"/>
        <w:bottom w:val="none" w:sz="0" w:space="0" w:color="auto"/>
        <w:right w:val="none" w:sz="0" w:space="0" w:color="auto"/>
      </w:divBdr>
    </w:div>
    <w:div w:id="44455219">
      <w:bodyDiv w:val="1"/>
      <w:marLeft w:val="0"/>
      <w:marRight w:val="0"/>
      <w:marTop w:val="0"/>
      <w:marBottom w:val="0"/>
      <w:divBdr>
        <w:top w:val="none" w:sz="0" w:space="0" w:color="auto"/>
        <w:left w:val="none" w:sz="0" w:space="0" w:color="auto"/>
        <w:bottom w:val="none" w:sz="0" w:space="0" w:color="auto"/>
        <w:right w:val="none" w:sz="0" w:space="0" w:color="auto"/>
      </w:divBdr>
    </w:div>
    <w:div w:id="69667902">
      <w:bodyDiv w:val="1"/>
      <w:marLeft w:val="0"/>
      <w:marRight w:val="0"/>
      <w:marTop w:val="0"/>
      <w:marBottom w:val="0"/>
      <w:divBdr>
        <w:top w:val="none" w:sz="0" w:space="0" w:color="auto"/>
        <w:left w:val="none" w:sz="0" w:space="0" w:color="auto"/>
        <w:bottom w:val="none" w:sz="0" w:space="0" w:color="auto"/>
        <w:right w:val="none" w:sz="0" w:space="0" w:color="auto"/>
      </w:divBdr>
    </w:div>
    <w:div w:id="77136408">
      <w:bodyDiv w:val="1"/>
      <w:marLeft w:val="0"/>
      <w:marRight w:val="0"/>
      <w:marTop w:val="0"/>
      <w:marBottom w:val="0"/>
      <w:divBdr>
        <w:top w:val="none" w:sz="0" w:space="0" w:color="auto"/>
        <w:left w:val="none" w:sz="0" w:space="0" w:color="auto"/>
        <w:bottom w:val="none" w:sz="0" w:space="0" w:color="auto"/>
        <w:right w:val="none" w:sz="0" w:space="0" w:color="auto"/>
      </w:divBdr>
    </w:div>
    <w:div w:id="93281768">
      <w:bodyDiv w:val="1"/>
      <w:marLeft w:val="0"/>
      <w:marRight w:val="0"/>
      <w:marTop w:val="0"/>
      <w:marBottom w:val="0"/>
      <w:divBdr>
        <w:top w:val="none" w:sz="0" w:space="0" w:color="auto"/>
        <w:left w:val="none" w:sz="0" w:space="0" w:color="auto"/>
        <w:bottom w:val="none" w:sz="0" w:space="0" w:color="auto"/>
        <w:right w:val="none" w:sz="0" w:space="0" w:color="auto"/>
      </w:divBdr>
    </w:div>
    <w:div w:id="182549138">
      <w:bodyDiv w:val="1"/>
      <w:marLeft w:val="0"/>
      <w:marRight w:val="0"/>
      <w:marTop w:val="0"/>
      <w:marBottom w:val="0"/>
      <w:divBdr>
        <w:top w:val="none" w:sz="0" w:space="0" w:color="auto"/>
        <w:left w:val="none" w:sz="0" w:space="0" w:color="auto"/>
        <w:bottom w:val="none" w:sz="0" w:space="0" w:color="auto"/>
        <w:right w:val="none" w:sz="0" w:space="0" w:color="auto"/>
      </w:divBdr>
    </w:div>
    <w:div w:id="202013606">
      <w:bodyDiv w:val="1"/>
      <w:marLeft w:val="0"/>
      <w:marRight w:val="0"/>
      <w:marTop w:val="0"/>
      <w:marBottom w:val="0"/>
      <w:divBdr>
        <w:top w:val="none" w:sz="0" w:space="0" w:color="auto"/>
        <w:left w:val="none" w:sz="0" w:space="0" w:color="auto"/>
        <w:bottom w:val="none" w:sz="0" w:space="0" w:color="auto"/>
        <w:right w:val="none" w:sz="0" w:space="0" w:color="auto"/>
      </w:divBdr>
    </w:div>
    <w:div w:id="218172814">
      <w:bodyDiv w:val="1"/>
      <w:marLeft w:val="0"/>
      <w:marRight w:val="0"/>
      <w:marTop w:val="0"/>
      <w:marBottom w:val="0"/>
      <w:divBdr>
        <w:top w:val="none" w:sz="0" w:space="0" w:color="auto"/>
        <w:left w:val="none" w:sz="0" w:space="0" w:color="auto"/>
        <w:bottom w:val="none" w:sz="0" w:space="0" w:color="auto"/>
        <w:right w:val="none" w:sz="0" w:space="0" w:color="auto"/>
      </w:divBdr>
    </w:div>
    <w:div w:id="220747616">
      <w:bodyDiv w:val="1"/>
      <w:marLeft w:val="0"/>
      <w:marRight w:val="0"/>
      <w:marTop w:val="0"/>
      <w:marBottom w:val="0"/>
      <w:divBdr>
        <w:top w:val="none" w:sz="0" w:space="0" w:color="auto"/>
        <w:left w:val="none" w:sz="0" w:space="0" w:color="auto"/>
        <w:bottom w:val="none" w:sz="0" w:space="0" w:color="auto"/>
        <w:right w:val="none" w:sz="0" w:space="0" w:color="auto"/>
      </w:divBdr>
    </w:div>
    <w:div w:id="253363864">
      <w:bodyDiv w:val="1"/>
      <w:marLeft w:val="0"/>
      <w:marRight w:val="0"/>
      <w:marTop w:val="0"/>
      <w:marBottom w:val="0"/>
      <w:divBdr>
        <w:top w:val="none" w:sz="0" w:space="0" w:color="auto"/>
        <w:left w:val="none" w:sz="0" w:space="0" w:color="auto"/>
        <w:bottom w:val="none" w:sz="0" w:space="0" w:color="auto"/>
        <w:right w:val="none" w:sz="0" w:space="0" w:color="auto"/>
      </w:divBdr>
    </w:div>
    <w:div w:id="288634997">
      <w:bodyDiv w:val="1"/>
      <w:marLeft w:val="0"/>
      <w:marRight w:val="0"/>
      <w:marTop w:val="0"/>
      <w:marBottom w:val="0"/>
      <w:divBdr>
        <w:top w:val="none" w:sz="0" w:space="0" w:color="auto"/>
        <w:left w:val="none" w:sz="0" w:space="0" w:color="auto"/>
        <w:bottom w:val="none" w:sz="0" w:space="0" w:color="auto"/>
        <w:right w:val="none" w:sz="0" w:space="0" w:color="auto"/>
      </w:divBdr>
    </w:div>
    <w:div w:id="341710783">
      <w:bodyDiv w:val="1"/>
      <w:marLeft w:val="0"/>
      <w:marRight w:val="0"/>
      <w:marTop w:val="0"/>
      <w:marBottom w:val="0"/>
      <w:divBdr>
        <w:top w:val="none" w:sz="0" w:space="0" w:color="auto"/>
        <w:left w:val="none" w:sz="0" w:space="0" w:color="auto"/>
        <w:bottom w:val="none" w:sz="0" w:space="0" w:color="auto"/>
        <w:right w:val="none" w:sz="0" w:space="0" w:color="auto"/>
      </w:divBdr>
    </w:div>
    <w:div w:id="341902340">
      <w:bodyDiv w:val="1"/>
      <w:marLeft w:val="0"/>
      <w:marRight w:val="0"/>
      <w:marTop w:val="0"/>
      <w:marBottom w:val="0"/>
      <w:divBdr>
        <w:top w:val="none" w:sz="0" w:space="0" w:color="auto"/>
        <w:left w:val="none" w:sz="0" w:space="0" w:color="auto"/>
        <w:bottom w:val="none" w:sz="0" w:space="0" w:color="auto"/>
        <w:right w:val="none" w:sz="0" w:space="0" w:color="auto"/>
      </w:divBdr>
    </w:div>
    <w:div w:id="362049994">
      <w:bodyDiv w:val="1"/>
      <w:marLeft w:val="0"/>
      <w:marRight w:val="0"/>
      <w:marTop w:val="0"/>
      <w:marBottom w:val="0"/>
      <w:divBdr>
        <w:top w:val="none" w:sz="0" w:space="0" w:color="auto"/>
        <w:left w:val="none" w:sz="0" w:space="0" w:color="auto"/>
        <w:bottom w:val="none" w:sz="0" w:space="0" w:color="auto"/>
        <w:right w:val="none" w:sz="0" w:space="0" w:color="auto"/>
      </w:divBdr>
    </w:div>
    <w:div w:id="366175368">
      <w:bodyDiv w:val="1"/>
      <w:marLeft w:val="0"/>
      <w:marRight w:val="0"/>
      <w:marTop w:val="0"/>
      <w:marBottom w:val="0"/>
      <w:divBdr>
        <w:top w:val="none" w:sz="0" w:space="0" w:color="auto"/>
        <w:left w:val="none" w:sz="0" w:space="0" w:color="auto"/>
        <w:bottom w:val="none" w:sz="0" w:space="0" w:color="auto"/>
        <w:right w:val="none" w:sz="0" w:space="0" w:color="auto"/>
      </w:divBdr>
    </w:div>
    <w:div w:id="383987615">
      <w:bodyDiv w:val="1"/>
      <w:marLeft w:val="0"/>
      <w:marRight w:val="0"/>
      <w:marTop w:val="0"/>
      <w:marBottom w:val="0"/>
      <w:divBdr>
        <w:top w:val="none" w:sz="0" w:space="0" w:color="auto"/>
        <w:left w:val="none" w:sz="0" w:space="0" w:color="auto"/>
        <w:bottom w:val="none" w:sz="0" w:space="0" w:color="auto"/>
        <w:right w:val="none" w:sz="0" w:space="0" w:color="auto"/>
      </w:divBdr>
    </w:div>
    <w:div w:id="392898232">
      <w:bodyDiv w:val="1"/>
      <w:marLeft w:val="0"/>
      <w:marRight w:val="0"/>
      <w:marTop w:val="0"/>
      <w:marBottom w:val="0"/>
      <w:divBdr>
        <w:top w:val="none" w:sz="0" w:space="0" w:color="auto"/>
        <w:left w:val="none" w:sz="0" w:space="0" w:color="auto"/>
        <w:bottom w:val="none" w:sz="0" w:space="0" w:color="auto"/>
        <w:right w:val="none" w:sz="0" w:space="0" w:color="auto"/>
      </w:divBdr>
    </w:div>
    <w:div w:id="404572715">
      <w:bodyDiv w:val="1"/>
      <w:marLeft w:val="0"/>
      <w:marRight w:val="0"/>
      <w:marTop w:val="0"/>
      <w:marBottom w:val="0"/>
      <w:divBdr>
        <w:top w:val="none" w:sz="0" w:space="0" w:color="auto"/>
        <w:left w:val="none" w:sz="0" w:space="0" w:color="auto"/>
        <w:bottom w:val="none" w:sz="0" w:space="0" w:color="auto"/>
        <w:right w:val="none" w:sz="0" w:space="0" w:color="auto"/>
      </w:divBdr>
    </w:div>
    <w:div w:id="413473723">
      <w:bodyDiv w:val="1"/>
      <w:marLeft w:val="0"/>
      <w:marRight w:val="0"/>
      <w:marTop w:val="0"/>
      <w:marBottom w:val="0"/>
      <w:divBdr>
        <w:top w:val="none" w:sz="0" w:space="0" w:color="auto"/>
        <w:left w:val="none" w:sz="0" w:space="0" w:color="auto"/>
        <w:bottom w:val="none" w:sz="0" w:space="0" w:color="auto"/>
        <w:right w:val="none" w:sz="0" w:space="0" w:color="auto"/>
      </w:divBdr>
    </w:div>
    <w:div w:id="417559025">
      <w:bodyDiv w:val="1"/>
      <w:marLeft w:val="0"/>
      <w:marRight w:val="0"/>
      <w:marTop w:val="0"/>
      <w:marBottom w:val="0"/>
      <w:divBdr>
        <w:top w:val="none" w:sz="0" w:space="0" w:color="auto"/>
        <w:left w:val="none" w:sz="0" w:space="0" w:color="auto"/>
        <w:bottom w:val="none" w:sz="0" w:space="0" w:color="auto"/>
        <w:right w:val="none" w:sz="0" w:space="0" w:color="auto"/>
      </w:divBdr>
    </w:div>
    <w:div w:id="417750446">
      <w:bodyDiv w:val="1"/>
      <w:marLeft w:val="0"/>
      <w:marRight w:val="0"/>
      <w:marTop w:val="0"/>
      <w:marBottom w:val="0"/>
      <w:divBdr>
        <w:top w:val="none" w:sz="0" w:space="0" w:color="auto"/>
        <w:left w:val="none" w:sz="0" w:space="0" w:color="auto"/>
        <w:bottom w:val="none" w:sz="0" w:space="0" w:color="auto"/>
        <w:right w:val="none" w:sz="0" w:space="0" w:color="auto"/>
      </w:divBdr>
    </w:div>
    <w:div w:id="424615285">
      <w:bodyDiv w:val="1"/>
      <w:marLeft w:val="0"/>
      <w:marRight w:val="0"/>
      <w:marTop w:val="0"/>
      <w:marBottom w:val="0"/>
      <w:divBdr>
        <w:top w:val="none" w:sz="0" w:space="0" w:color="auto"/>
        <w:left w:val="none" w:sz="0" w:space="0" w:color="auto"/>
        <w:bottom w:val="none" w:sz="0" w:space="0" w:color="auto"/>
        <w:right w:val="none" w:sz="0" w:space="0" w:color="auto"/>
      </w:divBdr>
    </w:div>
    <w:div w:id="453250040">
      <w:bodyDiv w:val="1"/>
      <w:marLeft w:val="0"/>
      <w:marRight w:val="0"/>
      <w:marTop w:val="0"/>
      <w:marBottom w:val="0"/>
      <w:divBdr>
        <w:top w:val="none" w:sz="0" w:space="0" w:color="auto"/>
        <w:left w:val="none" w:sz="0" w:space="0" w:color="auto"/>
        <w:bottom w:val="none" w:sz="0" w:space="0" w:color="auto"/>
        <w:right w:val="none" w:sz="0" w:space="0" w:color="auto"/>
      </w:divBdr>
    </w:div>
    <w:div w:id="456339431">
      <w:bodyDiv w:val="1"/>
      <w:marLeft w:val="0"/>
      <w:marRight w:val="0"/>
      <w:marTop w:val="0"/>
      <w:marBottom w:val="0"/>
      <w:divBdr>
        <w:top w:val="none" w:sz="0" w:space="0" w:color="auto"/>
        <w:left w:val="none" w:sz="0" w:space="0" w:color="auto"/>
        <w:bottom w:val="none" w:sz="0" w:space="0" w:color="auto"/>
        <w:right w:val="none" w:sz="0" w:space="0" w:color="auto"/>
      </w:divBdr>
    </w:div>
    <w:div w:id="459879212">
      <w:bodyDiv w:val="1"/>
      <w:marLeft w:val="0"/>
      <w:marRight w:val="0"/>
      <w:marTop w:val="0"/>
      <w:marBottom w:val="0"/>
      <w:divBdr>
        <w:top w:val="none" w:sz="0" w:space="0" w:color="auto"/>
        <w:left w:val="none" w:sz="0" w:space="0" w:color="auto"/>
        <w:bottom w:val="none" w:sz="0" w:space="0" w:color="auto"/>
        <w:right w:val="none" w:sz="0" w:space="0" w:color="auto"/>
      </w:divBdr>
    </w:div>
    <w:div w:id="467819969">
      <w:bodyDiv w:val="1"/>
      <w:marLeft w:val="0"/>
      <w:marRight w:val="0"/>
      <w:marTop w:val="0"/>
      <w:marBottom w:val="0"/>
      <w:divBdr>
        <w:top w:val="none" w:sz="0" w:space="0" w:color="auto"/>
        <w:left w:val="none" w:sz="0" w:space="0" w:color="auto"/>
        <w:bottom w:val="none" w:sz="0" w:space="0" w:color="auto"/>
        <w:right w:val="none" w:sz="0" w:space="0" w:color="auto"/>
      </w:divBdr>
    </w:div>
    <w:div w:id="469248671">
      <w:bodyDiv w:val="1"/>
      <w:marLeft w:val="0"/>
      <w:marRight w:val="0"/>
      <w:marTop w:val="0"/>
      <w:marBottom w:val="0"/>
      <w:divBdr>
        <w:top w:val="none" w:sz="0" w:space="0" w:color="auto"/>
        <w:left w:val="none" w:sz="0" w:space="0" w:color="auto"/>
        <w:bottom w:val="none" w:sz="0" w:space="0" w:color="auto"/>
        <w:right w:val="none" w:sz="0" w:space="0" w:color="auto"/>
      </w:divBdr>
    </w:div>
    <w:div w:id="471562623">
      <w:bodyDiv w:val="1"/>
      <w:marLeft w:val="0"/>
      <w:marRight w:val="0"/>
      <w:marTop w:val="0"/>
      <w:marBottom w:val="0"/>
      <w:divBdr>
        <w:top w:val="none" w:sz="0" w:space="0" w:color="auto"/>
        <w:left w:val="none" w:sz="0" w:space="0" w:color="auto"/>
        <w:bottom w:val="none" w:sz="0" w:space="0" w:color="auto"/>
        <w:right w:val="none" w:sz="0" w:space="0" w:color="auto"/>
      </w:divBdr>
    </w:div>
    <w:div w:id="494301528">
      <w:bodyDiv w:val="1"/>
      <w:marLeft w:val="0"/>
      <w:marRight w:val="0"/>
      <w:marTop w:val="0"/>
      <w:marBottom w:val="0"/>
      <w:divBdr>
        <w:top w:val="none" w:sz="0" w:space="0" w:color="auto"/>
        <w:left w:val="none" w:sz="0" w:space="0" w:color="auto"/>
        <w:bottom w:val="none" w:sz="0" w:space="0" w:color="auto"/>
        <w:right w:val="none" w:sz="0" w:space="0" w:color="auto"/>
      </w:divBdr>
    </w:div>
    <w:div w:id="495804165">
      <w:bodyDiv w:val="1"/>
      <w:marLeft w:val="0"/>
      <w:marRight w:val="0"/>
      <w:marTop w:val="0"/>
      <w:marBottom w:val="0"/>
      <w:divBdr>
        <w:top w:val="none" w:sz="0" w:space="0" w:color="auto"/>
        <w:left w:val="none" w:sz="0" w:space="0" w:color="auto"/>
        <w:bottom w:val="none" w:sz="0" w:space="0" w:color="auto"/>
        <w:right w:val="none" w:sz="0" w:space="0" w:color="auto"/>
      </w:divBdr>
    </w:div>
    <w:div w:id="514922060">
      <w:bodyDiv w:val="1"/>
      <w:marLeft w:val="0"/>
      <w:marRight w:val="0"/>
      <w:marTop w:val="0"/>
      <w:marBottom w:val="0"/>
      <w:divBdr>
        <w:top w:val="none" w:sz="0" w:space="0" w:color="auto"/>
        <w:left w:val="none" w:sz="0" w:space="0" w:color="auto"/>
        <w:bottom w:val="none" w:sz="0" w:space="0" w:color="auto"/>
        <w:right w:val="none" w:sz="0" w:space="0" w:color="auto"/>
      </w:divBdr>
    </w:div>
    <w:div w:id="520627748">
      <w:bodyDiv w:val="1"/>
      <w:marLeft w:val="0"/>
      <w:marRight w:val="0"/>
      <w:marTop w:val="0"/>
      <w:marBottom w:val="0"/>
      <w:divBdr>
        <w:top w:val="none" w:sz="0" w:space="0" w:color="auto"/>
        <w:left w:val="none" w:sz="0" w:space="0" w:color="auto"/>
        <w:bottom w:val="none" w:sz="0" w:space="0" w:color="auto"/>
        <w:right w:val="none" w:sz="0" w:space="0" w:color="auto"/>
      </w:divBdr>
    </w:div>
    <w:div w:id="523592555">
      <w:bodyDiv w:val="1"/>
      <w:marLeft w:val="0"/>
      <w:marRight w:val="0"/>
      <w:marTop w:val="0"/>
      <w:marBottom w:val="0"/>
      <w:divBdr>
        <w:top w:val="none" w:sz="0" w:space="0" w:color="auto"/>
        <w:left w:val="none" w:sz="0" w:space="0" w:color="auto"/>
        <w:bottom w:val="none" w:sz="0" w:space="0" w:color="auto"/>
        <w:right w:val="none" w:sz="0" w:space="0" w:color="auto"/>
      </w:divBdr>
    </w:div>
    <w:div w:id="574824103">
      <w:bodyDiv w:val="1"/>
      <w:marLeft w:val="0"/>
      <w:marRight w:val="0"/>
      <w:marTop w:val="0"/>
      <w:marBottom w:val="0"/>
      <w:divBdr>
        <w:top w:val="none" w:sz="0" w:space="0" w:color="auto"/>
        <w:left w:val="none" w:sz="0" w:space="0" w:color="auto"/>
        <w:bottom w:val="none" w:sz="0" w:space="0" w:color="auto"/>
        <w:right w:val="none" w:sz="0" w:space="0" w:color="auto"/>
      </w:divBdr>
    </w:div>
    <w:div w:id="580526328">
      <w:bodyDiv w:val="1"/>
      <w:marLeft w:val="0"/>
      <w:marRight w:val="0"/>
      <w:marTop w:val="0"/>
      <w:marBottom w:val="0"/>
      <w:divBdr>
        <w:top w:val="none" w:sz="0" w:space="0" w:color="auto"/>
        <w:left w:val="none" w:sz="0" w:space="0" w:color="auto"/>
        <w:bottom w:val="none" w:sz="0" w:space="0" w:color="auto"/>
        <w:right w:val="none" w:sz="0" w:space="0" w:color="auto"/>
      </w:divBdr>
    </w:div>
    <w:div w:id="608391153">
      <w:bodyDiv w:val="1"/>
      <w:marLeft w:val="0"/>
      <w:marRight w:val="0"/>
      <w:marTop w:val="0"/>
      <w:marBottom w:val="0"/>
      <w:divBdr>
        <w:top w:val="none" w:sz="0" w:space="0" w:color="auto"/>
        <w:left w:val="none" w:sz="0" w:space="0" w:color="auto"/>
        <w:bottom w:val="none" w:sz="0" w:space="0" w:color="auto"/>
        <w:right w:val="none" w:sz="0" w:space="0" w:color="auto"/>
      </w:divBdr>
    </w:div>
    <w:div w:id="614605175">
      <w:bodyDiv w:val="1"/>
      <w:marLeft w:val="0"/>
      <w:marRight w:val="0"/>
      <w:marTop w:val="0"/>
      <w:marBottom w:val="0"/>
      <w:divBdr>
        <w:top w:val="none" w:sz="0" w:space="0" w:color="auto"/>
        <w:left w:val="none" w:sz="0" w:space="0" w:color="auto"/>
        <w:bottom w:val="none" w:sz="0" w:space="0" w:color="auto"/>
        <w:right w:val="none" w:sz="0" w:space="0" w:color="auto"/>
      </w:divBdr>
    </w:div>
    <w:div w:id="628366305">
      <w:bodyDiv w:val="1"/>
      <w:marLeft w:val="0"/>
      <w:marRight w:val="0"/>
      <w:marTop w:val="0"/>
      <w:marBottom w:val="0"/>
      <w:divBdr>
        <w:top w:val="none" w:sz="0" w:space="0" w:color="auto"/>
        <w:left w:val="none" w:sz="0" w:space="0" w:color="auto"/>
        <w:bottom w:val="none" w:sz="0" w:space="0" w:color="auto"/>
        <w:right w:val="none" w:sz="0" w:space="0" w:color="auto"/>
      </w:divBdr>
    </w:div>
    <w:div w:id="628557382">
      <w:bodyDiv w:val="1"/>
      <w:marLeft w:val="0"/>
      <w:marRight w:val="0"/>
      <w:marTop w:val="0"/>
      <w:marBottom w:val="0"/>
      <w:divBdr>
        <w:top w:val="none" w:sz="0" w:space="0" w:color="auto"/>
        <w:left w:val="none" w:sz="0" w:space="0" w:color="auto"/>
        <w:bottom w:val="none" w:sz="0" w:space="0" w:color="auto"/>
        <w:right w:val="none" w:sz="0" w:space="0" w:color="auto"/>
      </w:divBdr>
    </w:div>
    <w:div w:id="675108997">
      <w:bodyDiv w:val="1"/>
      <w:marLeft w:val="0"/>
      <w:marRight w:val="0"/>
      <w:marTop w:val="0"/>
      <w:marBottom w:val="0"/>
      <w:divBdr>
        <w:top w:val="none" w:sz="0" w:space="0" w:color="auto"/>
        <w:left w:val="none" w:sz="0" w:space="0" w:color="auto"/>
        <w:bottom w:val="none" w:sz="0" w:space="0" w:color="auto"/>
        <w:right w:val="none" w:sz="0" w:space="0" w:color="auto"/>
      </w:divBdr>
    </w:div>
    <w:div w:id="678780173">
      <w:bodyDiv w:val="1"/>
      <w:marLeft w:val="0"/>
      <w:marRight w:val="0"/>
      <w:marTop w:val="0"/>
      <w:marBottom w:val="0"/>
      <w:divBdr>
        <w:top w:val="none" w:sz="0" w:space="0" w:color="auto"/>
        <w:left w:val="none" w:sz="0" w:space="0" w:color="auto"/>
        <w:bottom w:val="none" w:sz="0" w:space="0" w:color="auto"/>
        <w:right w:val="none" w:sz="0" w:space="0" w:color="auto"/>
      </w:divBdr>
    </w:div>
    <w:div w:id="746850361">
      <w:bodyDiv w:val="1"/>
      <w:marLeft w:val="0"/>
      <w:marRight w:val="0"/>
      <w:marTop w:val="0"/>
      <w:marBottom w:val="0"/>
      <w:divBdr>
        <w:top w:val="none" w:sz="0" w:space="0" w:color="auto"/>
        <w:left w:val="none" w:sz="0" w:space="0" w:color="auto"/>
        <w:bottom w:val="none" w:sz="0" w:space="0" w:color="auto"/>
        <w:right w:val="none" w:sz="0" w:space="0" w:color="auto"/>
      </w:divBdr>
    </w:div>
    <w:div w:id="747965184">
      <w:bodyDiv w:val="1"/>
      <w:marLeft w:val="0"/>
      <w:marRight w:val="0"/>
      <w:marTop w:val="0"/>
      <w:marBottom w:val="0"/>
      <w:divBdr>
        <w:top w:val="none" w:sz="0" w:space="0" w:color="auto"/>
        <w:left w:val="none" w:sz="0" w:space="0" w:color="auto"/>
        <w:bottom w:val="none" w:sz="0" w:space="0" w:color="auto"/>
        <w:right w:val="none" w:sz="0" w:space="0" w:color="auto"/>
      </w:divBdr>
    </w:div>
    <w:div w:id="769400835">
      <w:bodyDiv w:val="1"/>
      <w:marLeft w:val="0"/>
      <w:marRight w:val="0"/>
      <w:marTop w:val="0"/>
      <w:marBottom w:val="0"/>
      <w:divBdr>
        <w:top w:val="none" w:sz="0" w:space="0" w:color="auto"/>
        <w:left w:val="none" w:sz="0" w:space="0" w:color="auto"/>
        <w:bottom w:val="none" w:sz="0" w:space="0" w:color="auto"/>
        <w:right w:val="none" w:sz="0" w:space="0" w:color="auto"/>
      </w:divBdr>
    </w:div>
    <w:div w:id="786464279">
      <w:bodyDiv w:val="1"/>
      <w:marLeft w:val="0"/>
      <w:marRight w:val="0"/>
      <w:marTop w:val="0"/>
      <w:marBottom w:val="0"/>
      <w:divBdr>
        <w:top w:val="none" w:sz="0" w:space="0" w:color="auto"/>
        <w:left w:val="none" w:sz="0" w:space="0" w:color="auto"/>
        <w:bottom w:val="none" w:sz="0" w:space="0" w:color="auto"/>
        <w:right w:val="none" w:sz="0" w:space="0" w:color="auto"/>
      </w:divBdr>
    </w:div>
    <w:div w:id="817840177">
      <w:bodyDiv w:val="1"/>
      <w:marLeft w:val="0"/>
      <w:marRight w:val="0"/>
      <w:marTop w:val="0"/>
      <w:marBottom w:val="0"/>
      <w:divBdr>
        <w:top w:val="none" w:sz="0" w:space="0" w:color="auto"/>
        <w:left w:val="none" w:sz="0" w:space="0" w:color="auto"/>
        <w:bottom w:val="none" w:sz="0" w:space="0" w:color="auto"/>
        <w:right w:val="none" w:sz="0" w:space="0" w:color="auto"/>
      </w:divBdr>
    </w:div>
    <w:div w:id="831332365">
      <w:bodyDiv w:val="1"/>
      <w:marLeft w:val="0"/>
      <w:marRight w:val="0"/>
      <w:marTop w:val="0"/>
      <w:marBottom w:val="0"/>
      <w:divBdr>
        <w:top w:val="none" w:sz="0" w:space="0" w:color="auto"/>
        <w:left w:val="none" w:sz="0" w:space="0" w:color="auto"/>
        <w:bottom w:val="none" w:sz="0" w:space="0" w:color="auto"/>
        <w:right w:val="none" w:sz="0" w:space="0" w:color="auto"/>
      </w:divBdr>
    </w:div>
    <w:div w:id="837384427">
      <w:bodyDiv w:val="1"/>
      <w:marLeft w:val="0"/>
      <w:marRight w:val="0"/>
      <w:marTop w:val="0"/>
      <w:marBottom w:val="0"/>
      <w:divBdr>
        <w:top w:val="none" w:sz="0" w:space="0" w:color="auto"/>
        <w:left w:val="none" w:sz="0" w:space="0" w:color="auto"/>
        <w:bottom w:val="none" w:sz="0" w:space="0" w:color="auto"/>
        <w:right w:val="none" w:sz="0" w:space="0" w:color="auto"/>
      </w:divBdr>
    </w:div>
    <w:div w:id="851453379">
      <w:bodyDiv w:val="1"/>
      <w:marLeft w:val="0"/>
      <w:marRight w:val="0"/>
      <w:marTop w:val="0"/>
      <w:marBottom w:val="0"/>
      <w:divBdr>
        <w:top w:val="none" w:sz="0" w:space="0" w:color="auto"/>
        <w:left w:val="none" w:sz="0" w:space="0" w:color="auto"/>
        <w:bottom w:val="none" w:sz="0" w:space="0" w:color="auto"/>
        <w:right w:val="none" w:sz="0" w:space="0" w:color="auto"/>
      </w:divBdr>
    </w:div>
    <w:div w:id="885218684">
      <w:bodyDiv w:val="1"/>
      <w:marLeft w:val="0"/>
      <w:marRight w:val="0"/>
      <w:marTop w:val="0"/>
      <w:marBottom w:val="0"/>
      <w:divBdr>
        <w:top w:val="none" w:sz="0" w:space="0" w:color="auto"/>
        <w:left w:val="none" w:sz="0" w:space="0" w:color="auto"/>
        <w:bottom w:val="none" w:sz="0" w:space="0" w:color="auto"/>
        <w:right w:val="none" w:sz="0" w:space="0" w:color="auto"/>
      </w:divBdr>
    </w:div>
    <w:div w:id="896282441">
      <w:bodyDiv w:val="1"/>
      <w:marLeft w:val="0"/>
      <w:marRight w:val="0"/>
      <w:marTop w:val="0"/>
      <w:marBottom w:val="0"/>
      <w:divBdr>
        <w:top w:val="none" w:sz="0" w:space="0" w:color="auto"/>
        <w:left w:val="none" w:sz="0" w:space="0" w:color="auto"/>
        <w:bottom w:val="none" w:sz="0" w:space="0" w:color="auto"/>
        <w:right w:val="none" w:sz="0" w:space="0" w:color="auto"/>
      </w:divBdr>
    </w:div>
    <w:div w:id="901063851">
      <w:bodyDiv w:val="1"/>
      <w:marLeft w:val="0"/>
      <w:marRight w:val="0"/>
      <w:marTop w:val="0"/>
      <w:marBottom w:val="0"/>
      <w:divBdr>
        <w:top w:val="none" w:sz="0" w:space="0" w:color="auto"/>
        <w:left w:val="none" w:sz="0" w:space="0" w:color="auto"/>
        <w:bottom w:val="none" w:sz="0" w:space="0" w:color="auto"/>
        <w:right w:val="none" w:sz="0" w:space="0" w:color="auto"/>
      </w:divBdr>
    </w:div>
    <w:div w:id="919867771">
      <w:bodyDiv w:val="1"/>
      <w:marLeft w:val="0"/>
      <w:marRight w:val="0"/>
      <w:marTop w:val="0"/>
      <w:marBottom w:val="0"/>
      <w:divBdr>
        <w:top w:val="none" w:sz="0" w:space="0" w:color="auto"/>
        <w:left w:val="none" w:sz="0" w:space="0" w:color="auto"/>
        <w:bottom w:val="none" w:sz="0" w:space="0" w:color="auto"/>
        <w:right w:val="none" w:sz="0" w:space="0" w:color="auto"/>
      </w:divBdr>
    </w:div>
    <w:div w:id="949898458">
      <w:bodyDiv w:val="1"/>
      <w:marLeft w:val="0"/>
      <w:marRight w:val="0"/>
      <w:marTop w:val="0"/>
      <w:marBottom w:val="0"/>
      <w:divBdr>
        <w:top w:val="none" w:sz="0" w:space="0" w:color="auto"/>
        <w:left w:val="none" w:sz="0" w:space="0" w:color="auto"/>
        <w:bottom w:val="none" w:sz="0" w:space="0" w:color="auto"/>
        <w:right w:val="none" w:sz="0" w:space="0" w:color="auto"/>
      </w:divBdr>
    </w:div>
    <w:div w:id="951207610">
      <w:bodyDiv w:val="1"/>
      <w:marLeft w:val="0"/>
      <w:marRight w:val="0"/>
      <w:marTop w:val="0"/>
      <w:marBottom w:val="0"/>
      <w:divBdr>
        <w:top w:val="none" w:sz="0" w:space="0" w:color="auto"/>
        <w:left w:val="none" w:sz="0" w:space="0" w:color="auto"/>
        <w:bottom w:val="none" w:sz="0" w:space="0" w:color="auto"/>
        <w:right w:val="none" w:sz="0" w:space="0" w:color="auto"/>
      </w:divBdr>
    </w:div>
    <w:div w:id="973832109">
      <w:bodyDiv w:val="1"/>
      <w:marLeft w:val="0"/>
      <w:marRight w:val="0"/>
      <w:marTop w:val="0"/>
      <w:marBottom w:val="0"/>
      <w:divBdr>
        <w:top w:val="none" w:sz="0" w:space="0" w:color="auto"/>
        <w:left w:val="none" w:sz="0" w:space="0" w:color="auto"/>
        <w:bottom w:val="none" w:sz="0" w:space="0" w:color="auto"/>
        <w:right w:val="none" w:sz="0" w:space="0" w:color="auto"/>
      </w:divBdr>
    </w:div>
    <w:div w:id="978221709">
      <w:bodyDiv w:val="1"/>
      <w:marLeft w:val="0"/>
      <w:marRight w:val="0"/>
      <w:marTop w:val="0"/>
      <w:marBottom w:val="0"/>
      <w:divBdr>
        <w:top w:val="none" w:sz="0" w:space="0" w:color="auto"/>
        <w:left w:val="none" w:sz="0" w:space="0" w:color="auto"/>
        <w:bottom w:val="none" w:sz="0" w:space="0" w:color="auto"/>
        <w:right w:val="none" w:sz="0" w:space="0" w:color="auto"/>
      </w:divBdr>
    </w:div>
    <w:div w:id="983045699">
      <w:bodyDiv w:val="1"/>
      <w:marLeft w:val="0"/>
      <w:marRight w:val="0"/>
      <w:marTop w:val="0"/>
      <w:marBottom w:val="0"/>
      <w:divBdr>
        <w:top w:val="none" w:sz="0" w:space="0" w:color="auto"/>
        <w:left w:val="none" w:sz="0" w:space="0" w:color="auto"/>
        <w:bottom w:val="none" w:sz="0" w:space="0" w:color="auto"/>
        <w:right w:val="none" w:sz="0" w:space="0" w:color="auto"/>
      </w:divBdr>
    </w:div>
    <w:div w:id="996491419">
      <w:bodyDiv w:val="1"/>
      <w:marLeft w:val="0"/>
      <w:marRight w:val="0"/>
      <w:marTop w:val="0"/>
      <w:marBottom w:val="0"/>
      <w:divBdr>
        <w:top w:val="none" w:sz="0" w:space="0" w:color="auto"/>
        <w:left w:val="none" w:sz="0" w:space="0" w:color="auto"/>
        <w:bottom w:val="none" w:sz="0" w:space="0" w:color="auto"/>
        <w:right w:val="none" w:sz="0" w:space="0" w:color="auto"/>
      </w:divBdr>
    </w:div>
    <w:div w:id="1013457604">
      <w:bodyDiv w:val="1"/>
      <w:marLeft w:val="0"/>
      <w:marRight w:val="0"/>
      <w:marTop w:val="0"/>
      <w:marBottom w:val="0"/>
      <w:divBdr>
        <w:top w:val="none" w:sz="0" w:space="0" w:color="auto"/>
        <w:left w:val="none" w:sz="0" w:space="0" w:color="auto"/>
        <w:bottom w:val="none" w:sz="0" w:space="0" w:color="auto"/>
        <w:right w:val="none" w:sz="0" w:space="0" w:color="auto"/>
      </w:divBdr>
    </w:div>
    <w:div w:id="1025906019">
      <w:bodyDiv w:val="1"/>
      <w:marLeft w:val="0"/>
      <w:marRight w:val="0"/>
      <w:marTop w:val="0"/>
      <w:marBottom w:val="0"/>
      <w:divBdr>
        <w:top w:val="none" w:sz="0" w:space="0" w:color="auto"/>
        <w:left w:val="none" w:sz="0" w:space="0" w:color="auto"/>
        <w:bottom w:val="none" w:sz="0" w:space="0" w:color="auto"/>
        <w:right w:val="none" w:sz="0" w:space="0" w:color="auto"/>
      </w:divBdr>
    </w:div>
    <w:div w:id="1097748982">
      <w:bodyDiv w:val="1"/>
      <w:marLeft w:val="0"/>
      <w:marRight w:val="0"/>
      <w:marTop w:val="0"/>
      <w:marBottom w:val="0"/>
      <w:divBdr>
        <w:top w:val="none" w:sz="0" w:space="0" w:color="auto"/>
        <w:left w:val="none" w:sz="0" w:space="0" w:color="auto"/>
        <w:bottom w:val="none" w:sz="0" w:space="0" w:color="auto"/>
        <w:right w:val="none" w:sz="0" w:space="0" w:color="auto"/>
      </w:divBdr>
    </w:div>
    <w:div w:id="1098479535">
      <w:bodyDiv w:val="1"/>
      <w:marLeft w:val="0"/>
      <w:marRight w:val="0"/>
      <w:marTop w:val="0"/>
      <w:marBottom w:val="0"/>
      <w:divBdr>
        <w:top w:val="none" w:sz="0" w:space="0" w:color="auto"/>
        <w:left w:val="none" w:sz="0" w:space="0" w:color="auto"/>
        <w:bottom w:val="none" w:sz="0" w:space="0" w:color="auto"/>
        <w:right w:val="none" w:sz="0" w:space="0" w:color="auto"/>
      </w:divBdr>
    </w:div>
    <w:div w:id="1128008024">
      <w:bodyDiv w:val="1"/>
      <w:marLeft w:val="0"/>
      <w:marRight w:val="0"/>
      <w:marTop w:val="0"/>
      <w:marBottom w:val="0"/>
      <w:divBdr>
        <w:top w:val="none" w:sz="0" w:space="0" w:color="auto"/>
        <w:left w:val="none" w:sz="0" w:space="0" w:color="auto"/>
        <w:bottom w:val="none" w:sz="0" w:space="0" w:color="auto"/>
        <w:right w:val="none" w:sz="0" w:space="0" w:color="auto"/>
      </w:divBdr>
    </w:div>
    <w:div w:id="1140003440">
      <w:bodyDiv w:val="1"/>
      <w:marLeft w:val="0"/>
      <w:marRight w:val="0"/>
      <w:marTop w:val="0"/>
      <w:marBottom w:val="0"/>
      <w:divBdr>
        <w:top w:val="none" w:sz="0" w:space="0" w:color="auto"/>
        <w:left w:val="none" w:sz="0" w:space="0" w:color="auto"/>
        <w:bottom w:val="none" w:sz="0" w:space="0" w:color="auto"/>
        <w:right w:val="none" w:sz="0" w:space="0" w:color="auto"/>
      </w:divBdr>
    </w:div>
    <w:div w:id="1173031075">
      <w:bodyDiv w:val="1"/>
      <w:marLeft w:val="0"/>
      <w:marRight w:val="0"/>
      <w:marTop w:val="0"/>
      <w:marBottom w:val="0"/>
      <w:divBdr>
        <w:top w:val="none" w:sz="0" w:space="0" w:color="auto"/>
        <w:left w:val="none" w:sz="0" w:space="0" w:color="auto"/>
        <w:bottom w:val="none" w:sz="0" w:space="0" w:color="auto"/>
        <w:right w:val="none" w:sz="0" w:space="0" w:color="auto"/>
      </w:divBdr>
    </w:div>
    <w:div w:id="1183863501">
      <w:bodyDiv w:val="1"/>
      <w:marLeft w:val="0"/>
      <w:marRight w:val="0"/>
      <w:marTop w:val="0"/>
      <w:marBottom w:val="0"/>
      <w:divBdr>
        <w:top w:val="none" w:sz="0" w:space="0" w:color="auto"/>
        <w:left w:val="none" w:sz="0" w:space="0" w:color="auto"/>
        <w:bottom w:val="none" w:sz="0" w:space="0" w:color="auto"/>
        <w:right w:val="none" w:sz="0" w:space="0" w:color="auto"/>
      </w:divBdr>
    </w:div>
    <w:div w:id="1199054019">
      <w:bodyDiv w:val="1"/>
      <w:marLeft w:val="0"/>
      <w:marRight w:val="0"/>
      <w:marTop w:val="0"/>
      <w:marBottom w:val="0"/>
      <w:divBdr>
        <w:top w:val="none" w:sz="0" w:space="0" w:color="auto"/>
        <w:left w:val="none" w:sz="0" w:space="0" w:color="auto"/>
        <w:bottom w:val="none" w:sz="0" w:space="0" w:color="auto"/>
        <w:right w:val="none" w:sz="0" w:space="0" w:color="auto"/>
      </w:divBdr>
    </w:div>
    <w:div w:id="1211922374">
      <w:bodyDiv w:val="1"/>
      <w:marLeft w:val="0"/>
      <w:marRight w:val="0"/>
      <w:marTop w:val="0"/>
      <w:marBottom w:val="0"/>
      <w:divBdr>
        <w:top w:val="none" w:sz="0" w:space="0" w:color="auto"/>
        <w:left w:val="none" w:sz="0" w:space="0" w:color="auto"/>
        <w:bottom w:val="none" w:sz="0" w:space="0" w:color="auto"/>
        <w:right w:val="none" w:sz="0" w:space="0" w:color="auto"/>
      </w:divBdr>
    </w:div>
    <w:div w:id="1213418151">
      <w:bodyDiv w:val="1"/>
      <w:marLeft w:val="0"/>
      <w:marRight w:val="0"/>
      <w:marTop w:val="0"/>
      <w:marBottom w:val="0"/>
      <w:divBdr>
        <w:top w:val="none" w:sz="0" w:space="0" w:color="auto"/>
        <w:left w:val="none" w:sz="0" w:space="0" w:color="auto"/>
        <w:bottom w:val="none" w:sz="0" w:space="0" w:color="auto"/>
        <w:right w:val="none" w:sz="0" w:space="0" w:color="auto"/>
      </w:divBdr>
    </w:div>
    <w:div w:id="1216358436">
      <w:bodyDiv w:val="1"/>
      <w:marLeft w:val="0"/>
      <w:marRight w:val="0"/>
      <w:marTop w:val="0"/>
      <w:marBottom w:val="0"/>
      <w:divBdr>
        <w:top w:val="none" w:sz="0" w:space="0" w:color="auto"/>
        <w:left w:val="none" w:sz="0" w:space="0" w:color="auto"/>
        <w:bottom w:val="none" w:sz="0" w:space="0" w:color="auto"/>
        <w:right w:val="none" w:sz="0" w:space="0" w:color="auto"/>
      </w:divBdr>
    </w:div>
    <w:div w:id="1219903738">
      <w:bodyDiv w:val="1"/>
      <w:marLeft w:val="0"/>
      <w:marRight w:val="0"/>
      <w:marTop w:val="0"/>
      <w:marBottom w:val="0"/>
      <w:divBdr>
        <w:top w:val="none" w:sz="0" w:space="0" w:color="auto"/>
        <w:left w:val="none" w:sz="0" w:space="0" w:color="auto"/>
        <w:bottom w:val="none" w:sz="0" w:space="0" w:color="auto"/>
        <w:right w:val="none" w:sz="0" w:space="0" w:color="auto"/>
      </w:divBdr>
    </w:div>
    <w:div w:id="1266304776">
      <w:bodyDiv w:val="1"/>
      <w:marLeft w:val="0"/>
      <w:marRight w:val="0"/>
      <w:marTop w:val="0"/>
      <w:marBottom w:val="0"/>
      <w:divBdr>
        <w:top w:val="none" w:sz="0" w:space="0" w:color="auto"/>
        <w:left w:val="none" w:sz="0" w:space="0" w:color="auto"/>
        <w:bottom w:val="none" w:sz="0" w:space="0" w:color="auto"/>
        <w:right w:val="none" w:sz="0" w:space="0" w:color="auto"/>
      </w:divBdr>
    </w:div>
    <w:div w:id="1268152999">
      <w:bodyDiv w:val="1"/>
      <w:marLeft w:val="0"/>
      <w:marRight w:val="0"/>
      <w:marTop w:val="0"/>
      <w:marBottom w:val="0"/>
      <w:divBdr>
        <w:top w:val="none" w:sz="0" w:space="0" w:color="auto"/>
        <w:left w:val="none" w:sz="0" w:space="0" w:color="auto"/>
        <w:bottom w:val="none" w:sz="0" w:space="0" w:color="auto"/>
        <w:right w:val="none" w:sz="0" w:space="0" w:color="auto"/>
      </w:divBdr>
    </w:div>
    <w:div w:id="1271354459">
      <w:bodyDiv w:val="1"/>
      <w:marLeft w:val="0"/>
      <w:marRight w:val="0"/>
      <w:marTop w:val="0"/>
      <w:marBottom w:val="0"/>
      <w:divBdr>
        <w:top w:val="none" w:sz="0" w:space="0" w:color="auto"/>
        <w:left w:val="none" w:sz="0" w:space="0" w:color="auto"/>
        <w:bottom w:val="none" w:sz="0" w:space="0" w:color="auto"/>
        <w:right w:val="none" w:sz="0" w:space="0" w:color="auto"/>
      </w:divBdr>
    </w:div>
    <w:div w:id="1292129883">
      <w:bodyDiv w:val="1"/>
      <w:marLeft w:val="0"/>
      <w:marRight w:val="0"/>
      <w:marTop w:val="0"/>
      <w:marBottom w:val="0"/>
      <w:divBdr>
        <w:top w:val="none" w:sz="0" w:space="0" w:color="auto"/>
        <w:left w:val="none" w:sz="0" w:space="0" w:color="auto"/>
        <w:bottom w:val="none" w:sz="0" w:space="0" w:color="auto"/>
        <w:right w:val="none" w:sz="0" w:space="0" w:color="auto"/>
      </w:divBdr>
    </w:div>
    <w:div w:id="1318921003">
      <w:bodyDiv w:val="1"/>
      <w:marLeft w:val="0"/>
      <w:marRight w:val="0"/>
      <w:marTop w:val="0"/>
      <w:marBottom w:val="0"/>
      <w:divBdr>
        <w:top w:val="none" w:sz="0" w:space="0" w:color="auto"/>
        <w:left w:val="none" w:sz="0" w:space="0" w:color="auto"/>
        <w:bottom w:val="none" w:sz="0" w:space="0" w:color="auto"/>
        <w:right w:val="none" w:sz="0" w:space="0" w:color="auto"/>
      </w:divBdr>
    </w:div>
    <w:div w:id="1355307930">
      <w:bodyDiv w:val="1"/>
      <w:marLeft w:val="0"/>
      <w:marRight w:val="0"/>
      <w:marTop w:val="0"/>
      <w:marBottom w:val="0"/>
      <w:divBdr>
        <w:top w:val="none" w:sz="0" w:space="0" w:color="auto"/>
        <w:left w:val="none" w:sz="0" w:space="0" w:color="auto"/>
        <w:bottom w:val="none" w:sz="0" w:space="0" w:color="auto"/>
        <w:right w:val="none" w:sz="0" w:space="0" w:color="auto"/>
      </w:divBdr>
    </w:div>
    <w:div w:id="1370230094">
      <w:bodyDiv w:val="1"/>
      <w:marLeft w:val="0"/>
      <w:marRight w:val="0"/>
      <w:marTop w:val="0"/>
      <w:marBottom w:val="0"/>
      <w:divBdr>
        <w:top w:val="none" w:sz="0" w:space="0" w:color="auto"/>
        <w:left w:val="none" w:sz="0" w:space="0" w:color="auto"/>
        <w:bottom w:val="none" w:sz="0" w:space="0" w:color="auto"/>
        <w:right w:val="none" w:sz="0" w:space="0" w:color="auto"/>
      </w:divBdr>
    </w:div>
    <w:div w:id="1375276405">
      <w:bodyDiv w:val="1"/>
      <w:marLeft w:val="0"/>
      <w:marRight w:val="0"/>
      <w:marTop w:val="0"/>
      <w:marBottom w:val="0"/>
      <w:divBdr>
        <w:top w:val="none" w:sz="0" w:space="0" w:color="auto"/>
        <w:left w:val="none" w:sz="0" w:space="0" w:color="auto"/>
        <w:bottom w:val="none" w:sz="0" w:space="0" w:color="auto"/>
        <w:right w:val="none" w:sz="0" w:space="0" w:color="auto"/>
      </w:divBdr>
    </w:div>
    <w:div w:id="1415393259">
      <w:bodyDiv w:val="1"/>
      <w:marLeft w:val="0"/>
      <w:marRight w:val="0"/>
      <w:marTop w:val="0"/>
      <w:marBottom w:val="0"/>
      <w:divBdr>
        <w:top w:val="none" w:sz="0" w:space="0" w:color="auto"/>
        <w:left w:val="none" w:sz="0" w:space="0" w:color="auto"/>
        <w:bottom w:val="none" w:sz="0" w:space="0" w:color="auto"/>
        <w:right w:val="none" w:sz="0" w:space="0" w:color="auto"/>
      </w:divBdr>
    </w:div>
    <w:div w:id="1428504553">
      <w:bodyDiv w:val="1"/>
      <w:marLeft w:val="0"/>
      <w:marRight w:val="0"/>
      <w:marTop w:val="0"/>
      <w:marBottom w:val="0"/>
      <w:divBdr>
        <w:top w:val="none" w:sz="0" w:space="0" w:color="auto"/>
        <w:left w:val="none" w:sz="0" w:space="0" w:color="auto"/>
        <w:bottom w:val="none" w:sz="0" w:space="0" w:color="auto"/>
        <w:right w:val="none" w:sz="0" w:space="0" w:color="auto"/>
      </w:divBdr>
    </w:div>
    <w:div w:id="1442996498">
      <w:bodyDiv w:val="1"/>
      <w:marLeft w:val="0"/>
      <w:marRight w:val="0"/>
      <w:marTop w:val="0"/>
      <w:marBottom w:val="0"/>
      <w:divBdr>
        <w:top w:val="none" w:sz="0" w:space="0" w:color="auto"/>
        <w:left w:val="none" w:sz="0" w:space="0" w:color="auto"/>
        <w:bottom w:val="none" w:sz="0" w:space="0" w:color="auto"/>
        <w:right w:val="none" w:sz="0" w:space="0" w:color="auto"/>
      </w:divBdr>
    </w:div>
    <w:div w:id="1446971699">
      <w:bodyDiv w:val="1"/>
      <w:marLeft w:val="0"/>
      <w:marRight w:val="0"/>
      <w:marTop w:val="0"/>
      <w:marBottom w:val="0"/>
      <w:divBdr>
        <w:top w:val="none" w:sz="0" w:space="0" w:color="auto"/>
        <w:left w:val="none" w:sz="0" w:space="0" w:color="auto"/>
        <w:bottom w:val="none" w:sz="0" w:space="0" w:color="auto"/>
        <w:right w:val="none" w:sz="0" w:space="0" w:color="auto"/>
      </w:divBdr>
    </w:div>
    <w:div w:id="1458404687">
      <w:bodyDiv w:val="1"/>
      <w:marLeft w:val="0"/>
      <w:marRight w:val="0"/>
      <w:marTop w:val="0"/>
      <w:marBottom w:val="0"/>
      <w:divBdr>
        <w:top w:val="none" w:sz="0" w:space="0" w:color="auto"/>
        <w:left w:val="none" w:sz="0" w:space="0" w:color="auto"/>
        <w:bottom w:val="none" w:sz="0" w:space="0" w:color="auto"/>
        <w:right w:val="none" w:sz="0" w:space="0" w:color="auto"/>
      </w:divBdr>
    </w:div>
    <w:div w:id="1463117354">
      <w:bodyDiv w:val="1"/>
      <w:marLeft w:val="0"/>
      <w:marRight w:val="0"/>
      <w:marTop w:val="0"/>
      <w:marBottom w:val="0"/>
      <w:divBdr>
        <w:top w:val="none" w:sz="0" w:space="0" w:color="auto"/>
        <w:left w:val="none" w:sz="0" w:space="0" w:color="auto"/>
        <w:bottom w:val="none" w:sz="0" w:space="0" w:color="auto"/>
        <w:right w:val="none" w:sz="0" w:space="0" w:color="auto"/>
      </w:divBdr>
    </w:div>
    <w:div w:id="1482308602">
      <w:bodyDiv w:val="1"/>
      <w:marLeft w:val="0"/>
      <w:marRight w:val="0"/>
      <w:marTop w:val="0"/>
      <w:marBottom w:val="0"/>
      <w:divBdr>
        <w:top w:val="none" w:sz="0" w:space="0" w:color="auto"/>
        <w:left w:val="none" w:sz="0" w:space="0" w:color="auto"/>
        <w:bottom w:val="none" w:sz="0" w:space="0" w:color="auto"/>
        <w:right w:val="none" w:sz="0" w:space="0" w:color="auto"/>
      </w:divBdr>
    </w:div>
    <w:div w:id="1488983435">
      <w:bodyDiv w:val="1"/>
      <w:marLeft w:val="0"/>
      <w:marRight w:val="0"/>
      <w:marTop w:val="0"/>
      <w:marBottom w:val="0"/>
      <w:divBdr>
        <w:top w:val="none" w:sz="0" w:space="0" w:color="auto"/>
        <w:left w:val="none" w:sz="0" w:space="0" w:color="auto"/>
        <w:bottom w:val="none" w:sz="0" w:space="0" w:color="auto"/>
        <w:right w:val="none" w:sz="0" w:space="0" w:color="auto"/>
      </w:divBdr>
    </w:div>
    <w:div w:id="1493721655">
      <w:bodyDiv w:val="1"/>
      <w:marLeft w:val="0"/>
      <w:marRight w:val="0"/>
      <w:marTop w:val="0"/>
      <w:marBottom w:val="0"/>
      <w:divBdr>
        <w:top w:val="none" w:sz="0" w:space="0" w:color="auto"/>
        <w:left w:val="none" w:sz="0" w:space="0" w:color="auto"/>
        <w:bottom w:val="none" w:sz="0" w:space="0" w:color="auto"/>
        <w:right w:val="none" w:sz="0" w:space="0" w:color="auto"/>
      </w:divBdr>
    </w:div>
    <w:div w:id="1507017912">
      <w:bodyDiv w:val="1"/>
      <w:marLeft w:val="0"/>
      <w:marRight w:val="0"/>
      <w:marTop w:val="0"/>
      <w:marBottom w:val="0"/>
      <w:divBdr>
        <w:top w:val="none" w:sz="0" w:space="0" w:color="auto"/>
        <w:left w:val="none" w:sz="0" w:space="0" w:color="auto"/>
        <w:bottom w:val="none" w:sz="0" w:space="0" w:color="auto"/>
        <w:right w:val="none" w:sz="0" w:space="0" w:color="auto"/>
      </w:divBdr>
    </w:div>
    <w:div w:id="1526938451">
      <w:bodyDiv w:val="1"/>
      <w:marLeft w:val="0"/>
      <w:marRight w:val="0"/>
      <w:marTop w:val="0"/>
      <w:marBottom w:val="0"/>
      <w:divBdr>
        <w:top w:val="none" w:sz="0" w:space="0" w:color="auto"/>
        <w:left w:val="none" w:sz="0" w:space="0" w:color="auto"/>
        <w:bottom w:val="none" w:sz="0" w:space="0" w:color="auto"/>
        <w:right w:val="none" w:sz="0" w:space="0" w:color="auto"/>
      </w:divBdr>
    </w:div>
    <w:div w:id="1529180690">
      <w:bodyDiv w:val="1"/>
      <w:marLeft w:val="0"/>
      <w:marRight w:val="0"/>
      <w:marTop w:val="0"/>
      <w:marBottom w:val="0"/>
      <w:divBdr>
        <w:top w:val="none" w:sz="0" w:space="0" w:color="auto"/>
        <w:left w:val="none" w:sz="0" w:space="0" w:color="auto"/>
        <w:bottom w:val="none" w:sz="0" w:space="0" w:color="auto"/>
        <w:right w:val="none" w:sz="0" w:space="0" w:color="auto"/>
      </w:divBdr>
    </w:div>
    <w:div w:id="1538084656">
      <w:bodyDiv w:val="1"/>
      <w:marLeft w:val="0"/>
      <w:marRight w:val="0"/>
      <w:marTop w:val="0"/>
      <w:marBottom w:val="0"/>
      <w:divBdr>
        <w:top w:val="none" w:sz="0" w:space="0" w:color="auto"/>
        <w:left w:val="none" w:sz="0" w:space="0" w:color="auto"/>
        <w:bottom w:val="none" w:sz="0" w:space="0" w:color="auto"/>
        <w:right w:val="none" w:sz="0" w:space="0" w:color="auto"/>
      </w:divBdr>
    </w:div>
    <w:div w:id="1539585637">
      <w:bodyDiv w:val="1"/>
      <w:marLeft w:val="0"/>
      <w:marRight w:val="0"/>
      <w:marTop w:val="0"/>
      <w:marBottom w:val="0"/>
      <w:divBdr>
        <w:top w:val="none" w:sz="0" w:space="0" w:color="auto"/>
        <w:left w:val="none" w:sz="0" w:space="0" w:color="auto"/>
        <w:bottom w:val="none" w:sz="0" w:space="0" w:color="auto"/>
        <w:right w:val="none" w:sz="0" w:space="0" w:color="auto"/>
      </w:divBdr>
    </w:div>
    <w:div w:id="1556233937">
      <w:bodyDiv w:val="1"/>
      <w:marLeft w:val="0"/>
      <w:marRight w:val="0"/>
      <w:marTop w:val="0"/>
      <w:marBottom w:val="0"/>
      <w:divBdr>
        <w:top w:val="none" w:sz="0" w:space="0" w:color="auto"/>
        <w:left w:val="none" w:sz="0" w:space="0" w:color="auto"/>
        <w:bottom w:val="none" w:sz="0" w:space="0" w:color="auto"/>
        <w:right w:val="none" w:sz="0" w:space="0" w:color="auto"/>
      </w:divBdr>
    </w:div>
    <w:div w:id="1557083075">
      <w:bodyDiv w:val="1"/>
      <w:marLeft w:val="0"/>
      <w:marRight w:val="0"/>
      <w:marTop w:val="0"/>
      <w:marBottom w:val="0"/>
      <w:divBdr>
        <w:top w:val="none" w:sz="0" w:space="0" w:color="auto"/>
        <w:left w:val="none" w:sz="0" w:space="0" w:color="auto"/>
        <w:bottom w:val="none" w:sz="0" w:space="0" w:color="auto"/>
        <w:right w:val="none" w:sz="0" w:space="0" w:color="auto"/>
      </w:divBdr>
    </w:div>
    <w:div w:id="1572304898">
      <w:bodyDiv w:val="1"/>
      <w:marLeft w:val="0"/>
      <w:marRight w:val="0"/>
      <w:marTop w:val="0"/>
      <w:marBottom w:val="0"/>
      <w:divBdr>
        <w:top w:val="none" w:sz="0" w:space="0" w:color="auto"/>
        <w:left w:val="none" w:sz="0" w:space="0" w:color="auto"/>
        <w:bottom w:val="none" w:sz="0" w:space="0" w:color="auto"/>
        <w:right w:val="none" w:sz="0" w:space="0" w:color="auto"/>
      </w:divBdr>
    </w:div>
    <w:div w:id="1602103149">
      <w:bodyDiv w:val="1"/>
      <w:marLeft w:val="0"/>
      <w:marRight w:val="0"/>
      <w:marTop w:val="0"/>
      <w:marBottom w:val="0"/>
      <w:divBdr>
        <w:top w:val="none" w:sz="0" w:space="0" w:color="auto"/>
        <w:left w:val="none" w:sz="0" w:space="0" w:color="auto"/>
        <w:bottom w:val="none" w:sz="0" w:space="0" w:color="auto"/>
        <w:right w:val="none" w:sz="0" w:space="0" w:color="auto"/>
      </w:divBdr>
    </w:div>
    <w:div w:id="1611817223">
      <w:bodyDiv w:val="1"/>
      <w:marLeft w:val="0"/>
      <w:marRight w:val="0"/>
      <w:marTop w:val="0"/>
      <w:marBottom w:val="0"/>
      <w:divBdr>
        <w:top w:val="none" w:sz="0" w:space="0" w:color="auto"/>
        <w:left w:val="none" w:sz="0" w:space="0" w:color="auto"/>
        <w:bottom w:val="none" w:sz="0" w:space="0" w:color="auto"/>
        <w:right w:val="none" w:sz="0" w:space="0" w:color="auto"/>
      </w:divBdr>
    </w:div>
    <w:div w:id="1613826709">
      <w:bodyDiv w:val="1"/>
      <w:marLeft w:val="0"/>
      <w:marRight w:val="0"/>
      <w:marTop w:val="0"/>
      <w:marBottom w:val="0"/>
      <w:divBdr>
        <w:top w:val="none" w:sz="0" w:space="0" w:color="auto"/>
        <w:left w:val="none" w:sz="0" w:space="0" w:color="auto"/>
        <w:bottom w:val="none" w:sz="0" w:space="0" w:color="auto"/>
        <w:right w:val="none" w:sz="0" w:space="0" w:color="auto"/>
      </w:divBdr>
    </w:div>
    <w:div w:id="1624463973">
      <w:bodyDiv w:val="1"/>
      <w:marLeft w:val="0"/>
      <w:marRight w:val="0"/>
      <w:marTop w:val="0"/>
      <w:marBottom w:val="0"/>
      <w:divBdr>
        <w:top w:val="none" w:sz="0" w:space="0" w:color="auto"/>
        <w:left w:val="none" w:sz="0" w:space="0" w:color="auto"/>
        <w:bottom w:val="none" w:sz="0" w:space="0" w:color="auto"/>
        <w:right w:val="none" w:sz="0" w:space="0" w:color="auto"/>
      </w:divBdr>
    </w:div>
    <w:div w:id="1658996807">
      <w:bodyDiv w:val="1"/>
      <w:marLeft w:val="0"/>
      <w:marRight w:val="0"/>
      <w:marTop w:val="0"/>
      <w:marBottom w:val="0"/>
      <w:divBdr>
        <w:top w:val="none" w:sz="0" w:space="0" w:color="auto"/>
        <w:left w:val="none" w:sz="0" w:space="0" w:color="auto"/>
        <w:bottom w:val="none" w:sz="0" w:space="0" w:color="auto"/>
        <w:right w:val="none" w:sz="0" w:space="0" w:color="auto"/>
      </w:divBdr>
    </w:div>
    <w:div w:id="1666007716">
      <w:bodyDiv w:val="1"/>
      <w:marLeft w:val="0"/>
      <w:marRight w:val="0"/>
      <w:marTop w:val="0"/>
      <w:marBottom w:val="0"/>
      <w:divBdr>
        <w:top w:val="none" w:sz="0" w:space="0" w:color="auto"/>
        <w:left w:val="none" w:sz="0" w:space="0" w:color="auto"/>
        <w:bottom w:val="none" w:sz="0" w:space="0" w:color="auto"/>
        <w:right w:val="none" w:sz="0" w:space="0" w:color="auto"/>
      </w:divBdr>
    </w:div>
    <w:div w:id="1685008451">
      <w:bodyDiv w:val="1"/>
      <w:marLeft w:val="0"/>
      <w:marRight w:val="0"/>
      <w:marTop w:val="0"/>
      <w:marBottom w:val="0"/>
      <w:divBdr>
        <w:top w:val="none" w:sz="0" w:space="0" w:color="auto"/>
        <w:left w:val="none" w:sz="0" w:space="0" w:color="auto"/>
        <w:bottom w:val="none" w:sz="0" w:space="0" w:color="auto"/>
        <w:right w:val="none" w:sz="0" w:space="0" w:color="auto"/>
      </w:divBdr>
    </w:div>
    <w:div w:id="1689676626">
      <w:bodyDiv w:val="1"/>
      <w:marLeft w:val="0"/>
      <w:marRight w:val="0"/>
      <w:marTop w:val="0"/>
      <w:marBottom w:val="0"/>
      <w:divBdr>
        <w:top w:val="none" w:sz="0" w:space="0" w:color="auto"/>
        <w:left w:val="none" w:sz="0" w:space="0" w:color="auto"/>
        <w:bottom w:val="none" w:sz="0" w:space="0" w:color="auto"/>
        <w:right w:val="none" w:sz="0" w:space="0" w:color="auto"/>
      </w:divBdr>
    </w:div>
    <w:div w:id="1701472149">
      <w:bodyDiv w:val="1"/>
      <w:marLeft w:val="0"/>
      <w:marRight w:val="0"/>
      <w:marTop w:val="0"/>
      <w:marBottom w:val="0"/>
      <w:divBdr>
        <w:top w:val="none" w:sz="0" w:space="0" w:color="auto"/>
        <w:left w:val="none" w:sz="0" w:space="0" w:color="auto"/>
        <w:bottom w:val="none" w:sz="0" w:space="0" w:color="auto"/>
        <w:right w:val="none" w:sz="0" w:space="0" w:color="auto"/>
      </w:divBdr>
    </w:div>
    <w:div w:id="1719477881">
      <w:bodyDiv w:val="1"/>
      <w:marLeft w:val="0"/>
      <w:marRight w:val="0"/>
      <w:marTop w:val="0"/>
      <w:marBottom w:val="0"/>
      <w:divBdr>
        <w:top w:val="none" w:sz="0" w:space="0" w:color="auto"/>
        <w:left w:val="none" w:sz="0" w:space="0" w:color="auto"/>
        <w:bottom w:val="none" w:sz="0" w:space="0" w:color="auto"/>
        <w:right w:val="none" w:sz="0" w:space="0" w:color="auto"/>
      </w:divBdr>
    </w:div>
    <w:div w:id="1720089306">
      <w:bodyDiv w:val="1"/>
      <w:marLeft w:val="0"/>
      <w:marRight w:val="0"/>
      <w:marTop w:val="0"/>
      <w:marBottom w:val="0"/>
      <w:divBdr>
        <w:top w:val="none" w:sz="0" w:space="0" w:color="auto"/>
        <w:left w:val="none" w:sz="0" w:space="0" w:color="auto"/>
        <w:bottom w:val="none" w:sz="0" w:space="0" w:color="auto"/>
        <w:right w:val="none" w:sz="0" w:space="0" w:color="auto"/>
      </w:divBdr>
    </w:div>
    <w:div w:id="1732271330">
      <w:bodyDiv w:val="1"/>
      <w:marLeft w:val="0"/>
      <w:marRight w:val="0"/>
      <w:marTop w:val="0"/>
      <w:marBottom w:val="0"/>
      <w:divBdr>
        <w:top w:val="none" w:sz="0" w:space="0" w:color="auto"/>
        <w:left w:val="none" w:sz="0" w:space="0" w:color="auto"/>
        <w:bottom w:val="none" w:sz="0" w:space="0" w:color="auto"/>
        <w:right w:val="none" w:sz="0" w:space="0" w:color="auto"/>
      </w:divBdr>
    </w:div>
    <w:div w:id="1749226681">
      <w:bodyDiv w:val="1"/>
      <w:marLeft w:val="0"/>
      <w:marRight w:val="0"/>
      <w:marTop w:val="0"/>
      <w:marBottom w:val="0"/>
      <w:divBdr>
        <w:top w:val="none" w:sz="0" w:space="0" w:color="auto"/>
        <w:left w:val="none" w:sz="0" w:space="0" w:color="auto"/>
        <w:bottom w:val="none" w:sz="0" w:space="0" w:color="auto"/>
        <w:right w:val="none" w:sz="0" w:space="0" w:color="auto"/>
      </w:divBdr>
    </w:div>
    <w:div w:id="1751851793">
      <w:bodyDiv w:val="1"/>
      <w:marLeft w:val="0"/>
      <w:marRight w:val="0"/>
      <w:marTop w:val="0"/>
      <w:marBottom w:val="0"/>
      <w:divBdr>
        <w:top w:val="none" w:sz="0" w:space="0" w:color="auto"/>
        <w:left w:val="none" w:sz="0" w:space="0" w:color="auto"/>
        <w:bottom w:val="none" w:sz="0" w:space="0" w:color="auto"/>
        <w:right w:val="none" w:sz="0" w:space="0" w:color="auto"/>
      </w:divBdr>
    </w:div>
    <w:div w:id="1755591288">
      <w:bodyDiv w:val="1"/>
      <w:marLeft w:val="0"/>
      <w:marRight w:val="0"/>
      <w:marTop w:val="0"/>
      <w:marBottom w:val="0"/>
      <w:divBdr>
        <w:top w:val="none" w:sz="0" w:space="0" w:color="auto"/>
        <w:left w:val="none" w:sz="0" w:space="0" w:color="auto"/>
        <w:bottom w:val="none" w:sz="0" w:space="0" w:color="auto"/>
        <w:right w:val="none" w:sz="0" w:space="0" w:color="auto"/>
      </w:divBdr>
    </w:div>
    <w:div w:id="1765615283">
      <w:bodyDiv w:val="1"/>
      <w:marLeft w:val="0"/>
      <w:marRight w:val="0"/>
      <w:marTop w:val="0"/>
      <w:marBottom w:val="0"/>
      <w:divBdr>
        <w:top w:val="none" w:sz="0" w:space="0" w:color="auto"/>
        <w:left w:val="none" w:sz="0" w:space="0" w:color="auto"/>
        <w:bottom w:val="none" w:sz="0" w:space="0" w:color="auto"/>
        <w:right w:val="none" w:sz="0" w:space="0" w:color="auto"/>
      </w:divBdr>
    </w:div>
    <w:div w:id="1787889641">
      <w:bodyDiv w:val="1"/>
      <w:marLeft w:val="0"/>
      <w:marRight w:val="0"/>
      <w:marTop w:val="0"/>
      <w:marBottom w:val="0"/>
      <w:divBdr>
        <w:top w:val="none" w:sz="0" w:space="0" w:color="auto"/>
        <w:left w:val="none" w:sz="0" w:space="0" w:color="auto"/>
        <w:bottom w:val="none" w:sz="0" w:space="0" w:color="auto"/>
        <w:right w:val="none" w:sz="0" w:space="0" w:color="auto"/>
      </w:divBdr>
    </w:div>
    <w:div w:id="1803188902">
      <w:bodyDiv w:val="1"/>
      <w:marLeft w:val="0"/>
      <w:marRight w:val="0"/>
      <w:marTop w:val="0"/>
      <w:marBottom w:val="0"/>
      <w:divBdr>
        <w:top w:val="none" w:sz="0" w:space="0" w:color="auto"/>
        <w:left w:val="none" w:sz="0" w:space="0" w:color="auto"/>
        <w:bottom w:val="none" w:sz="0" w:space="0" w:color="auto"/>
        <w:right w:val="none" w:sz="0" w:space="0" w:color="auto"/>
      </w:divBdr>
    </w:div>
    <w:div w:id="1813055352">
      <w:bodyDiv w:val="1"/>
      <w:marLeft w:val="0"/>
      <w:marRight w:val="0"/>
      <w:marTop w:val="0"/>
      <w:marBottom w:val="0"/>
      <w:divBdr>
        <w:top w:val="none" w:sz="0" w:space="0" w:color="auto"/>
        <w:left w:val="none" w:sz="0" w:space="0" w:color="auto"/>
        <w:bottom w:val="none" w:sz="0" w:space="0" w:color="auto"/>
        <w:right w:val="none" w:sz="0" w:space="0" w:color="auto"/>
      </w:divBdr>
    </w:div>
    <w:div w:id="1855074550">
      <w:bodyDiv w:val="1"/>
      <w:marLeft w:val="0"/>
      <w:marRight w:val="0"/>
      <w:marTop w:val="0"/>
      <w:marBottom w:val="0"/>
      <w:divBdr>
        <w:top w:val="none" w:sz="0" w:space="0" w:color="auto"/>
        <w:left w:val="none" w:sz="0" w:space="0" w:color="auto"/>
        <w:bottom w:val="none" w:sz="0" w:space="0" w:color="auto"/>
        <w:right w:val="none" w:sz="0" w:space="0" w:color="auto"/>
      </w:divBdr>
    </w:div>
    <w:div w:id="1856533928">
      <w:bodyDiv w:val="1"/>
      <w:marLeft w:val="0"/>
      <w:marRight w:val="0"/>
      <w:marTop w:val="0"/>
      <w:marBottom w:val="0"/>
      <w:divBdr>
        <w:top w:val="none" w:sz="0" w:space="0" w:color="auto"/>
        <w:left w:val="none" w:sz="0" w:space="0" w:color="auto"/>
        <w:bottom w:val="none" w:sz="0" w:space="0" w:color="auto"/>
        <w:right w:val="none" w:sz="0" w:space="0" w:color="auto"/>
      </w:divBdr>
    </w:div>
    <w:div w:id="1930770361">
      <w:bodyDiv w:val="1"/>
      <w:marLeft w:val="0"/>
      <w:marRight w:val="0"/>
      <w:marTop w:val="0"/>
      <w:marBottom w:val="0"/>
      <w:divBdr>
        <w:top w:val="none" w:sz="0" w:space="0" w:color="auto"/>
        <w:left w:val="none" w:sz="0" w:space="0" w:color="auto"/>
        <w:bottom w:val="none" w:sz="0" w:space="0" w:color="auto"/>
        <w:right w:val="none" w:sz="0" w:space="0" w:color="auto"/>
      </w:divBdr>
    </w:div>
    <w:div w:id="1963536517">
      <w:bodyDiv w:val="1"/>
      <w:marLeft w:val="0"/>
      <w:marRight w:val="0"/>
      <w:marTop w:val="0"/>
      <w:marBottom w:val="0"/>
      <w:divBdr>
        <w:top w:val="none" w:sz="0" w:space="0" w:color="auto"/>
        <w:left w:val="none" w:sz="0" w:space="0" w:color="auto"/>
        <w:bottom w:val="none" w:sz="0" w:space="0" w:color="auto"/>
        <w:right w:val="none" w:sz="0" w:space="0" w:color="auto"/>
      </w:divBdr>
    </w:div>
    <w:div w:id="1965578740">
      <w:bodyDiv w:val="1"/>
      <w:marLeft w:val="0"/>
      <w:marRight w:val="0"/>
      <w:marTop w:val="0"/>
      <w:marBottom w:val="0"/>
      <w:divBdr>
        <w:top w:val="none" w:sz="0" w:space="0" w:color="auto"/>
        <w:left w:val="none" w:sz="0" w:space="0" w:color="auto"/>
        <w:bottom w:val="none" w:sz="0" w:space="0" w:color="auto"/>
        <w:right w:val="none" w:sz="0" w:space="0" w:color="auto"/>
      </w:divBdr>
    </w:div>
    <w:div w:id="1966697888">
      <w:bodyDiv w:val="1"/>
      <w:marLeft w:val="0"/>
      <w:marRight w:val="0"/>
      <w:marTop w:val="0"/>
      <w:marBottom w:val="0"/>
      <w:divBdr>
        <w:top w:val="none" w:sz="0" w:space="0" w:color="auto"/>
        <w:left w:val="none" w:sz="0" w:space="0" w:color="auto"/>
        <w:bottom w:val="none" w:sz="0" w:space="0" w:color="auto"/>
        <w:right w:val="none" w:sz="0" w:space="0" w:color="auto"/>
      </w:divBdr>
    </w:div>
    <w:div w:id="1968587397">
      <w:bodyDiv w:val="1"/>
      <w:marLeft w:val="0"/>
      <w:marRight w:val="0"/>
      <w:marTop w:val="0"/>
      <w:marBottom w:val="0"/>
      <w:divBdr>
        <w:top w:val="none" w:sz="0" w:space="0" w:color="auto"/>
        <w:left w:val="none" w:sz="0" w:space="0" w:color="auto"/>
        <w:bottom w:val="none" w:sz="0" w:space="0" w:color="auto"/>
        <w:right w:val="none" w:sz="0" w:space="0" w:color="auto"/>
      </w:divBdr>
    </w:div>
    <w:div w:id="1998799980">
      <w:bodyDiv w:val="1"/>
      <w:marLeft w:val="0"/>
      <w:marRight w:val="0"/>
      <w:marTop w:val="0"/>
      <w:marBottom w:val="0"/>
      <w:divBdr>
        <w:top w:val="none" w:sz="0" w:space="0" w:color="auto"/>
        <w:left w:val="none" w:sz="0" w:space="0" w:color="auto"/>
        <w:bottom w:val="none" w:sz="0" w:space="0" w:color="auto"/>
        <w:right w:val="none" w:sz="0" w:space="0" w:color="auto"/>
      </w:divBdr>
    </w:div>
    <w:div w:id="2016036996">
      <w:bodyDiv w:val="1"/>
      <w:marLeft w:val="0"/>
      <w:marRight w:val="0"/>
      <w:marTop w:val="0"/>
      <w:marBottom w:val="0"/>
      <w:divBdr>
        <w:top w:val="none" w:sz="0" w:space="0" w:color="auto"/>
        <w:left w:val="none" w:sz="0" w:space="0" w:color="auto"/>
        <w:bottom w:val="none" w:sz="0" w:space="0" w:color="auto"/>
        <w:right w:val="none" w:sz="0" w:space="0" w:color="auto"/>
      </w:divBdr>
    </w:div>
    <w:div w:id="2032026767">
      <w:bodyDiv w:val="1"/>
      <w:marLeft w:val="0"/>
      <w:marRight w:val="0"/>
      <w:marTop w:val="0"/>
      <w:marBottom w:val="0"/>
      <w:divBdr>
        <w:top w:val="none" w:sz="0" w:space="0" w:color="auto"/>
        <w:left w:val="none" w:sz="0" w:space="0" w:color="auto"/>
        <w:bottom w:val="none" w:sz="0" w:space="0" w:color="auto"/>
        <w:right w:val="none" w:sz="0" w:space="0" w:color="auto"/>
      </w:divBdr>
    </w:div>
    <w:div w:id="2049064192">
      <w:bodyDiv w:val="1"/>
      <w:marLeft w:val="0"/>
      <w:marRight w:val="0"/>
      <w:marTop w:val="0"/>
      <w:marBottom w:val="0"/>
      <w:divBdr>
        <w:top w:val="none" w:sz="0" w:space="0" w:color="auto"/>
        <w:left w:val="none" w:sz="0" w:space="0" w:color="auto"/>
        <w:bottom w:val="none" w:sz="0" w:space="0" w:color="auto"/>
        <w:right w:val="none" w:sz="0" w:space="0" w:color="auto"/>
      </w:divBdr>
    </w:div>
    <w:div w:id="20989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cotiabank.com/ca/en/about/responsibility-impact/scotiaris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otiabank.com/ca/en/about/our-company/board-of-directors/l-scott-thomson.html"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www.scotiabank.com/ca/en/about/historic-timelin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otiabank.com/ca/en/about/our-company/executive-management.html" TargetMode="External"/><Relationship Id="rId20" Type="http://schemas.openxmlformats.org/officeDocument/2006/relationships/hyperlink" Target="https://www.scotiabank.com/content/dam/scotiabank/corporate/Documents/Scotiabank_2022_ESG_Report_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scotiabank.com/women-initiative/ca/e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f81aacc58fb1015/Desktop/Semester%204/Capstone/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FY2022</a:t>
            </a:r>
            <a:r>
              <a:rPr lang="en-CA" baseline="0"/>
              <a:t> Earinings</a:t>
            </a:r>
            <a:endParaRPr lang="en-CA"/>
          </a:p>
        </c:rich>
      </c:tx>
      <c:layout>
        <c:manualLayout>
          <c:xMode val="edge"/>
          <c:yMode val="edge"/>
          <c:x val="0.2805087669453689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598-43CF-85BC-5D29605449C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598-43CF-85BC-5D29605449C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598-43CF-85BC-5D29605449C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598-43CF-85BC-5D29605449C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598-43CF-85BC-5D29605449C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Sheet1!$A$1:$A$5</c:f>
              <c:strCache>
                <c:ptCount val="5"/>
                <c:pt idx="0">
                  <c:v>Canada</c:v>
                </c:pt>
                <c:pt idx="1">
                  <c:v>PAC</c:v>
                </c:pt>
                <c:pt idx="2">
                  <c:v>USA</c:v>
                </c:pt>
                <c:pt idx="3">
                  <c:v>C&amp;CA Market</c:v>
                </c:pt>
                <c:pt idx="4">
                  <c:v>Other Markets</c:v>
                </c:pt>
              </c:strCache>
            </c:strRef>
          </c:cat>
          <c:val>
            <c:numRef>
              <c:f>Sheet1!$B$1:$B$5</c:f>
              <c:numCache>
                <c:formatCode>0%</c:formatCode>
                <c:ptCount val="5"/>
                <c:pt idx="0">
                  <c:v>0.62</c:v>
                </c:pt>
                <c:pt idx="1">
                  <c:v>0.22</c:v>
                </c:pt>
                <c:pt idx="2">
                  <c:v>0.08</c:v>
                </c:pt>
                <c:pt idx="3">
                  <c:v>0.04</c:v>
                </c:pt>
                <c:pt idx="4">
                  <c:v>0.04</c:v>
                </c:pt>
              </c:numCache>
            </c:numRef>
          </c:val>
          <c:extLst>
            <c:ext xmlns:c16="http://schemas.microsoft.com/office/drawing/2014/chart" uri="{C3380CC4-5D6E-409C-BE32-E72D297353CC}">
              <c16:uniqueId val="{0000000A-1598-43CF-85BC-5D29605449C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FY2022</a:t>
            </a:r>
            <a:r>
              <a:rPr lang="en-CA" baseline="0"/>
              <a:t> </a:t>
            </a:r>
            <a:r>
              <a:rPr lang="en-CA"/>
              <a:t>Earnings</a:t>
            </a:r>
            <a:r>
              <a:rPr lang="en-CA" baseline="0"/>
              <a:t> by Business Line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2EE-463D-85FF-6FD8A9597B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2EE-463D-85FF-6FD8A9597B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2EE-463D-85FF-6FD8A9597B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2EE-463D-85FF-6FD8A9597B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Sheet1!$E$1:$E$4</c:f>
              <c:strCache>
                <c:ptCount val="4"/>
                <c:pt idx="0">
                  <c:v>Canadian Banking</c:v>
                </c:pt>
                <c:pt idx="1">
                  <c:v>International Banking</c:v>
                </c:pt>
                <c:pt idx="2">
                  <c:v>Global Banking and Markets </c:v>
                </c:pt>
                <c:pt idx="3">
                  <c:v>Global Wealth Management</c:v>
                </c:pt>
              </c:strCache>
            </c:strRef>
          </c:cat>
          <c:val>
            <c:numRef>
              <c:f>Sheet1!$F$1:$F$4</c:f>
              <c:numCache>
                <c:formatCode>0%</c:formatCode>
                <c:ptCount val="4"/>
                <c:pt idx="0">
                  <c:v>0.45</c:v>
                </c:pt>
                <c:pt idx="1">
                  <c:v>0.23</c:v>
                </c:pt>
                <c:pt idx="2">
                  <c:v>0.18</c:v>
                </c:pt>
                <c:pt idx="3">
                  <c:v>0.15</c:v>
                </c:pt>
              </c:numCache>
            </c:numRef>
          </c:val>
          <c:extLst>
            <c:ext xmlns:c16="http://schemas.microsoft.com/office/drawing/2014/chart" uri="{C3380CC4-5D6E-409C-BE32-E72D297353CC}">
              <c16:uniqueId val="{00000008-32EE-463D-85FF-6FD8A9597BE1}"/>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Sco22</b:Tag>
    <b:SourceType>DocumentFromInternetSite</b:SourceType>
    <b:Guid>{5E8F698C-A7F0-4256-AAE5-5D21C4CE9FF8}</b:Guid>
    <b:Title>2022 ANNUAL REPORT</b:Title>
    <b:Year>2022</b:Year>
    <b:URL>chrome-extension://efaidnbmnnnibpcajpcglclefindmkaj/https://www.scotiabank.com/content/dam/scotiabank/corporate/BNS_Annual_Report_2022_v1.pdf</b:URL>
    <b:Author>
      <b:Author>
        <b:Corporate>Scotiabank</b:Corporate>
      </b:Author>
    </b:Author>
    <b:Publisher>Scotiabank</b:Publisher>
    <b:RefOrder>1</b:RefOrder>
  </b:Source>
  <b:Source>
    <b:Tag>TD22</b:Tag>
    <b:SourceType>DocumentFromInternetSite</b:SourceType>
    <b:Guid>{21CCB80D-8E56-4565-95A8-CA4B83B687FD}</b:Guid>
    <b:Author>
      <b:Author>
        <b:Corporate>TD</b:Corporate>
      </b:Author>
    </b:Author>
    <b:Year>2022</b:Year>
    <b:URL>chrome-extension://efaidnbmnnnibpcajpcglclefindmkaj/https://www.td.com/document/PDF/ar2022/ar2022-Complete-Report.pdf</b:URL>
    <b:Title>Annual Report 2022</b:Title>
    <b:RefOrder>5</b:RefOrder>
  </b:Source>
  <b:Source>
    <b:Tag>CIB22</b:Tag>
    <b:SourceType>DocumentFromInternetSite</b:SourceType>
    <b:Guid>{A9CAB0BD-F178-4234-A08A-474BA4A80860}</b:Guid>
    <b:Author>
      <b:Author>
        <b:Corporate>CIBC</b:Corporate>
      </b:Author>
    </b:Author>
    <b:Title>Ambitions made real Annual Report 2022</b:Title>
    <b:Year>2022</b:Year>
    <b:URL>chrome-extension://efaidnbmnnnibpcajpcglclefindmkaj/https://www.cibc.com/content/dam/cibc-public-assets/about-cibc/investor-relations/pdfs/quarterly-results/2022/ar-22-en.pdf</b:URL>
    <b:RefOrder>6</b:RefOrder>
  </b:Source>
  <b:Source>
    <b:Tag>BMO22</b:Tag>
    <b:SourceType>DocumentFromInternetSite</b:SourceType>
    <b:Guid>{F06F637E-06B2-498E-90B2-013E99DFCBA4}</b:Guid>
    <b:Author>
      <b:Author>
        <b:Corporate>BMO</b:Corporate>
      </b:Author>
    </b:Author>
    <b:Title>2022 Annual Report to Shareholders</b:Title>
    <b:Year>2022</b:Year>
    <b:URL>chrome-extension://efaidnbmnnnibpcajpcglclefindmkaj/https://www.bmo.com/ir/archive/en/bmo_ar2022.pdf</b:URL>
    <b:RefOrder>7</b:RefOrder>
  </b:Source>
  <b:Source>
    <b:Tag>Placeholder1</b:Tag>
    <b:SourceType>DocumentFromInternetSite</b:SourceType>
    <b:Guid>{84BAA1B0-B623-4923-A937-1B3E4D7FFD8B}</b:Guid>
    <b:Title>Annual Report 2022</b:Title>
    <b:Year>2022</b:Year>
    <b:Author>
      <b:Author>
        <b:Corporate>ScotiaBank</b:Corporate>
      </b:Author>
    </b:Author>
    <b:URL>https://www.scotiabank.com/content/dam/scotiabank/corporate/BNS_Annual_Report_2022_v1.pdf</b:URL>
    <b:RefOrder>8</b:RefOrder>
  </b:Source>
  <b:Source>
    <b:Tag>Sco21</b:Tag>
    <b:SourceType>DocumentFromInternetSite</b:SourceType>
    <b:Guid>{D510A331-DED1-484D-AB8A-CD7C8215F1D7}</b:Guid>
    <b:Author>
      <b:Author>
        <b:Corporate>ScotiaBank</b:Corporate>
      </b:Author>
    </b:Author>
    <b:Title>Annual Report 2021</b:Title>
    <b:Year>2021</b:Year>
    <b:URL>https://www.scotiabank.com/content/dam/scotiabank/corporate/quarterly-reports/2021/q4/Annual_Report_2021_AODA_EN.pdf</b:URL>
    <b:RefOrder>9</b:RefOrder>
  </b:Source>
  <b:Source>
    <b:Tag>Com</b:Tag>
    <b:SourceType>InternetSite</b:SourceType>
    <b:Guid>{BCD0255D-9D6A-4F72-83B8-A0BF759229AE}</b:Guid>
    <b:Author>
      <b:Author>
        <b:Corporate>Comparably</b:Corporate>
      </b:Author>
    </b:Author>
    <b:Title>Scotiabank</b:Title>
    <b:InternetSiteTitle>comparably.com</b:InternetSiteTitle>
    <b:URL>https://www.comparably.com/brands/scotiabank</b:URL>
    <b:RefOrder>10</b:RefOrder>
  </b:Source>
  <b:Source>
    <b:Tag>Sco</b:Tag>
    <b:SourceType>DocumentFromInternetSite</b:SourceType>
    <b:Guid>{5BEDCD30-AEA7-4609-A991-432633AB8647}</b:Guid>
    <b:Title>Balance Scorecard</b:Title>
    <b:URL>https://www.scotiabank.com/ca/common/pdf/scotia_world/scotia_world_magazine_Q22011.pdf</b:URL>
    <b:Author>
      <b:Author>
        <b:Corporate>ScotiaBank</b:Corporate>
      </b:Author>
    </b:Author>
    <b:Year>2011</b:Year>
    <b:RefOrder>11</b:RefOrder>
  </b:Source>
  <b:Source>
    <b:Tag>Placeholder2</b:Tag>
    <b:SourceType>DocumentFromInternetSite</b:SourceType>
    <b:Guid>{7A312596-2AFF-423B-AB7D-8185EEA1B754}</b:Guid>
    <b:Title>Annual Report 2022</b:Title>
    <b:Year>2022</b:Year>
    <b:URL>https://www.bmo.com/ir/archive/en/bmo_ar2022.pdf</b:URL>
    <b:Author>
      <b:Author>
        <b:Corporate>BMO</b:Corporate>
      </b:Author>
    </b:Author>
    <b:RefOrder>12</b:RefOrder>
  </b:Source>
  <b:Source>
    <b:Tag>BMO221</b:Tag>
    <b:SourceType>DocumentFromInternetSite</b:SourceType>
    <b:Guid>{ABA82236-D7E7-472F-85DC-5CA095A40851}</b:Guid>
    <b:Author>
      <b:Author>
        <b:Corporate>BMO</b:Corporate>
      </b:Author>
    </b:Author>
    <b:Title>At a Glance</b:Title>
    <b:Year>2022</b:Year>
    <b:URL>https://about.bmo.com/at-a-glance/</b:URL>
    <b:RefOrder>13</b:RefOrder>
  </b:Source>
  <b:Source>
    <b:Tag>Com22</b:Tag>
    <b:SourceType>InternetSite</b:SourceType>
    <b:Guid>{82D9B519-AED6-40BA-87F0-BA91E8BF095C}</b:Guid>
    <b:Author>
      <b:Author>
        <b:Corporate>Comparably</b:Corporate>
      </b:Author>
    </b:Author>
    <b:Title>BMO</b:Title>
    <b:URL>https://www.comparably.com/brands/bmo-private-bank</b:URL>
    <b:InternetSiteTitle>comparably.com</b:InternetSiteTitle>
    <b:RefOrder>14</b:RefOrder>
  </b:Source>
  <b:Source>
    <b:Tag>Placeholder3</b:Tag>
    <b:SourceType>DocumentFromInternetSite</b:SourceType>
    <b:Guid>{22E3ECA9-F3C9-49BD-9832-3388713CB6A3}</b:Guid>
    <b:Author>
      <b:Author>
        <b:Corporate>CIBC</b:Corporate>
      </b:Author>
    </b:Author>
    <b:Title>CIBC </b:Title>
    <b:Year>2022</b:Year>
    <b:URL>https://www.cibc.com/content/dam/cibc-public-assets/about-cibc/investor-relations/pdfs/quarterly-results/2022/ar-22-en.pdf</b:URL>
    <b:RefOrder>15</b:RefOrder>
  </b:Source>
  <b:Source>
    <b:Tag>CIB221</b:Tag>
    <b:SourceType>DocumentFromInternetSite</b:SourceType>
    <b:Guid>{C9EC9E1A-57F8-4EA6-A3D5-333BBDD1E911}</b:Guid>
    <b:Author>
      <b:Author>
        <b:Corporate>CIBC</b:Corporate>
      </b:Author>
    </b:Author>
    <b:Title>CIBC Fact Sheet</b:Title>
    <b:Year>2022</b:Year>
    <b:URL>https://www.cibc.com/content/dam/cibc-public-assets/about-cibc/investor-relations/pdfs/quarterly-results/2022/q422factsheet-en.pdf</b:URL>
    <b:RefOrder>16</b:RefOrder>
  </b:Source>
  <b:Source>
    <b:Tag>Com1</b:Tag>
    <b:SourceType>InternetSite</b:SourceType>
    <b:Guid>{F91507A8-608B-4D38-B191-62FE4DA6D6F0}</b:Guid>
    <b:Title>Comparably</b:Title>
    <b:URL>https://www.comparably.com/brands/cibc</b:URL>
    <b:Author>
      <b:Author>
        <b:Corporate>Comparably</b:Corporate>
      </b:Author>
    </b:Author>
    <b:RefOrder>17</b:RefOrder>
  </b:Source>
  <b:Source>
    <b:Tag>TDB22</b:Tag>
    <b:SourceType>DocumentFromInternetSite</b:SourceType>
    <b:Guid>{7250784C-F65B-48B7-8259-582E3C197161}</b:Guid>
    <b:Title>TD</b:Title>
    <b:Year>2022</b:Year>
    <b:URL>https://www.td.com/document/PDF/ar2022/ar2022-Complete-Report.pdf</b:URL>
    <b:Author>
      <b:Author>
        <b:Corporate>TD Bank</b:Corporate>
      </b:Author>
    </b:Author>
    <b:RefOrder>18</b:RefOrder>
  </b:Source>
  <b:Source>
    <b:Tag>Mac</b:Tag>
    <b:SourceType>InternetSite</b:SourceType>
    <b:Guid>{EC3B3163-1BCF-41BE-9FC5-CDF60E93002F}</b:Guid>
    <b:Author>
      <b:Author>
        <b:Corporate>Macrotrends</b:Corporate>
      </b:Author>
    </b:Author>
    <b:Title>Macrotrends</b:Title>
    <b:InternetSiteTitle>macrotrends.net</b:InternetSiteTitle>
    <b:URL>https://www.macrotrends.net/stocks/charts/TD/toronto-dominion-bank/</b:URL>
    <b:RefOrder>19</b:RefOrder>
  </b:Source>
  <b:Source>
    <b:Tag>Com2</b:Tag>
    <b:SourceType>InternetSite</b:SourceType>
    <b:Guid>{2060EE30-3F33-4496-AAA2-CDC731D0E27F}</b:Guid>
    <b:Author>
      <b:Author>
        <b:Corporate>Comparably</b:Corporate>
      </b:Author>
    </b:Author>
    <b:Title>Comparably</b:Title>
    <b:InternetSiteTitle>comparably.com</b:InternetSiteTitle>
    <b:URL>https://www.comparably.com/brands/td-bank-group</b:URL>
    <b:RefOrder>20</b:RefOrder>
  </b:Source>
  <b:Source>
    <b:Tag>Placeholder4</b:Tag>
    <b:SourceType>DocumentFromInternetSite</b:SourceType>
    <b:Guid>{915D5C21-BF5D-4039-9452-B2AB145A5F4C}</b:Guid>
    <b:Title>Annual Report 2022</b:Title>
    <b:Year>2022</b:Year>
    <b:Author>
      <b:Author>
        <b:Corporate>Scotiabank</b:Corporate>
      </b:Author>
    </b:Author>
    <b:URL>https://www.scotiabank.com/content/dam/scotiabank/corporate/BNS_Annual_Report_2022_v1.pdf</b:URL>
    <b:RefOrder>4</b:RefOrder>
  </b:Source>
  <b:Source>
    <b:Tag>Sco23</b:Tag>
    <b:SourceType>DocumentFromInternetSite</b:SourceType>
    <b:Guid>{1B8A04DF-5CF6-4F79-83B2-84879097281A}</b:Guid>
    <b:Author>
      <b:Author>
        <b:Corporate>Scotiabank</b:Corporate>
      </b:Author>
    </b:Author>
    <b:Title>Q3 2023 Investor Fact Sheet</b:Title>
    <b:Year>Q3 2023</b:Year>
    <b:URL>https://www.scotiabank.com/content/dam/scotiabank/corporate/quarterly-reports/2023/q3/Q323_Scotiabank_Investor_Factsheet.pdf</b:URL>
    <b:RefOrder>2</b:RefOrder>
  </b:Source>
  <b:Source>
    <b:Tag>Placeholder5</b:Tag>
    <b:SourceType>DocumentFromInternetSite</b:SourceType>
    <b:Guid>{C42A357D-0589-4AA9-9110-7CF2BC3555DA}</b:Guid>
    <b:Author>
      <b:Author>
        <b:Corporate>Scotiabank</b:Corporate>
      </b:Author>
    </b:Author>
    <b:Title>Annual Report 2021</b:Title>
    <b:Year>2021</b:Year>
    <b:URL>https://www.scotiabank.com/content/dam/scotiabank/corporate/quarterly-reports/2021/q4/Annual_Report_2021_AODA_EN.pdf</b:URL>
    <b:RefOrder>3</b:RefOrder>
  </b:Source>
</b:Sources>
</file>

<file path=customXml/itemProps1.xml><?xml version="1.0" encoding="utf-8"?>
<ds:datastoreItem xmlns:ds="http://schemas.openxmlformats.org/officeDocument/2006/customXml" ds:itemID="{7B57B554-FA06-4F30-BDE5-C58D4959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30</Pages>
  <Words>6689</Words>
  <Characters>38130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Shaikh</dc:creator>
  <cp:keywords/>
  <dc:description/>
  <cp:lastModifiedBy>bhavya jain</cp:lastModifiedBy>
  <cp:revision>114</cp:revision>
  <dcterms:created xsi:type="dcterms:W3CDTF">2023-09-15T21:46:00Z</dcterms:created>
  <dcterms:modified xsi:type="dcterms:W3CDTF">2023-09-16T00:49:00Z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ddfa8d25df99f44aae0246e9de8255af30506c282c71e8679efe0ef798066d8d</vt:lpwstr>
  </property>
</Properties>
</file>