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6559" w:rsidRDefault="00295564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About Class1 and Class2 data mismatch</w:t>
      </w:r>
    </w:p>
    <w:p w:rsidR="00295564" w:rsidRPr="00295564" w:rsidRDefault="00295564">
      <w:pPr>
        <w:rPr>
          <w:rFonts w:ascii="Verdana" w:hAnsi="Verdana" w:hint="eastAsia"/>
          <w:b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Analysis: Goto </w:t>
      </w:r>
      <w:r>
        <w:rPr>
          <w:rFonts w:ascii="Verdana" w:hAnsi="Verdana" w:hint="eastAsia"/>
          <w:b/>
          <w:sz w:val="20"/>
          <w:szCs w:val="20"/>
        </w:rPr>
        <w:t>WF_KDR_Land_Eclipse_Update_Policy</w:t>
      </w:r>
    </w:p>
    <w:p w:rsidR="00295564" w:rsidRDefault="00295564">
      <w:pPr>
        <w:rPr>
          <w:rFonts w:ascii="Verdana" w:hAnsi="Verdana" w:hint="eastAsia"/>
          <w:b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DataFlow: </w:t>
      </w:r>
      <w:r w:rsidRPr="00295564">
        <w:rPr>
          <w:rFonts w:ascii="Verdana" w:hAnsi="Verdana" w:hint="eastAsia"/>
          <w:b/>
          <w:sz w:val="20"/>
          <w:szCs w:val="20"/>
        </w:rPr>
        <w:t>DF_KDR_Land_WRK_ECL_Policy</w:t>
      </w:r>
    </w:p>
    <w:p w:rsidR="00295564" w:rsidRDefault="00295564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In QRY_ObjectCode_Lookup-&gt; For Class2 and Class3 there is a function call. In QRY_Class, the function is written for Clas2 and Class3 </w:t>
      </w:r>
      <w:r>
        <w:rPr>
          <w:rFonts w:ascii="Verdana" w:hAnsi="Verdana"/>
          <w:sz w:val="20"/>
          <w:szCs w:val="20"/>
        </w:rPr>
        <w:t xml:space="preserve">i.e. </w:t>
      </w:r>
      <w:r>
        <w:rPr>
          <w:rFonts w:ascii="Verdana" w:hAnsi="Verdana" w:hint="eastAsia"/>
          <w:sz w:val="20"/>
          <w:szCs w:val="20"/>
        </w:rPr>
        <w:t>taking substring(Class1)</w:t>
      </w:r>
    </w:p>
    <w:p w:rsidR="00295564" w:rsidRDefault="00295564">
      <w:pPr>
        <w:rPr>
          <w:rFonts w:ascii="Verdana" w:hAnsi="Verdana" w:hint="eastAsia"/>
          <w:sz w:val="20"/>
          <w:szCs w:val="20"/>
        </w:rPr>
      </w:pPr>
    </w:p>
    <w:p w:rsidR="007C4EFC" w:rsidRDefault="007C4EFC">
      <w:pPr>
        <w:rPr>
          <w:rFonts w:ascii="Verdana" w:hAnsi="Verdana" w:hint="eastAsia"/>
          <w:b/>
          <w:sz w:val="20"/>
          <w:szCs w:val="20"/>
        </w:rPr>
      </w:pPr>
      <w:r w:rsidRPr="009E4594">
        <w:rPr>
          <w:rFonts w:ascii="Verdana" w:hAnsi="Verdana" w:hint="eastAsia"/>
          <w:b/>
          <w:sz w:val="20"/>
          <w:szCs w:val="20"/>
        </w:rPr>
        <w:t>Reinst_1_Code</w:t>
      </w:r>
    </w:p>
    <w:p w:rsidR="009E4594" w:rsidRDefault="009E4594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Analysis: In Eclipse query we are fetching abovementioned column from PolicyLine-&gt;Reinscode</w:t>
      </w:r>
    </w:p>
    <w:p w:rsidR="009E4594" w:rsidRDefault="009E4594">
      <w:pPr>
        <w:rPr>
          <w:rFonts w:ascii="Courier New" w:hAnsi="Courier New" w:cs="Courier New" w:hint="eastAsia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PL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>PolicyId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PL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Reinscode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Policy P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left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join</w:t>
      </w:r>
      <w:r>
        <w:rPr>
          <w:rFonts w:ascii="Courier New" w:hAnsi="Courier New" w:cs="Courier New"/>
          <w:noProof/>
          <w:sz w:val="20"/>
          <w:szCs w:val="20"/>
        </w:rPr>
        <w:t xml:space="preserve"> PolicyLine PL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on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PolicyId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PL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PolicyId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where</w:t>
      </w:r>
      <w:r>
        <w:rPr>
          <w:rFonts w:ascii="Courier New" w:hAnsi="Courier New" w:cs="Courier New"/>
          <w:noProof/>
          <w:sz w:val="20"/>
          <w:szCs w:val="20"/>
        </w:rPr>
        <w:t xml:space="preserve"> P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.</w:t>
      </w:r>
      <w:r>
        <w:rPr>
          <w:rFonts w:ascii="Courier New" w:hAnsi="Courier New" w:cs="Courier New"/>
          <w:noProof/>
          <w:sz w:val="20"/>
          <w:szCs w:val="20"/>
        </w:rPr>
        <w:t xml:space="preserve">PolicyId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=</w:t>
      </w:r>
      <w:r>
        <w:rPr>
          <w:rFonts w:ascii="Courier New" w:hAnsi="Courier New" w:cs="Courier New"/>
          <w:noProof/>
          <w:sz w:val="20"/>
          <w:szCs w:val="20"/>
        </w:rPr>
        <w:t xml:space="preserve"> 398734</w:t>
      </w:r>
    </w:p>
    <w:p w:rsidR="009E4594" w:rsidRDefault="009E4594">
      <w:pPr>
        <w:rPr>
          <w:rFonts w:ascii="Courier New" w:hAnsi="Courier New" w:cs="Courier New" w:hint="eastAsia"/>
          <w:noProof/>
          <w:sz w:val="20"/>
          <w:szCs w:val="20"/>
        </w:rPr>
      </w:pPr>
    </w:p>
    <w:p w:rsidR="009E4594" w:rsidRDefault="009E4594">
      <w:pPr>
        <w:rPr>
          <w:rFonts w:ascii="Courier New" w:hAnsi="Courier New" w:cs="Courier New" w:hint="eastAsia"/>
          <w:noProof/>
          <w:sz w:val="20"/>
          <w:szCs w:val="20"/>
        </w:rPr>
      </w:pPr>
      <w:r>
        <w:rPr>
          <w:rFonts w:ascii="Courier New" w:hAnsi="Courier New" w:cs="Courier New" w:hint="eastAsia"/>
          <w:noProof/>
          <w:sz w:val="20"/>
          <w:szCs w:val="20"/>
        </w:rPr>
        <w:t xml:space="preserve">But in KDR job side, in </w:t>
      </w:r>
      <w:r w:rsidRPr="009E4594">
        <w:rPr>
          <w:rFonts w:ascii="Courier New" w:hAnsi="Courier New" w:cs="Courier New" w:hint="eastAsia"/>
          <w:b/>
          <w:noProof/>
          <w:sz w:val="20"/>
          <w:szCs w:val="20"/>
        </w:rPr>
        <w:t>DF_KDR_WRK_INW_CONTRACT_POLICY</w:t>
      </w:r>
      <w:r>
        <w:rPr>
          <w:rFonts w:ascii="Courier New" w:hAnsi="Courier New" w:cs="Courier New" w:hint="eastAsia"/>
          <w:b/>
          <w:noProof/>
          <w:sz w:val="20"/>
          <w:szCs w:val="20"/>
        </w:rPr>
        <w:t xml:space="preserve">, 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the column is fetched </w:t>
      </w:r>
      <w:r>
        <w:rPr>
          <w:rFonts w:ascii="Courier New" w:hAnsi="Courier New" w:cs="Courier New"/>
          <w:noProof/>
          <w:sz w:val="20"/>
          <w:szCs w:val="20"/>
        </w:rPr>
        <w:t>from the</w:t>
      </w:r>
      <w:r>
        <w:rPr>
          <w:rFonts w:ascii="Courier New" w:hAnsi="Courier New" w:cs="Courier New" w:hint="eastAsia"/>
          <w:noProof/>
          <w:sz w:val="20"/>
          <w:szCs w:val="20"/>
        </w:rPr>
        <w:t xml:space="preserve"> table TMP_ECL_LANDED_ENQUIRYPOLICYREINS.</w:t>
      </w:r>
    </w:p>
    <w:p w:rsidR="009E4594" w:rsidRPr="009E4594" w:rsidRDefault="009E4594">
      <w:pPr>
        <w:rPr>
          <w:rFonts w:ascii="Verdana" w:hAnsi="Verdana" w:hint="eastAsia"/>
          <w:sz w:val="20"/>
          <w:szCs w:val="20"/>
        </w:rPr>
      </w:pPr>
      <w:r>
        <w:rPr>
          <w:rFonts w:ascii="Courier New" w:hAnsi="Courier New" w:cs="Courier New" w:hint="eastAsia"/>
          <w:noProof/>
          <w:sz w:val="20"/>
          <w:szCs w:val="20"/>
        </w:rPr>
        <w:t>The table is again loaded from Eclipse.</w:t>
      </w:r>
      <w:r w:rsidRPr="009E4594"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sz w:val="20"/>
          <w:szCs w:val="20"/>
        </w:rPr>
        <w:t>ENQUIRYPOLICYREINS</w:t>
      </w:r>
    </w:p>
    <w:p w:rsidR="00295564" w:rsidRDefault="0030613F">
      <w:pPr>
        <w:rPr>
          <w:rFonts w:ascii="Verdana" w:hAnsi="Verdana" w:hint="eastAsia"/>
          <w:b/>
          <w:sz w:val="20"/>
          <w:szCs w:val="20"/>
        </w:rPr>
      </w:pPr>
      <w:r w:rsidRPr="0030613F">
        <w:rPr>
          <w:rFonts w:ascii="Verdana" w:hAnsi="Verdana" w:hint="eastAsia"/>
          <w:b/>
          <w:sz w:val="20"/>
          <w:szCs w:val="20"/>
        </w:rPr>
        <w:t>Period_Type</w:t>
      </w:r>
    </w:p>
    <w:p w:rsidR="0030613F" w:rsidRDefault="0030613F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 xml:space="preserve">Analysis: </w:t>
      </w:r>
    </w:p>
    <w:p w:rsidR="0050292C" w:rsidRDefault="0050292C">
      <w:pPr>
        <w:rPr>
          <w:rFonts w:ascii="Verdana" w:hAnsi="Verdana" w:hint="eastAsia"/>
          <w:sz w:val="20"/>
          <w:szCs w:val="20"/>
        </w:rPr>
      </w:pPr>
      <w:r>
        <w:rPr>
          <w:rFonts w:ascii="Verdana" w:hAnsi="Verdana" w:hint="eastAsia"/>
          <w:sz w:val="20"/>
          <w:szCs w:val="20"/>
        </w:rPr>
        <w:t>Should we place the dataflow for Inw_Contract_organisation by creating new Workflow under the following folder:</w:t>
      </w:r>
      <w:bookmarkStart w:id="0" w:name="_GoBack"/>
      <w:bookmarkEnd w:id="0"/>
    </w:p>
    <w:p w:rsidR="0050292C" w:rsidRPr="0030613F" w:rsidRDefault="0050292C">
      <w:pPr>
        <w:rPr>
          <w:rFonts w:ascii="Verdana" w:hAnsi="Verdana"/>
          <w:sz w:val="20"/>
          <w:szCs w:val="20"/>
        </w:rPr>
      </w:pPr>
      <w:r w:rsidRPr="0050292C">
        <w:rPr>
          <w:rFonts w:ascii="Verdana" w:hAnsi="Verdana"/>
          <w:sz w:val="20"/>
          <w:szCs w:val="20"/>
        </w:rPr>
        <w:t>JOB_KDR_11_Build_Reference_And_KDR_For_Eclipse</w:t>
      </w:r>
      <w:r>
        <w:rPr>
          <w:rFonts w:ascii="Verdana" w:hAnsi="Verdana" w:hint="eastAsia"/>
          <w:sz w:val="20"/>
          <w:szCs w:val="20"/>
        </w:rPr>
        <w:t>-&gt;</w:t>
      </w:r>
      <w:r w:rsidRPr="0050292C">
        <w:rPr>
          <w:rFonts w:ascii="Verdana" w:hAnsi="Verdana"/>
          <w:sz w:val="20"/>
          <w:szCs w:val="20"/>
        </w:rPr>
        <w:t>CND_Unload_Sets_To_Process</w:t>
      </w:r>
      <w:r>
        <w:rPr>
          <w:rFonts w:ascii="Verdana" w:hAnsi="Verdana" w:hint="eastAsia"/>
          <w:sz w:val="20"/>
          <w:szCs w:val="20"/>
        </w:rPr>
        <w:t>-&gt;CND_Load_KDR-&gt;CND_Main_KDR_Load-&gt;</w:t>
      </w:r>
      <w:r w:rsidRPr="0050292C">
        <w:rPr>
          <w:rFonts w:ascii="Verdana" w:hAnsi="Verdana"/>
          <w:sz w:val="20"/>
          <w:szCs w:val="20"/>
        </w:rPr>
        <w:t>WF_KDR_Load_Oldest_Unloaded_Data</w:t>
      </w:r>
      <w:r>
        <w:rPr>
          <w:rFonts w:ascii="Verdana" w:hAnsi="Verdana" w:hint="eastAsia"/>
          <w:sz w:val="20"/>
          <w:szCs w:val="20"/>
        </w:rPr>
        <w:t>-&gt;</w:t>
      </w:r>
      <w:r w:rsidRPr="0050292C">
        <w:rPr>
          <w:rFonts w:ascii="Verdana" w:hAnsi="Verdana"/>
          <w:sz w:val="20"/>
          <w:szCs w:val="20"/>
        </w:rPr>
        <w:t>WF_KDR_BUILD_CONTRACT_DATA</w:t>
      </w:r>
      <w:r>
        <w:rPr>
          <w:rFonts w:ascii="Verdana" w:hAnsi="Verdana" w:hint="eastAsia"/>
          <w:sz w:val="20"/>
          <w:szCs w:val="20"/>
        </w:rPr>
        <w:t>-&gt;</w:t>
      </w:r>
      <w:r w:rsidRPr="0050292C">
        <w:rPr>
          <w:rFonts w:ascii="Verdana" w:hAnsi="Verdana"/>
          <w:sz w:val="20"/>
          <w:szCs w:val="20"/>
        </w:rPr>
        <w:t>WF_KDR_Build_Inw_Contract_Data</w:t>
      </w:r>
      <w:r>
        <w:rPr>
          <w:rFonts w:ascii="Verdana" w:hAnsi="Verdana" w:hint="eastAsia"/>
          <w:sz w:val="20"/>
          <w:szCs w:val="20"/>
        </w:rPr>
        <w:t>-&gt;</w:t>
      </w:r>
      <w:r w:rsidRPr="0050292C">
        <w:rPr>
          <w:rFonts w:ascii="Verdana" w:hAnsi="Verdana"/>
          <w:sz w:val="20"/>
          <w:szCs w:val="20"/>
        </w:rPr>
        <w:t>WF_KDR_Build_Inw_Parallel_Flows</w:t>
      </w:r>
    </w:p>
    <w:sectPr w:rsidR="0050292C" w:rsidRPr="003061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564"/>
    <w:rsid w:val="00295564"/>
    <w:rsid w:val="0030613F"/>
    <w:rsid w:val="003F6AE4"/>
    <w:rsid w:val="0050292C"/>
    <w:rsid w:val="007C4EFC"/>
    <w:rsid w:val="009E4594"/>
    <w:rsid w:val="00E26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Tokio Marine Kiln Insurance Services Ltd</Company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Bhavya Mandekolu</dc:creator>
  <cp:lastModifiedBy>Bhavya Mandekolu</cp:lastModifiedBy>
  <cp:revision>3</cp:revision>
  <dcterms:created xsi:type="dcterms:W3CDTF">2018-08-13T09:58:00Z</dcterms:created>
  <dcterms:modified xsi:type="dcterms:W3CDTF">2018-08-13T11:49:00Z</dcterms:modified>
</cp:coreProperties>
</file>