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E98" w:rsidRPr="00CE6E98" w:rsidRDefault="00CE6E98" w:rsidP="00027F08">
      <w:pPr>
        <w:jc w:val="center"/>
        <w:rPr>
          <w:b/>
        </w:rPr>
      </w:pPr>
      <w:r w:rsidRPr="00CE6E98">
        <w:rPr>
          <w:b/>
        </w:rPr>
        <w:t>KPI Dashboard</w:t>
      </w:r>
    </w:p>
    <w:p w:rsidR="00DB4FD5" w:rsidRPr="00CE6E98" w:rsidRDefault="00CE6E98" w:rsidP="00CE6E98">
      <w:pPr>
        <w:rPr>
          <w:b/>
        </w:rPr>
      </w:pPr>
      <w:r w:rsidRPr="00CE6E98">
        <w:rPr>
          <w:b/>
        </w:rPr>
        <w:t>KPI &amp; Budget Tools</w:t>
      </w:r>
    </w:p>
    <w:tbl>
      <w:tblPr>
        <w:tblStyle w:val="TableGrid"/>
        <w:tblW w:w="9923" w:type="dxa"/>
        <w:tblInd w:w="-289" w:type="dxa"/>
        <w:tblLook w:val="04A0" w:firstRow="1" w:lastRow="0" w:firstColumn="1" w:lastColumn="0" w:noHBand="0" w:noVBand="1"/>
      </w:tblPr>
      <w:tblGrid>
        <w:gridCol w:w="2127"/>
        <w:gridCol w:w="1701"/>
        <w:gridCol w:w="992"/>
        <w:gridCol w:w="993"/>
        <w:gridCol w:w="1075"/>
        <w:gridCol w:w="1014"/>
        <w:gridCol w:w="2021"/>
      </w:tblGrid>
      <w:tr w:rsidR="001D23AC" w:rsidTr="001D23AC">
        <w:tc>
          <w:tcPr>
            <w:tcW w:w="2127" w:type="dxa"/>
            <w:vAlign w:val="center"/>
          </w:tcPr>
          <w:p w:rsidR="00C4490B" w:rsidRPr="00AD64B1" w:rsidRDefault="00C4490B" w:rsidP="00C4490B">
            <w:pPr>
              <w:spacing w:line="480" w:lineRule="auto"/>
              <w:rPr>
                <w:b/>
                <w:bCs/>
              </w:rPr>
            </w:pPr>
            <w:r w:rsidRPr="00AD64B1">
              <w:rPr>
                <w:b/>
                <w:bCs/>
              </w:rPr>
              <w:t>KPI Name</w:t>
            </w:r>
          </w:p>
        </w:tc>
        <w:tc>
          <w:tcPr>
            <w:tcW w:w="1701" w:type="dxa"/>
            <w:vAlign w:val="center"/>
          </w:tcPr>
          <w:p w:rsidR="00C4490B" w:rsidRPr="00AD64B1" w:rsidRDefault="00C4490B" w:rsidP="00C4490B">
            <w:pPr>
              <w:spacing w:line="480" w:lineRule="auto"/>
              <w:rPr>
                <w:b/>
                <w:bCs/>
              </w:rPr>
            </w:pPr>
            <w:r w:rsidRPr="00AD64B1">
              <w:rPr>
                <w:b/>
                <w:bCs/>
              </w:rPr>
              <w:t>Unit of Measure</w:t>
            </w:r>
          </w:p>
        </w:tc>
        <w:tc>
          <w:tcPr>
            <w:tcW w:w="992" w:type="dxa"/>
            <w:vAlign w:val="center"/>
          </w:tcPr>
          <w:p w:rsidR="00C4490B" w:rsidRPr="00AD64B1" w:rsidRDefault="00C4490B" w:rsidP="00C4490B">
            <w:pPr>
              <w:spacing w:line="480" w:lineRule="auto"/>
              <w:rPr>
                <w:b/>
                <w:bCs/>
              </w:rPr>
            </w:pPr>
            <w:r w:rsidRPr="00AD64B1">
              <w:rPr>
                <w:b/>
                <w:bCs/>
              </w:rPr>
              <w:t>Week 1</w:t>
            </w:r>
          </w:p>
        </w:tc>
        <w:tc>
          <w:tcPr>
            <w:tcW w:w="993" w:type="dxa"/>
            <w:vAlign w:val="center"/>
          </w:tcPr>
          <w:p w:rsidR="00C4490B" w:rsidRPr="00AD64B1" w:rsidRDefault="00C4490B" w:rsidP="00C4490B">
            <w:pPr>
              <w:spacing w:line="480" w:lineRule="auto"/>
              <w:rPr>
                <w:b/>
                <w:bCs/>
              </w:rPr>
            </w:pPr>
            <w:r w:rsidRPr="00AD64B1">
              <w:rPr>
                <w:b/>
                <w:bCs/>
              </w:rPr>
              <w:t>Week 2</w:t>
            </w:r>
          </w:p>
        </w:tc>
        <w:tc>
          <w:tcPr>
            <w:tcW w:w="1075" w:type="dxa"/>
            <w:vAlign w:val="center"/>
          </w:tcPr>
          <w:p w:rsidR="00C4490B" w:rsidRPr="00AD64B1" w:rsidRDefault="00C4490B" w:rsidP="00C4490B">
            <w:pPr>
              <w:spacing w:line="480" w:lineRule="auto"/>
              <w:rPr>
                <w:b/>
                <w:bCs/>
              </w:rPr>
            </w:pPr>
            <w:r w:rsidRPr="00AD64B1">
              <w:rPr>
                <w:b/>
                <w:bCs/>
              </w:rPr>
              <w:t>Week 3</w:t>
            </w:r>
          </w:p>
        </w:tc>
        <w:tc>
          <w:tcPr>
            <w:tcW w:w="1014" w:type="dxa"/>
            <w:vAlign w:val="center"/>
          </w:tcPr>
          <w:p w:rsidR="00C4490B" w:rsidRPr="00AD64B1" w:rsidRDefault="00C4490B" w:rsidP="00C4490B">
            <w:pPr>
              <w:spacing w:line="480" w:lineRule="auto"/>
              <w:rPr>
                <w:b/>
                <w:bCs/>
              </w:rPr>
            </w:pPr>
            <w:r w:rsidRPr="00AD64B1">
              <w:rPr>
                <w:b/>
                <w:bCs/>
              </w:rPr>
              <w:t>Week 4</w:t>
            </w:r>
          </w:p>
        </w:tc>
        <w:tc>
          <w:tcPr>
            <w:tcW w:w="2021" w:type="dxa"/>
            <w:vAlign w:val="center"/>
          </w:tcPr>
          <w:p w:rsidR="00C4490B" w:rsidRPr="00AD64B1" w:rsidRDefault="00C4490B" w:rsidP="00C4490B">
            <w:pPr>
              <w:spacing w:line="480" w:lineRule="auto"/>
              <w:rPr>
                <w:b/>
                <w:bCs/>
              </w:rPr>
            </w:pPr>
            <w:r w:rsidRPr="00AD64B1">
              <w:rPr>
                <w:b/>
                <w:bCs/>
              </w:rPr>
              <w:t>Goal/Status</w:t>
            </w:r>
          </w:p>
        </w:tc>
      </w:tr>
      <w:tr w:rsidR="001D23AC" w:rsidTr="001D23AC">
        <w:trPr>
          <w:trHeight w:val="1311"/>
        </w:trPr>
        <w:tc>
          <w:tcPr>
            <w:tcW w:w="2127" w:type="dxa"/>
            <w:vAlign w:val="center"/>
          </w:tcPr>
          <w:p w:rsidR="00C4490B" w:rsidRPr="00AD64B1" w:rsidRDefault="00C4490B" w:rsidP="00C4490B">
            <w:pPr>
              <w:spacing w:line="480" w:lineRule="auto"/>
            </w:pPr>
            <w:r w:rsidRPr="00AD64B1">
              <w:t>Average Ticket Resolution Time</w:t>
            </w:r>
          </w:p>
        </w:tc>
        <w:tc>
          <w:tcPr>
            <w:tcW w:w="1701" w:type="dxa"/>
            <w:vAlign w:val="center"/>
          </w:tcPr>
          <w:p w:rsidR="00C4490B" w:rsidRPr="00AD64B1" w:rsidRDefault="00C4490B" w:rsidP="00C4490B">
            <w:pPr>
              <w:spacing w:line="480" w:lineRule="auto"/>
            </w:pPr>
            <w:r w:rsidRPr="00AD64B1">
              <w:t>Hours</w:t>
            </w:r>
          </w:p>
        </w:tc>
        <w:tc>
          <w:tcPr>
            <w:tcW w:w="992" w:type="dxa"/>
            <w:vAlign w:val="center"/>
          </w:tcPr>
          <w:p w:rsidR="00C4490B" w:rsidRPr="00AD64B1" w:rsidRDefault="00C4490B" w:rsidP="00C4490B">
            <w:pPr>
              <w:spacing w:line="480" w:lineRule="auto"/>
            </w:pPr>
            <w:r w:rsidRPr="00AD64B1">
              <w:t>5.0</w:t>
            </w:r>
          </w:p>
        </w:tc>
        <w:tc>
          <w:tcPr>
            <w:tcW w:w="993" w:type="dxa"/>
            <w:vAlign w:val="center"/>
          </w:tcPr>
          <w:p w:rsidR="00C4490B" w:rsidRPr="00AD64B1" w:rsidRDefault="00C4490B" w:rsidP="00C4490B">
            <w:pPr>
              <w:spacing w:line="480" w:lineRule="auto"/>
            </w:pPr>
            <w:r w:rsidRPr="00AD64B1">
              <w:t>4.5</w:t>
            </w:r>
          </w:p>
        </w:tc>
        <w:tc>
          <w:tcPr>
            <w:tcW w:w="1075" w:type="dxa"/>
            <w:vAlign w:val="center"/>
          </w:tcPr>
          <w:p w:rsidR="00C4490B" w:rsidRPr="00AD64B1" w:rsidRDefault="00C4490B" w:rsidP="00C4490B">
            <w:pPr>
              <w:spacing w:line="480" w:lineRule="auto"/>
            </w:pPr>
            <w:r w:rsidRPr="00AD64B1">
              <w:t>3.9</w:t>
            </w:r>
          </w:p>
        </w:tc>
        <w:tc>
          <w:tcPr>
            <w:tcW w:w="1014" w:type="dxa"/>
            <w:vAlign w:val="center"/>
          </w:tcPr>
          <w:p w:rsidR="00C4490B" w:rsidRPr="00AD64B1" w:rsidRDefault="00C4490B" w:rsidP="00C4490B">
            <w:pPr>
              <w:spacing w:line="480" w:lineRule="auto"/>
            </w:pPr>
            <w:r w:rsidRPr="00AD64B1">
              <w:t>3.5</w:t>
            </w:r>
          </w:p>
        </w:tc>
        <w:tc>
          <w:tcPr>
            <w:tcW w:w="2021" w:type="dxa"/>
            <w:vAlign w:val="center"/>
          </w:tcPr>
          <w:p w:rsidR="00C4490B" w:rsidRPr="00AD64B1" w:rsidRDefault="00C4490B" w:rsidP="00C4490B">
            <w:pPr>
              <w:spacing w:line="480" w:lineRule="auto"/>
            </w:pPr>
            <w:r w:rsidRPr="00AD64B1">
              <w:t xml:space="preserve">Goal: Under 4 hrs </w:t>
            </w:r>
            <w:r w:rsidRPr="004F043D">
              <w:t xml:space="preserve">– </w:t>
            </w:r>
            <w:r w:rsidRPr="004F043D">
              <w:rPr>
                <w:iCs/>
              </w:rPr>
              <w:t>Met</w:t>
            </w:r>
          </w:p>
        </w:tc>
      </w:tr>
      <w:tr w:rsidR="001D23AC" w:rsidTr="001D23AC">
        <w:tc>
          <w:tcPr>
            <w:tcW w:w="2127" w:type="dxa"/>
            <w:vAlign w:val="center"/>
          </w:tcPr>
          <w:p w:rsidR="00C4490B" w:rsidRPr="00AD64B1" w:rsidRDefault="00C4490B" w:rsidP="00C4490B">
            <w:pPr>
              <w:spacing w:line="480" w:lineRule="auto"/>
            </w:pPr>
            <w:r w:rsidRPr="00AD64B1">
              <w:t>First Contact Resolution Rate</w:t>
            </w:r>
          </w:p>
        </w:tc>
        <w:tc>
          <w:tcPr>
            <w:tcW w:w="1701" w:type="dxa"/>
            <w:vAlign w:val="center"/>
          </w:tcPr>
          <w:p w:rsidR="00C4490B" w:rsidRPr="00AD64B1" w:rsidRDefault="00C4490B" w:rsidP="00C4490B">
            <w:pPr>
              <w:spacing w:line="480" w:lineRule="auto"/>
            </w:pPr>
            <w:r w:rsidRPr="00AD64B1">
              <w:t>Percent (%)</w:t>
            </w:r>
          </w:p>
        </w:tc>
        <w:tc>
          <w:tcPr>
            <w:tcW w:w="992" w:type="dxa"/>
            <w:vAlign w:val="center"/>
          </w:tcPr>
          <w:p w:rsidR="00C4490B" w:rsidRPr="00AD64B1" w:rsidRDefault="00C4490B" w:rsidP="00C4490B">
            <w:pPr>
              <w:spacing w:line="480" w:lineRule="auto"/>
            </w:pPr>
            <w:r w:rsidRPr="00AD64B1">
              <w:t>68%</w:t>
            </w:r>
          </w:p>
        </w:tc>
        <w:tc>
          <w:tcPr>
            <w:tcW w:w="993" w:type="dxa"/>
            <w:vAlign w:val="center"/>
          </w:tcPr>
          <w:p w:rsidR="00C4490B" w:rsidRPr="00AD64B1" w:rsidRDefault="00C4490B" w:rsidP="00C4490B">
            <w:pPr>
              <w:spacing w:line="480" w:lineRule="auto"/>
            </w:pPr>
            <w:r w:rsidRPr="00AD64B1">
              <w:t>72%</w:t>
            </w:r>
          </w:p>
        </w:tc>
        <w:tc>
          <w:tcPr>
            <w:tcW w:w="1075" w:type="dxa"/>
            <w:vAlign w:val="center"/>
          </w:tcPr>
          <w:p w:rsidR="00C4490B" w:rsidRPr="00AD64B1" w:rsidRDefault="00C4490B" w:rsidP="00C4490B">
            <w:pPr>
              <w:spacing w:line="480" w:lineRule="auto"/>
            </w:pPr>
            <w:r w:rsidRPr="00AD64B1">
              <w:t>76%</w:t>
            </w:r>
          </w:p>
        </w:tc>
        <w:tc>
          <w:tcPr>
            <w:tcW w:w="1014" w:type="dxa"/>
            <w:vAlign w:val="center"/>
          </w:tcPr>
          <w:p w:rsidR="00C4490B" w:rsidRPr="00AD64B1" w:rsidRDefault="00C4490B" w:rsidP="00C4490B">
            <w:pPr>
              <w:spacing w:line="480" w:lineRule="auto"/>
            </w:pPr>
            <w:r w:rsidRPr="00AD64B1">
              <w:t>81%</w:t>
            </w:r>
          </w:p>
        </w:tc>
        <w:tc>
          <w:tcPr>
            <w:tcW w:w="2021" w:type="dxa"/>
            <w:vAlign w:val="center"/>
          </w:tcPr>
          <w:p w:rsidR="00C4490B" w:rsidRPr="00AD64B1" w:rsidRDefault="00C4490B" w:rsidP="00C4490B">
            <w:pPr>
              <w:spacing w:line="480" w:lineRule="auto"/>
            </w:pPr>
            <w:r w:rsidRPr="00AD64B1">
              <w:t xml:space="preserve">Goal: 75% – </w:t>
            </w:r>
            <w:r w:rsidRPr="004F043D">
              <w:rPr>
                <w:iCs/>
              </w:rPr>
              <w:t>Improving</w:t>
            </w:r>
          </w:p>
        </w:tc>
      </w:tr>
      <w:tr w:rsidR="001D23AC" w:rsidTr="001D23AC">
        <w:tc>
          <w:tcPr>
            <w:tcW w:w="2127" w:type="dxa"/>
            <w:vAlign w:val="center"/>
          </w:tcPr>
          <w:p w:rsidR="00C4490B" w:rsidRPr="00AD64B1" w:rsidRDefault="00C4490B" w:rsidP="00C4490B">
            <w:pPr>
              <w:spacing w:line="480" w:lineRule="auto"/>
            </w:pPr>
            <w:r w:rsidRPr="00AD64B1">
              <w:t>Customer Satisfaction Score</w:t>
            </w:r>
          </w:p>
        </w:tc>
        <w:tc>
          <w:tcPr>
            <w:tcW w:w="1701" w:type="dxa"/>
            <w:vAlign w:val="center"/>
          </w:tcPr>
          <w:p w:rsidR="00C4490B" w:rsidRPr="00AD64B1" w:rsidRDefault="00C4490B" w:rsidP="00C4490B">
            <w:pPr>
              <w:spacing w:line="480" w:lineRule="auto"/>
            </w:pPr>
            <w:r w:rsidRPr="00AD64B1">
              <w:t>Percent (%)</w:t>
            </w:r>
          </w:p>
        </w:tc>
        <w:tc>
          <w:tcPr>
            <w:tcW w:w="992" w:type="dxa"/>
            <w:vAlign w:val="center"/>
          </w:tcPr>
          <w:p w:rsidR="00C4490B" w:rsidRPr="00AD64B1" w:rsidRDefault="00C4490B" w:rsidP="00C4490B">
            <w:pPr>
              <w:spacing w:line="480" w:lineRule="auto"/>
            </w:pPr>
            <w:r w:rsidRPr="00AD64B1">
              <w:t>85%</w:t>
            </w:r>
          </w:p>
        </w:tc>
        <w:tc>
          <w:tcPr>
            <w:tcW w:w="993" w:type="dxa"/>
            <w:vAlign w:val="center"/>
          </w:tcPr>
          <w:p w:rsidR="00C4490B" w:rsidRPr="00AD64B1" w:rsidRDefault="00C4490B" w:rsidP="00C4490B">
            <w:pPr>
              <w:spacing w:line="480" w:lineRule="auto"/>
            </w:pPr>
            <w:r w:rsidRPr="00AD64B1">
              <w:t>88%</w:t>
            </w:r>
          </w:p>
        </w:tc>
        <w:tc>
          <w:tcPr>
            <w:tcW w:w="1075" w:type="dxa"/>
            <w:vAlign w:val="center"/>
          </w:tcPr>
          <w:p w:rsidR="00C4490B" w:rsidRPr="00AD64B1" w:rsidRDefault="00C4490B" w:rsidP="00C4490B">
            <w:pPr>
              <w:spacing w:line="480" w:lineRule="auto"/>
            </w:pPr>
            <w:r w:rsidRPr="00AD64B1">
              <w:t>89%</w:t>
            </w:r>
          </w:p>
        </w:tc>
        <w:tc>
          <w:tcPr>
            <w:tcW w:w="1014" w:type="dxa"/>
            <w:vAlign w:val="center"/>
          </w:tcPr>
          <w:p w:rsidR="00C4490B" w:rsidRPr="00AD64B1" w:rsidRDefault="00C4490B" w:rsidP="00C4490B">
            <w:pPr>
              <w:spacing w:line="480" w:lineRule="auto"/>
            </w:pPr>
            <w:r w:rsidRPr="00AD64B1">
              <w:t>91%</w:t>
            </w:r>
          </w:p>
        </w:tc>
        <w:tc>
          <w:tcPr>
            <w:tcW w:w="2021" w:type="dxa"/>
            <w:vAlign w:val="center"/>
          </w:tcPr>
          <w:p w:rsidR="00C4490B" w:rsidRPr="00AD64B1" w:rsidRDefault="00C4490B" w:rsidP="00C4490B">
            <w:pPr>
              <w:spacing w:line="480" w:lineRule="auto"/>
            </w:pPr>
            <w:r w:rsidRPr="00AD64B1">
              <w:t xml:space="preserve">Goal: 90% – </w:t>
            </w:r>
            <w:r w:rsidRPr="004F043D">
              <w:rPr>
                <w:iCs/>
              </w:rPr>
              <w:t>Met</w:t>
            </w:r>
          </w:p>
        </w:tc>
      </w:tr>
    </w:tbl>
    <w:p w:rsidR="00AD64B1" w:rsidRDefault="00AD64B1"/>
    <w:p w:rsidR="00CE6E98" w:rsidRDefault="00AE7D23">
      <w:r w:rsidRPr="00AE7D23">
        <w:t>The information presents an active simulation of a helpdesk organization team setting, with optimization of its operations translating into quantifiable performance outcomes. It is commendable to note that resolution times have continued to improve, largely due to enhancements in triage procedures and the efficiency of the escalation matrix (Lindblom, 2024). These modifications ensure that problems are directed to the right person and solved at the appropriate technical level without wasting time. The rate of First Contact Resolution (FCR) has recorded a sharp increase. This is directly due to the systematic organization of training for frontline units, as well as the standardization of knowledge base articles, which provide the agent with the correct information readily available at their fingertips (Moreno-</w:t>
      </w:r>
      <w:proofErr w:type="spellStart"/>
      <w:r w:rsidRPr="00AE7D23">
        <w:t>Maynero</w:t>
      </w:r>
      <w:proofErr w:type="spellEnd"/>
      <w:r w:rsidRPr="00AE7D23">
        <w:t xml:space="preserve"> et al., 2025). All these efforts jointly lead to a more convenient and client-oriented support process.</w:t>
      </w:r>
      <w:bookmarkStart w:id="0" w:name="_GoBack"/>
      <w:bookmarkEnd w:id="0"/>
      <w:r w:rsidR="00CE6E98">
        <w:br w:type="page"/>
      </w:r>
    </w:p>
    <w:p w:rsidR="00AD64B1" w:rsidRPr="00A53023" w:rsidRDefault="00CE6E98" w:rsidP="00CE6E98">
      <w:pPr>
        <w:jc w:val="center"/>
        <w:rPr>
          <w:b/>
        </w:rPr>
      </w:pPr>
      <w:r w:rsidRPr="00A53023">
        <w:rPr>
          <w:b/>
        </w:rPr>
        <w:lastRenderedPageBreak/>
        <w:t>References</w:t>
      </w:r>
    </w:p>
    <w:p w:rsidR="00A53023" w:rsidRDefault="00A53023" w:rsidP="00A53023">
      <w:pPr>
        <w:ind w:left="720" w:hanging="720"/>
      </w:pPr>
      <w:r w:rsidRPr="00DC00F6">
        <w:t>Lindblom, R. (2024). The impact of a ticketing system on the efficiency of help desk.</w:t>
      </w:r>
      <w:r>
        <w:t xml:space="preserve"> </w:t>
      </w:r>
      <w:hyperlink r:id="rId4" w:history="1">
        <w:r w:rsidRPr="003E0918">
          <w:rPr>
            <w:rStyle w:val="Hyperlink"/>
          </w:rPr>
          <w:t>https://www.theseus.fi/handle/10024/868113</w:t>
        </w:r>
      </w:hyperlink>
      <w:r>
        <w:t xml:space="preserve"> </w:t>
      </w:r>
    </w:p>
    <w:p w:rsidR="00A53023" w:rsidRDefault="00A53023" w:rsidP="00A53023">
      <w:pPr>
        <w:ind w:left="720" w:hanging="720"/>
      </w:pPr>
      <w:r w:rsidRPr="00AD4658">
        <w:t>Moreno-</w:t>
      </w:r>
      <w:proofErr w:type="spellStart"/>
      <w:r w:rsidRPr="00AD4658">
        <w:t>Maynero</w:t>
      </w:r>
      <w:proofErr w:type="spellEnd"/>
      <w:r w:rsidRPr="00AD4658">
        <w:t>, L., Gallardo-Garcia, J., Pagan-</w:t>
      </w:r>
      <w:proofErr w:type="spellStart"/>
      <w:r w:rsidRPr="00AD4658">
        <w:t>Castaño</w:t>
      </w:r>
      <w:proofErr w:type="spellEnd"/>
      <w:r w:rsidRPr="00AD4658">
        <w:t xml:space="preserve">, E., &amp; </w:t>
      </w:r>
      <w:proofErr w:type="spellStart"/>
      <w:r w:rsidRPr="00AD4658">
        <w:t>Guijarro</w:t>
      </w:r>
      <w:proofErr w:type="spellEnd"/>
      <w:r w:rsidRPr="00AD4658">
        <w:t>-Garcia, M. (2025). Impact of customer tenure on customer strategy. </w:t>
      </w:r>
      <w:r w:rsidRPr="00AD4658">
        <w:rPr>
          <w:i/>
          <w:iCs/>
        </w:rPr>
        <w:t>Management Decision</w:t>
      </w:r>
      <w:r w:rsidRPr="00AD4658">
        <w:t>.</w:t>
      </w:r>
      <w:r>
        <w:t xml:space="preserve"> </w:t>
      </w:r>
      <w:hyperlink r:id="rId5" w:history="1">
        <w:r w:rsidRPr="003E0918">
          <w:rPr>
            <w:rStyle w:val="Hyperlink"/>
          </w:rPr>
          <w:t>https://www.emerald.com/insight/content/doi/10.1108/MD-04-2024-0885/full/html</w:t>
        </w:r>
      </w:hyperlink>
      <w:r>
        <w:t xml:space="preserve"> </w:t>
      </w:r>
    </w:p>
    <w:sectPr w:rsidR="00A53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EB"/>
    <w:rsid w:val="00027F08"/>
    <w:rsid w:val="0004658F"/>
    <w:rsid w:val="00082764"/>
    <w:rsid w:val="00155BD9"/>
    <w:rsid w:val="001D23AC"/>
    <w:rsid w:val="002103AA"/>
    <w:rsid w:val="004F043D"/>
    <w:rsid w:val="00516FEB"/>
    <w:rsid w:val="00555472"/>
    <w:rsid w:val="005E6D7E"/>
    <w:rsid w:val="00673B4D"/>
    <w:rsid w:val="007163E3"/>
    <w:rsid w:val="00763031"/>
    <w:rsid w:val="007E1E8B"/>
    <w:rsid w:val="00A34E24"/>
    <w:rsid w:val="00A53023"/>
    <w:rsid w:val="00A822DB"/>
    <w:rsid w:val="00AD4658"/>
    <w:rsid w:val="00AD64B1"/>
    <w:rsid w:val="00AE7D23"/>
    <w:rsid w:val="00AF59E4"/>
    <w:rsid w:val="00C4490B"/>
    <w:rsid w:val="00C54B4B"/>
    <w:rsid w:val="00C751D6"/>
    <w:rsid w:val="00CC135B"/>
    <w:rsid w:val="00CE6E98"/>
    <w:rsid w:val="00DC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ED259"/>
  <w15:chartTrackingRefBased/>
  <w15:docId w15:val="{EAF50BBD-0B05-4763-BBA8-DEDF75A1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9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0F6"/>
    <w:rPr>
      <w:color w:val="0563C1" w:themeColor="hyperlink"/>
      <w:u w:val="single"/>
    </w:rPr>
  </w:style>
  <w:style w:type="character" w:styleId="UnresolvedMention">
    <w:name w:val="Unresolved Mention"/>
    <w:basedOn w:val="DefaultParagraphFont"/>
    <w:uiPriority w:val="99"/>
    <w:semiHidden/>
    <w:unhideWhenUsed/>
    <w:rsid w:val="00DC0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11595">
      <w:bodyDiv w:val="1"/>
      <w:marLeft w:val="0"/>
      <w:marRight w:val="0"/>
      <w:marTop w:val="0"/>
      <w:marBottom w:val="0"/>
      <w:divBdr>
        <w:top w:val="none" w:sz="0" w:space="0" w:color="auto"/>
        <w:left w:val="none" w:sz="0" w:space="0" w:color="auto"/>
        <w:bottom w:val="none" w:sz="0" w:space="0" w:color="auto"/>
        <w:right w:val="none" w:sz="0" w:space="0" w:color="auto"/>
      </w:divBdr>
    </w:div>
    <w:div w:id="901018720">
      <w:bodyDiv w:val="1"/>
      <w:marLeft w:val="0"/>
      <w:marRight w:val="0"/>
      <w:marTop w:val="0"/>
      <w:marBottom w:val="0"/>
      <w:divBdr>
        <w:top w:val="none" w:sz="0" w:space="0" w:color="auto"/>
        <w:left w:val="none" w:sz="0" w:space="0" w:color="auto"/>
        <w:bottom w:val="none" w:sz="0" w:space="0" w:color="auto"/>
        <w:right w:val="none" w:sz="0" w:space="0" w:color="auto"/>
      </w:divBdr>
    </w:div>
    <w:div w:id="1204052796">
      <w:bodyDiv w:val="1"/>
      <w:marLeft w:val="0"/>
      <w:marRight w:val="0"/>
      <w:marTop w:val="0"/>
      <w:marBottom w:val="0"/>
      <w:divBdr>
        <w:top w:val="none" w:sz="0" w:space="0" w:color="auto"/>
        <w:left w:val="none" w:sz="0" w:space="0" w:color="auto"/>
        <w:bottom w:val="none" w:sz="0" w:space="0" w:color="auto"/>
        <w:right w:val="none" w:sz="0" w:space="0" w:color="auto"/>
      </w:divBdr>
    </w:div>
    <w:div w:id="1684816101">
      <w:bodyDiv w:val="1"/>
      <w:marLeft w:val="0"/>
      <w:marRight w:val="0"/>
      <w:marTop w:val="0"/>
      <w:marBottom w:val="0"/>
      <w:divBdr>
        <w:top w:val="none" w:sz="0" w:space="0" w:color="auto"/>
        <w:left w:val="none" w:sz="0" w:space="0" w:color="auto"/>
        <w:bottom w:val="none" w:sz="0" w:space="0" w:color="auto"/>
        <w:right w:val="none" w:sz="0" w:space="0" w:color="auto"/>
      </w:divBdr>
    </w:div>
    <w:div w:id="1775442276">
      <w:bodyDiv w:val="1"/>
      <w:marLeft w:val="0"/>
      <w:marRight w:val="0"/>
      <w:marTop w:val="0"/>
      <w:marBottom w:val="0"/>
      <w:divBdr>
        <w:top w:val="none" w:sz="0" w:space="0" w:color="auto"/>
        <w:left w:val="none" w:sz="0" w:space="0" w:color="auto"/>
        <w:bottom w:val="none" w:sz="0" w:space="0" w:color="auto"/>
        <w:right w:val="none" w:sz="0" w:space="0" w:color="auto"/>
      </w:divBdr>
    </w:div>
    <w:div w:id="21231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merald.com/insight/content/doi/10.1108/MD-04-2024-0885/full/html" TargetMode="External"/><Relationship Id="rId4" Type="http://schemas.openxmlformats.org/officeDocument/2006/relationships/hyperlink" Target="https://www.theseus.fi/handle/10024/868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225</Words>
  <Characters>1572</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22</cp:revision>
  <dcterms:created xsi:type="dcterms:W3CDTF">2025-07-03T05:47:00Z</dcterms:created>
  <dcterms:modified xsi:type="dcterms:W3CDTF">2025-07-03T08:44:00Z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2ef88e90-b342-40f5-981a-0781b69e6ae6</vt:lpwstr>
  </property>
</Properties>
</file>