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4FD5" w:rsidRPr="00874E5E" w:rsidRDefault="005546DB" w:rsidP="00874E5E">
      <w:pPr>
        <w:jc w:val="center"/>
        <w:rPr>
          <w:b/>
        </w:rPr>
      </w:pPr>
      <w:r w:rsidRPr="00874E5E">
        <w:rPr>
          <w:b/>
        </w:rPr>
        <w:t>Mini Budget Plan</w:t>
      </w:r>
    </w:p>
    <w:tbl>
      <w:tblPr>
        <w:tblStyle w:val="TableGrid"/>
        <w:tblW w:w="0" w:type="auto"/>
        <w:tblLook w:val="04A0" w:firstRow="1" w:lastRow="0" w:firstColumn="1" w:lastColumn="0" w:noHBand="0" w:noVBand="1"/>
      </w:tblPr>
      <w:tblGrid>
        <w:gridCol w:w="2254"/>
        <w:gridCol w:w="2254"/>
        <w:gridCol w:w="2254"/>
        <w:gridCol w:w="2254"/>
      </w:tblGrid>
      <w:tr w:rsidR="007D08B1" w:rsidTr="00521745">
        <w:tc>
          <w:tcPr>
            <w:tcW w:w="2254" w:type="dxa"/>
            <w:vAlign w:val="center"/>
          </w:tcPr>
          <w:p w:rsidR="007D08B1" w:rsidRPr="007D08B1" w:rsidRDefault="007D08B1" w:rsidP="007D08B1">
            <w:pPr>
              <w:jc w:val="center"/>
              <w:rPr>
                <w:rFonts w:eastAsia="Times New Roman" w:cs="Times New Roman"/>
                <w:b/>
                <w:bCs/>
                <w:szCs w:val="24"/>
                <w:lang w:eastAsia="en-IN"/>
              </w:rPr>
            </w:pPr>
            <w:r w:rsidRPr="007D08B1">
              <w:rPr>
                <w:rFonts w:eastAsia="Times New Roman" w:cs="Times New Roman"/>
                <w:b/>
                <w:bCs/>
                <w:szCs w:val="24"/>
                <w:lang w:eastAsia="en-IN"/>
              </w:rPr>
              <w:t>Category</w:t>
            </w:r>
          </w:p>
        </w:tc>
        <w:tc>
          <w:tcPr>
            <w:tcW w:w="2254" w:type="dxa"/>
            <w:vAlign w:val="center"/>
          </w:tcPr>
          <w:p w:rsidR="007D08B1" w:rsidRPr="007D08B1" w:rsidRDefault="007D08B1" w:rsidP="007D08B1">
            <w:pPr>
              <w:jc w:val="center"/>
              <w:rPr>
                <w:rFonts w:eastAsia="Times New Roman" w:cs="Times New Roman"/>
                <w:b/>
                <w:bCs/>
                <w:szCs w:val="24"/>
                <w:lang w:eastAsia="en-IN"/>
              </w:rPr>
            </w:pPr>
            <w:r w:rsidRPr="007D08B1">
              <w:rPr>
                <w:rFonts w:eastAsia="Times New Roman" w:cs="Times New Roman"/>
                <w:b/>
                <w:bCs/>
                <w:szCs w:val="24"/>
                <w:lang w:eastAsia="en-IN"/>
              </w:rPr>
              <w:t>Item</w:t>
            </w:r>
          </w:p>
        </w:tc>
        <w:tc>
          <w:tcPr>
            <w:tcW w:w="2254" w:type="dxa"/>
            <w:vAlign w:val="center"/>
          </w:tcPr>
          <w:p w:rsidR="007D08B1" w:rsidRPr="007D08B1" w:rsidRDefault="007D08B1" w:rsidP="007D08B1">
            <w:pPr>
              <w:jc w:val="center"/>
              <w:rPr>
                <w:rFonts w:eastAsia="Times New Roman" w:cs="Times New Roman"/>
                <w:b/>
                <w:bCs/>
                <w:szCs w:val="24"/>
                <w:lang w:eastAsia="en-IN"/>
              </w:rPr>
            </w:pPr>
            <w:r w:rsidRPr="007D08B1">
              <w:rPr>
                <w:rFonts w:eastAsia="Times New Roman" w:cs="Times New Roman"/>
                <w:b/>
                <w:bCs/>
                <w:szCs w:val="24"/>
                <w:lang w:eastAsia="en-IN"/>
              </w:rPr>
              <w:t>Monthly Cost</w:t>
            </w:r>
          </w:p>
        </w:tc>
        <w:tc>
          <w:tcPr>
            <w:tcW w:w="2254" w:type="dxa"/>
            <w:vAlign w:val="center"/>
          </w:tcPr>
          <w:p w:rsidR="007D08B1" w:rsidRPr="007D08B1" w:rsidRDefault="007D08B1" w:rsidP="007D08B1">
            <w:pPr>
              <w:jc w:val="center"/>
              <w:rPr>
                <w:rFonts w:eastAsia="Times New Roman" w:cs="Times New Roman"/>
                <w:b/>
                <w:bCs/>
                <w:szCs w:val="24"/>
                <w:lang w:eastAsia="en-IN"/>
              </w:rPr>
            </w:pPr>
            <w:r w:rsidRPr="007D08B1">
              <w:rPr>
                <w:rFonts w:eastAsia="Times New Roman" w:cs="Times New Roman"/>
                <w:b/>
                <w:bCs/>
                <w:szCs w:val="24"/>
                <w:lang w:eastAsia="en-IN"/>
              </w:rPr>
              <w:t>Purpose</w:t>
            </w:r>
          </w:p>
        </w:tc>
      </w:tr>
      <w:tr w:rsidR="007D08B1" w:rsidTr="00521745">
        <w:tc>
          <w:tcPr>
            <w:tcW w:w="2254" w:type="dxa"/>
            <w:vAlign w:val="center"/>
          </w:tcPr>
          <w:p w:rsidR="007D08B1" w:rsidRPr="007D08B1" w:rsidRDefault="007D08B1" w:rsidP="007D08B1">
            <w:pPr>
              <w:rPr>
                <w:rFonts w:eastAsia="Times New Roman" w:cs="Times New Roman"/>
                <w:szCs w:val="24"/>
                <w:lang w:eastAsia="en-IN"/>
              </w:rPr>
            </w:pPr>
            <w:r w:rsidRPr="007D08B1">
              <w:rPr>
                <w:rFonts w:eastAsia="Times New Roman" w:cs="Times New Roman"/>
                <w:szCs w:val="24"/>
                <w:lang w:eastAsia="en-IN"/>
              </w:rPr>
              <w:t>Software</w:t>
            </w:r>
          </w:p>
        </w:tc>
        <w:tc>
          <w:tcPr>
            <w:tcW w:w="2254" w:type="dxa"/>
            <w:vAlign w:val="center"/>
          </w:tcPr>
          <w:p w:rsidR="007D08B1" w:rsidRPr="007D08B1" w:rsidRDefault="007D08B1" w:rsidP="007D08B1">
            <w:pPr>
              <w:rPr>
                <w:rFonts w:eastAsia="Times New Roman" w:cs="Times New Roman"/>
                <w:szCs w:val="24"/>
                <w:lang w:eastAsia="en-IN"/>
              </w:rPr>
            </w:pPr>
            <w:r w:rsidRPr="007D08B1">
              <w:rPr>
                <w:rFonts w:eastAsia="Times New Roman" w:cs="Times New Roman"/>
                <w:szCs w:val="24"/>
                <w:lang w:eastAsia="en-IN"/>
              </w:rPr>
              <w:t>Zoom Pro Licenses (5)</w:t>
            </w:r>
          </w:p>
        </w:tc>
        <w:tc>
          <w:tcPr>
            <w:tcW w:w="2254" w:type="dxa"/>
            <w:vAlign w:val="center"/>
          </w:tcPr>
          <w:p w:rsidR="007D08B1" w:rsidRPr="007D08B1" w:rsidRDefault="007D08B1" w:rsidP="007D08B1">
            <w:pPr>
              <w:rPr>
                <w:rFonts w:eastAsia="Times New Roman" w:cs="Times New Roman"/>
                <w:szCs w:val="24"/>
                <w:lang w:eastAsia="en-IN"/>
              </w:rPr>
            </w:pPr>
            <w:r w:rsidRPr="007D08B1">
              <w:rPr>
                <w:rFonts w:eastAsia="Times New Roman" w:cs="Times New Roman"/>
                <w:szCs w:val="24"/>
                <w:lang w:eastAsia="en-IN"/>
              </w:rPr>
              <w:t>$75</w:t>
            </w:r>
          </w:p>
        </w:tc>
        <w:tc>
          <w:tcPr>
            <w:tcW w:w="2254" w:type="dxa"/>
            <w:vAlign w:val="center"/>
          </w:tcPr>
          <w:p w:rsidR="007D08B1" w:rsidRPr="007D08B1" w:rsidRDefault="007D08B1" w:rsidP="007D08B1">
            <w:pPr>
              <w:rPr>
                <w:rFonts w:eastAsia="Times New Roman" w:cs="Times New Roman"/>
                <w:szCs w:val="24"/>
                <w:lang w:eastAsia="en-IN"/>
              </w:rPr>
            </w:pPr>
            <w:r w:rsidRPr="007D08B1">
              <w:rPr>
                <w:rFonts w:eastAsia="Times New Roman" w:cs="Times New Roman"/>
                <w:szCs w:val="24"/>
                <w:lang w:eastAsia="en-IN"/>
              </w:rPr>
              <w:t>For internal meetings and remote troubleshooting sessions</w:t>
            </w:r>
          </w:p>
        </w:tc>
      </w:tr>
      <w:tr w:rsidR="007D08B1" w:rsidTr="00521745">
        <w:tc>
          <w:tcPr>
            <w:tcW w:w="2254" w:type="dxa"/>
            <w:vAlign w:val="center"/>
          </w:tcPr>
          <w:p w:rsidR="007D08B1" w:rsidRPr="007D08B1" w:rsidRDefault="007D08B1" w:rsidP="007D08B1">
            <w:pPr>
              <w:rPr>
                <w:rFonts w:eastAsia="Times New Roman" w:cs="Times New Roman"/>
                <w:szCs w:val="24"/>
                <w:lang w:eastAsia="en-IN"/>
              </w:rPr>
            </w:pPr>
            <w:r w:rsidRPr="007D08B1">
              <w:rPr>
                <w:rFonts w:eastAsia="Times New Roman" w:cs="Times New Roman"/>
                <w:szCs w:val="24"/>
                <w:lang w:eastAsia="en-IN"/>
              </w:rPr>
              <w:t>Training</w:t>
            </w:r>
          </w:p>
        </w:tc>
        <w:tc>
          <w:tcPr>
            <w:tcW w:w="2254" w:type="dxa"/>
            <w:vAlign w:val="center"/>
          </w:tcPr>
          <w:p w:rsidR="007D08B1" w:rsidRPr="007D08B1" w:rsidRDefault="007D08B1" w:rsidP="007D08B1">
            <w:pPr>
              <w:rPr>
                <w:rFonts w:eastAsia="Times New Roman" w:cs="Times New Roman"/>
                <w:szCs w:val="24"/>
                <w:lang w:eastAsia="en-IN"/>
              </w:rPr>
            </w:pPr>
            <w:r w:rsidRPr="007D08B1">
              <w:rPr>
                <w:rFonts w:eastAsia="Times New Roman" w:cs="Times New Roman"/>
                <w:szCs w:val="24"/>
                <w:lang w:eastAsia="en-IN"/>
              </w:rPr>
              <w:t>CompTIA ITIL Certification (2 staff)</w:t>
            </w:r>
          </w:p>
        </w:tc>
        <w:tc>
          <w:tcPr>
            <w:tcW w:w="2254" w:type="dxa"/>
            <w:vAlign w:val="center"/>
          </w:tcPr>
          <w:p w:rsidR="007D08B1" w:rsidRPr="007D08B1" w:rsidRDefault="007D08B1" w:rsidP="007D08B1">
            <w:pPr>
              <w:rPr>
                <w:rFonts w:eastAsia="Times New Roman" w:cs="Times New Roman"/>
                <w:szCs w:val="24"/>
                <w:lang w:eastAsia="en-IN"/>
              </w:rPr>
            </w:pPr>
            <w:r w:rsidRPr="007D08B1">
              <w:rPr>
                <w:rFonts w:eastAsia="Times New Roman" w:cs="Times New Roman"/>
                <w:szCs w:val="24"/>
                <w:lang w:eastAsia="en-IN"/>
              </w:rPr>
              <w:t>$300</w:t>
            </w:r>
          </w:p>
        </w:tc>
        <w:tc>
          <w:tcPr>
            <w:tcW w:w="2254" w:type="dxa"/>
            <w:vAlign w:val="center"/>
          </w:tcPr>
          <w:p w:rsidR="007D08B1" w:rsidRPr="007D08B1" w:rsidRDefault="007D08B1" w:rsidP="007D08B1">
            <w:pPr>
              <w:rPr>
                <w:rFonts w:eastAsia="Times New Roman" w:cs="Times New Roman"/>
                <w:szCs w:val="24"/>
                <w:lang w:eastAsia="en-IN"/>
              </w:rPr>
            </w:pPr>
            <w:r w:rsidRPr="007D08B1">
              <w:rPr>
                <w:rFonts w:eastAsia="Times New Roman" w:cs="Times New Roman"/>
                <w:szCs w:val="24"/>
                <w:lang w:eastAsia="en-IN"/>
              </w:rPr>
              <w:t>Upskill team on IT service management best practices</w:t>
            </w:r>
          </w:p>
        </w:tc>
      </w:tr>
      <w:tr w:rsidR="007D08B1" w:rsidTr="00521745">
        <w:tc>
          <w:tcPr>
            <w:tcW w:w="2254" w:type="dxa"/>
            <w:vAlign w:val="center"/>
          </w:tcPr>
          <w:p w:rsidR="007D08B1" w:rsidRPr="007D08B1" w:rsidRDefault="007D08B1" w:rsidP="007D08B1">
            <w:pPr>
              <w:rPr>
                <w:rFonts w:eastAsia="Times New Roman" w:cs="Times New Roman"/>
                <w:szCs w:val="24"/>
                <w:lang w:eastAsia="en-IN"/>
              </w:rPr>
            </w:pPr>
            <w:r w:rsidRPr="007D08B1">
              <w:rPr>
                <w:rFonts w:eastAsia="Times New Roman" w:cs="Times New Roman"/>
                <w:szCs w:val="24"/>
                <w:lang w:eastAsia="en-IN"/>
              </w:rPr>
              <w:t>Hardware</w:t>
            </w:r>
          </w:p>
        </w:tc>
        <w:tc>
          <w:tcPr>
            <w:tcW w:w="2254" w:type="dxa"/>
            <w:vAlign w:val="center"/>
          </w:tcPr>
          <w:p w:rsidR="007D08B1" w:rsidRPr="007D08B1" w:rsidRDefault="007D08B1" w:rsidP="007D08B1">
            <w:pPr>
              <w:rPr>
                <w:rFonts w:eastAsia="Times New Roman" w:cs="Times New Roman"/>
                <w:szCs w:val="24"/>
                <w:lang w:eastAsia="en-IN"/>
              </w:rPr>
            </w:pPr>
            <w:r w:rsidRPr="007D08B1">
              <w:rPr>
                <w:rFonts w:eastAsia="Times New Roman" w:cs="Times New Roman"/>
                <w:szCs w:val="24"/>
                <w:lang w:eastAsia="en-IN"/>
              </w:rPr>
              <w:t>Ergonomic Helpdesk Chairs (3)</w:t>
            </w:r>
          </w:p>
        </w:tc>
        <w:tc>
          <w:tcPr>
            <w:tcW w:w="2254" w:type="dxa"/>
            <w:vAlign w:val="center"/>
          </w:tcPr>
          <w:p w:rsidR="007D08B1" w:rsidRPr="007D08B1" w:rsidRDefault="007D08B1" w:rsidP="007D08B1">
            <w:pPr>
              <w:rPr>
                <w:rFonts w:eastAsia="Times New Roman" w:cs="Times New Roman"/>
                <w:szCs w:val="24"/>
                <w:lang w:eastAsia="en-IN"/>
              </w:rPr>
            </w:pPr>
            <w:r w:rsidRPr="007D08B1">
              <w:rPr>
                <w:rFonts w:eastAsia="Times New Roman" w:cs="Times New Roman"/>
                <w:szCs w:val="24"/>
                <w:lang w:eastAsia="en-IN"/>
              </w:rPr>
              <w:t>$450</w:t>
            </w:r>
          </w:p>
        </w:tc>
        <w:tc>
          <w:tcPr>
            <w:tcW w:w="2254" w:type="dxa"/>
            <w:vAlign w:val="center"/>
          </w:tcPr>
          <w:p w:rsidR="007D08B1" w:rsidRPr="007D08B1" w:rsidRDefault="007D08B1" w:rsidP="007D08B1">
            <w:pPr>
              <w:rPr>
                <w:rFonts w:eastAsia="Times New Roman" w:cs="Times New Roman"/>
                <w:szCs w:val="24"/>
                <w:lang w:eastAsia="en-IN"/>
              </w:rPr>
            </w:pPr>
            <w:r w:rsidRPr="007D08B1">
              <w:rPr>
                <w:rFonts w:eastAsia="Times New Roman" w:cs="Times New Roman"/>
                <w:szCs w:val="24"/>
                <w:lang w:eastAsia="en-IN"/>
              </w:rPr>
              <w:t>Reduce fatigue and support long shifts for helpdesk technicians</w:t>
            </w:r>
          </w:p>
        </w:tc>
      </w:tr>
      <w:tr w:rsidR="007D08B1" w:rsidTr="00521745">
        <w:tc>
          <w:tcPr>
            <w:tcW w:w="2254" w:type="dxa"/>
            <w:vAlign w:val="center"/>
          </w:tcPr>
          <w:p w:rsidR="007D08B1" w:rsidRPr="007D08B1" w:rsidRDefault="007D08B1" w:rsidP="007D08B1">
            <w:pPr>
              <w:rPr>
                <w:rFonts w:eastAsia="Times New Roman" w:cs="Times New Roman"/>
                <w:szCs w:val="24"/>
                <w:lang w:eastAsia="en-IN"/>
              </w:rPr>
            </w:pPr>
            <w:r w:rsidRPr="007D08B1">
              <w:rPr>
                <w:rFonts w:eastAsia="Times New Roman" w:cs="Times New Roman"/>
                <w:szCs w:val="24"/>
                <w:lang w:eastAsia="en-IN"/>
              </w:rPr>
              <w:t>Tools</w:t>
            </w:r>
          </w:p>
        </w:tc>
        <w:tc>
          <w:tcPr>
            <w:tcW w:w="2254" w:type="dxa"/>
            <w:vAlign w:val="center"/>
          </w:tcPr>
          <w:p w:rsidR="007D08B1" w:rsidRPr="007D08B1" w:rsidRDefault="007D08B1" w:rsidP="007D08B1">
            <w:pPr>
              <w:rPr>
                <w:rFonts w:eastAsia="Times New Roman" w:cs="Times New Roman"/>
                <w:szCs w:val="24"/>
                <w:lang w:eastAsia="en-IN"/>
              </w:rPr>
            </w:pPr>
            <w:r w:rsidRPr="007D08B1">
              <w:rPr>
                <w:rFonts w:eastAsia="Times New Roman" w:cs="Times New Roman"/>
                <w:szCs w:val="24"/>
                <w:lang w:eastAsia="en-IN"/>
              </w:rPr>
              <w:t>Jira Service Management</w:t>
            </w:r>
          </w:p>
        </w:tc>
        <w:tc>
          <w:tcPr>
            <w:tcW w:w="2254" w:type="dxa"/>
            <w:vAlign w:val="center"/>
          </w:tcPr>
          <w:p w:rsidR="007D08B1" w:rsidRPr="007D08B1" w:rsidRDefault="007D08B1" w:rsidP="007D08B1">
            <w:pPr>
              <w:rPr>
                <w:rFonts w:eastAsia="Times New Roman" w:cs="Times New Roman"/>
                <w:szCs w:val="24"/>
                <w:lang w:eastAsia="en-IN"/>
              </w:rPr>
            </w:pPr>
            <w:r w:rsidRPr="007D08B1">
              <w:rPr>
                <w:rFonts w:eastAsia="Times New Roman" w:cs="Times New Roman"/>
                <w:szCs w:val="24"/>
                <w:lang w:eastAsia="en-IN"/>
              </w:rPr>
              <w:t>$150</w:t>
            </w:r>
          </w:p>
        </w:tc>
        <w:tc>
          <w:tcPr>
            <w:tcW w:w="2254" w:type="dxa"/>
            <w:vAlign w:val="center"/>
          </w:tcPr>
          <w:p w:rsidR="007D08B1" w:rsidRPr="007D08B1" w:rsidRDefault="007D08B1" w:rsidP="007D08B1">
            <w:pPr>
              <w:rPr>
                <w:rFonts w:eastAsia="Times New Roman" w:cs="Times New Roman"/>
                <w:szCs w:val="24"/>
                <w:lang w:eastAsia="en-IN"/>
              </w:rPr>
            </w:pPr>
            <w:r w:rsidRPr="007D08B1">
              <w:rPr>
                <w:rFonts w:eastAsia="Times New Roman" w:cs="Times New Roman"/>
                <w:szCs w:val="24"/>
                <w:lang w:eastAsia="en-IN"/>
              </w:rPr>
              <w:t>Ticket management and SLA tracking</w:t>
            </w:r>
          </w:p>
        </w:tc>
      </w:tr>
      <w:tr w:rsidR="007D08B1" w:rsidTr="00521745">
        <w:tc>
          <w:tcPr>
            <w:tcW w:w="2254" w:type="dxa"/>
            <w:vAlign w:val="center"/>
          </w:tcPr>
          <w:p w:rsidR="007D08B1" w:rsidRPr="007D08B1" w:rsidRDefault="007D08B1" w:rsidP="007D08B1">
            <w:pPr>
              <w:rPr>
                <w:rFonts w:eastAsia="Times New Roman" w:cs="Times New Roman"/>
                <w:szCs w:val="24"/>
                <w:lang w:eastAsia="en-IN"/>
              </w:rPr>
            </w:pPr>
            <w:r w:rsidRPr="007D08B1">
              <w:rPr>
                <w:rFonts w:eastAsia="Times New Roman" w:cs="Times New Roman"/>
                <w:szCs w:val="24"/>
                <w:lang w:eastAsia="en-IN"/>
              </w:rPr>
              <w:t>Miscellaneous</w:t>
            </w:r>
          </w:p>
        </w:tc>
        <w:tc>
          <w:tcPr>
            <w:tcW w:w="2254" w:type="dxa"/>
            <w:vAlign w:val="center"/>
          </w:tcPr>
          <w:p w:rsidR="007D08B1" w:rsidRPr="007D08B1" w:rsidRDefault="007D08B1" w:rsidP="007D08B1">
            <w:pPr>
              <w:rPr>
                <w:rFonts w:eastAsia="Times New Roman" w:cs="Times New Roman"/>
                <w:szCs w:val="24"/>
                <w:lang w:eastAsia="en-IN"/>
              </w:rPr>
            </w:pPr>
            <w:r w:rsidRPr="007D08B1">
              <w:rPr>
                <w:rFonts w:eastAsia="Times New Roman" w:cs="Times New Roman"/>
                <w:szCs w:val="24"/>
                <w:lang w:eastAsia="en-IN"/>
              </w:rPr>
              <w:t>External Backup Drive (2TB)</w:t>
            </w:r>
          </w:p>
        </w:tc>
        <w:tc>
          <w:tcPr>
            <w:tcW w:w="2254" w:type="dxa"/>
            <w:vAlign w:val="center"/>
          </w:tcPr>
          <w:p w:rsidR="007D08B1" w:rsidRPr="007D08B1" w:rsidRDefault="007D08B1" w:rsidP="007D08B1">
            <w:pPr>
              <w:rPr>
                <w:rFonts w:eastAsia="Times New Roman" w:cs="Times New Roman"/>
                <w:szCs w:val="24"/>
                <w:lang w:eastAsia="en-IN"/>
              </w:rPr>
            </w:pPr>
            <w:r w:rsidRPr="007D08B1">
              <w:rPr>
                <w:rFonts w:eastAsia="Times New Roman" w:cs="Times New Roman"/>
                <w:szCs w:val="24"/>
                <w:lang w:eastAsia="en-IN"/>
              </w:rPr>
              <w:t>$100</w:t>
            </w:r>
          </w:p>
        </w:tc>
        <w:tc>
          <w:tcPr>
            <w:tcW w:w="2254" w:type="dxa"/>
            <w:vAlign w:val="center"/>
          </w:tcPr>
          <w:p w:rsidR="007D08B1" w:rsidRPr="007D08B1" w:rsidRDefault="007D08B1" w:rsidP="007D08B1">
            <w:pPr>
              <w:rPr>
                <w:rFonts w:eastAsia="Times New Roman" w:cs="Times New Roman"/>
                <w:szCs w:val="24"/>
                <w:lang w:eastAsia="en-IN"/>
              </w:rPr>
            </w:pPr>
            <w:r w:rsidRPr="007D08B1">
              <w:rPr>
                <w:rFonts w:eastAsia="Times New Roman" w:cs="Times New Roman"/>
                <w:szCs w:val="24"/>
                <w:lang w:eastAsia="en-IN"/>
              </w:rPr>
              <w:t>For data security and off-site storage compliance</w:t>
            </w:r>
          </w:p>
        </w:tc>
      </w:tr>
      <w:tr w:rsidR="007D08B1" w:rsidTr="00521745">
        <w:tc>
          <w:tcPr>
            <w:tcW w:w="2254" w:type="dxa"/>
            <w:vAlign w:val="center"/>
          </w:tcPr>
          <w:p w:rsidR="007D08B1" w:rsidRPr="007D08B1" w:rsidRDefault="007D08B1" w:rsidP="007D08B1">
            <w:pPr>
              <w:rPr>
                <w:rFonts w:eastAsia="Times New Roman" w:cs="Times New Roman"/>
                <w:szCs w:val="24"/>
                <w:lang w:eastAsia="en-IN"/>
              </w:rPr>
            </w:pPr>
            <w:r w:rsidRPr="007D08B1">
              <w:rPr>
                <w:rFonts w:eastAsia="Times New Roman" w:cs="Times New Roman"/>
                <w:b/>
                <w:bCs/>
                <w:szCs w:val="24"/>
                <w:lang w:eastAsia="en-IN"/>
              </w:rPr>
              <w:t>Total</w:t>
            </w:r>
          </w:p>
        </w:tc>
        <w:tc>
          <w:tcPr>
            <w:tcW w:w="2254" w:type="dxa"/>
            <w:vAlign w:val="center"/>
          </w:tcPr>
          <w:p w:rsidR="007D08B1" w:rsidRPr="007D08B1" w:rsidRDefault="007D08B1" w:rsidP="007D08B1">
            <w:pPr>
              <w:rPr>
                <w:rFonts w:eastAsia="Times New Roman" w:cs="Times New Roman"/>
                <w:szCs w:val="24"/>
                <w:lang w:eastAsia="en-IN"/>
              </w:rPr>
            </w:pPr>
          </w:p>
        </w:tc>
        <w:tc>
          <w:tcPr>
            <w:tcW w:w="2254" w:type="dxa"/>
            <w:vAlign w:val="center"/>
          </w:tcPr>
          <w:p w:rsidR="007D08B1" w:rsidRPr="007D08B1" w:rsidRDefault="007D08B1" w:rsidP="007D08B1">
            <w:pPr>
              <w:rPr>
                <w:rFonts w:eastAsia="Times New Roman" w:cs="Times New Roman"/>
                <w:szCs w:val="24"/>
                <w:lang w:eastAsia="en-IN"/>
              </w:rPr>
            </w:pPr>
            <w:r w:rsidRPr="007D08B1">
              <w:rPr>
                <w:rFonts w:eastAsia="Times New Roman" w:cs="Times New Roman"/>
                <w:b/>
                <w:bCs/>
                <w:szCs w:val="24"/>
                <w:lang w:eastAsia="en-IN"/>
              </w:rPr>
              <w:t>$1,075</w:t>
            </w:r>
          </w:p>
        </w:tc>
        <w:tc>
          <w:tcPr>
            <w:tcW w:w="2254" w:type="dxa"/>
            <w:vAlign w:val="center"/>
          </w:tcPr>
          <w:p w:rsidR="007D08B1" w:rsidRPr="007D08B1" w:rsidRDefault="007D08B1" w:rsidP="007D08B1">
            <w:pPr>
              <w:rPr>
                <w:rFonts w:eastAsia="Times New Roman" w:cs="Times New Roman"/>
                <w:szCs w:val="24"/>
                <w:lang w:eastAsia="en-IN"/>
              </w:rPr>
            </w:pPr>
          </w:p>
        </w:tc>
      </w:tr>
    </w:tbl>
    <w:p w:rsidR="007D08B1" w:rsidRDefault="007D08B1"/>
    <w:p w:rsidR="007D08B1" w:rsidRDefault="00BA3174">
      <w:r w:rsidRPr="00BA3174">
        <w:t xml:space="preserve">This brief budget proposal outlines effective resource management to enhance operational efficiency, team performance, and service quality. The overall estimated monthly budget of $ 1,075 covers vital areas such as communication, professional development, workplace ergonomics, and IT service management. The five licenses of Zoom </w:t>
      </w:r>
      <w:bookmarkStart w:id="0" w:name="_GoBack"/>
      <w:bookmarkEnd w:id="0"/>
      <w:r w:rsidRPr="00BA3174">
        <w:t xml:space="preserve">Pro will enable smooth in-house meetings and virtual assistants. Investing in the CompTIA ITIL certification for two employees enhances the team's capacity in IT service management (Annam, 2023). The ergonomic helpdesk chairs enhance employee comfort, reducing fatigue during long shifts. Jira Service Management, which </w:t>
      </w:r>
      <w:r w:rsidR="006E535D">
        <w:t>provides</w:t>
      </w:r>
      <w:r w:rsidRPr="00BA3174">
        <w:t xml:space="preserve"> a centralized location for processing services and tracking tickets, also introduces service-level agreements. Buying a 2TB external backup drive will enhance the security of your data and ensure compliance with off-site storage (Mitra, 2025). The balanced plan goes well with the cost-cutting, resourceful leadership that has long-term value and sustainability.</w:t>
      </w:r>
    </w:p>
    <w:p w:rsidR="008D146F" w:rsidRDefault="008D146F">
      <w:r>
        <w:br w:type="page"/>
      </w:r>
    </w:p>
    <w:p w:rsidR="008D146F" w:rsidRPr="006E095F" w:rsidRDefault="008D146F" w:rsidP="008D146F">
      <w:pPr>
        <w:jc w:val="center"/>
        <w:rPr>
          <w:b/>
        </w:rPr>
      </w:pPr>
      <w:r w:rsidRPr="006E095F">
        <w:rPr>
          <w:b/>
        </w:rPr>
        <w:lastRenderedPageBreak/>
        <w:t>References</w:t>
      </w:r>
    </w:p>
    <w:p w:rsidR="008D146F" w:rsidRDefault="006E095F" w:rsidP="00EC6C9A">
      <w:pPr>
        <w:ind w:left="720" w:hanging="720"/>
      </w:pPr>
      <w:r w:rsidRPr="006E095F">
        <w:t>Annam, S. N. (2023). Enhancing IT support for enterprise-scale applications. </w:t>
      </w:r>
      <w:r w:rsidRPr="006E095F">
        <w:rPr>
          <w:i/>
          <w:iCs/>
        </w:rPr>
        <w:t>International Journal of Enhanced Research in Science, Technology &amp; Engineering</w:t>
      </w:r>
      <w:r w:rsidRPr="006E095F">
        <w:t>, </w:t>
      </w:r>
      <w:r w:rsidRPr="006E095F">
        <w:rPr>
          <w:i/>
          <w:iCs/>
        </w:rPr>
        <w:t>12</w:t>
      </w:r>
      <w:r w:rsidRPr="006E095F">
        <w:t>(3), 205.</w:t>
      </w:r>
      <w:r>
        <w:t xml:space="preserve"> </w:t>
      </w:r>
      <w:hyperlink r:id="rId4" w:history="1">
        <w:r w:rsidRPr="003E0918">
          <w:rPr>
            <w:rStyle w:val="Hyperlink"/>
          </w:rPr>
          <w:t>https://www.researchgate.net/profile/Srinikhil-Annam/publication/389088869_Enhancing_IT_Support_for_Enterprise-Scale_Applications/links/67b484a1461fb56424df6be4/Enhancing-IT-Support-for-Enterprise-Scale-Applications.pdf</w:t>
        </w:r>
      </w:hyperlink>
      <w:r>
        <w:t xml:space="preserve"> </w:t>
      </w:r>
    </w:p>
    <w:p w:rsidR="006E095F" w:rsidRDefault="00EA6BB0" w:rsidP="00EC6C9A">
      <w:pPr>
        <w:ind w:left="720" w:hanging="720"/>
      </w:pPr>
      <w:r w:rsidRPr="00EA6BB0">
        <w:t>Mitra, P. (2025). Strategic Optimization of Data Backup Systems: Balancing Availability, Security and Cost in Financial Organizations.</w:t>
      </w:r>
      <w:r>
        <w:t xml:space="preserve"> </w:t>
      </w:r>
      <w:hyperlink r:id="rId5" w:history="1">
        <w:r w:rsidRPr="003E0918">
          <w:rPr>
            <w:rStyle w:val="Hyperlink"/>
          </w:rPr>
          <w:t>https://www.theseus.fi/handle/10024/889457</w:t>
        </w:r>
      </w:hyperlink>
      <w:r>
        <w:t xml:space="preserve"> </w:t>
      </w:r>
    </w:p>
    <w:sectPr w:rsidR="006E09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302"/>
    <w:rsid w:val="0025570C"/>
    <w:rsid w:val="005546DB"/>
    <w:rsid w:val="006A66F0"/>
    <w:rsid w:val="006E095F"/>
    <w:rsid w:val="006E535D"/>
    <w:rsid w:val="0072200F"/>
    <w:rsid w:val="00761B4B"/>
    <w:rsid w:val="00763031"/>
    <w:rsid w:val="007D08B1"/>
    <w:rsid w:val="007D4FA1"/>
    <w:rsid w:val="00874E5E"/>
    <w:rsid w:val="00883435"/>
    <w:rsid w:val="008D146F"/>
    <w:rsid w:val="009D3EF0"/>
    <w:rsid w:val="00A34E24"/>
    <w:rsid w:val="00A822DB"/>
    <w:rsid w:val="00AF59E4"/>
    <w:rsid w:val="00BA3174"/>
    <w:rsid w:val="00BA5302"/>
    <w:rsid w:val="00BC6BB4"/>
    <w:rsid w:val="00C662C6"/>
    <w:rsid w:val="00CC135B"/>
    <w:rsid w:val="00DF3F22"/>
    <w:rsid w:val="00E3605E"/>
    <w:rsid w:val="00EA6BB0"/>
    <w:rsid w:val="00EC6C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5A3053"/>
  <w15:chartTrackingRefBased/>
  <w15:docId w15:val="{054095FA-1B83-4043-BBB4-48E1AAC4C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IN"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D08B1"/>
    <w:rPr>
      <w:b/>
      <w:bCs/>
    </w:rPr>
  </w:style>
  <w:style w:type="table" w:styleId="TableGrid">
    <w:name w:val="Table Grid"/>
    <w:basedOn w:val="TableNormal"/>
    <w:uiPriority w:val="39"/>
    <w:rsid w:val="007D08B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095F"/>
    <w:rPr>
      <w:color w:val="0563C1" w:themeColor="hyperlink"/>
      <w:u w:val="single"/>
    </w:rPr>
  </w:style>
  <w:style w:type="character" w:styleId="UnresolvedMention">
    <w:name w:val="Unresolved Mention"/>
    <w:basedOn w:val="DefaultParagraphFont"/>
    <w:uiPriority w:val="99"/>
    <w:semiHidden/>
    <w:unhideWhenUsed/>
    <w:rsid w:val="006E09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4941247">
      <w:bodyDiv w:val="1"/>
      <w:marLeft w:val="0"/>
      <w:marRight w:val="0"/>
      <w:marTop w:val="0"/>
      <w:marBottom w:val="0"/>
      <w:divBdr>
        <w:top w:val="none" w:sz="0" w:space="0" w:color="auto"/>
        <w:left w:val="none" w:sz="0" w:space="0" w:color="auto"/>
        <w:bottom w:val="none" w:sz="0" w:space="0" w:color="auto"/>
        <w:right w:val="none" w:sz="0" w:space="0" w:color="auto"/>
      </w:divBdr>
    </w:div>
    <w:div w:id="1138257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theseus.fi/handle/10024/889457" TargetMode="External"/><Relationship Id="rId4" Type="http://schemas.openxmlformats.org/officeDocument/2006/relationships/hyperlink" Target="https://www.researchgate.net/profile/Srinikhil-Annam/publication/389088869_Enhancing_IT_Support_for_Enterprise-Scale_Applications/links/67b484a1461fb56424df6be4/Enhancing-IT-Support-for-Enterprise-Scale-Application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259</Words>
  <Characters>2189</Characters>
  <Application>Microsoft Office Word</Application>
  <DocSecurity>0</DocSecurity>
  <Lines>136</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dc:creator>
  <cp:keywords/>
  <dc:description/>
  <cp:lastModifiedBy>new</cp:lastModifiedBy>
  <cp:revision>20</cp:revision>
  <dcterms:created xsi:type="dcterms:W3CDTF">2025-07-03T05:47:00Z</dcterms:created>
  <dcterms:modified xsi:type="dcterms:W3CDTF">2025-07-03T08:44:00Z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78310714-6c7c-4046-bd1c-f4844a61e70c</vt:lpwstr>
  </property>
</Properties>
</file>