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B8860B"/>
          <w:sz w:val="20"/>
          <w:szCs w:val="20"/>
        </w:rPr>
        <w:t xml:space="preserve">REVIEW-1  ·  DATA ANALYTICS &amp; VISUALISATION – 1 (24DSB3101)</w:t>
      </w:r>
    </w:p>
    <w:p>
      <w:pPr>
        <w:spacing w:after="160"/>
      </w:pPr>
      <w:r>
        <w:rPr>
          <w:b/>
          <w:bCs/>
          <w:color w:val="1F2A44"/>
          <w:sz w:val="36"/>
          <w:szCs w:val="36"/>
        </w:rPr>
        <w:t xml:space="preserve">AI-Driven Loan Default Prediction Using Banking Analytics</w:t>
      </w:r>
    </w:p>
    <w:p>
      <w:pPr>
        <w:pBdr>
          <w:bottom w:val="single" w:color="CCCCCC" w:sz="6" w:space="8"/>
        </w:pBdr>
        <w:spacing w:after="300"/>
      </w:pPr>
      <w:r>
        <w:rPr>
          <w:i/>
          <w:iCs/>
          <w:color w:val="555555"/>
          <w:sz w:val="22"/>
          <w:szCs w:val="22"/>
        </w:rPr>
        <w:t xml:space="preserve">Explainable Machine Learning for Credit Risk and Default Prediction in Banking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1. Refined Title</w:t>
      </w:r>
    </w:p>
    <w:p>
      <w:pPr>
        <w:spacing w:after="140" w:line="300"/>
      </w:pPr>
      <w:r>
        <w:rPr>
          <w:b/>
          <w:bCs/>
          <w:color w:val="222222"/>
          <w:sz w:val="22"/>
          <w:szCs w:val="22"/>
        </w:rPr>
        <w:t xml:space="preserve">AI-Driven Loan Default Prediction Using Banking Analytics: Explainable Machine Learning for Credit Risk Assessment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The title reflects the two core threads carried through the project: banking-analytics-driven loan default prediction, and explainability as a first-class requirement rather than an afterthought — a distinction the literature survey below shows is still uncommon.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2. Problem Statement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Manual underwriting and legacy scorecards cannot capture the complex, non-linear relationships between borrower behaviour, repayment history, and macroeconomic conditions. Traditional models routinely misclassify risk, directly inflating non-performing assets (NPAs) and reducing capital efficiency for banks and NBFCs. Where institutions do adopt machine learning, most models offer no explanation for a decision, making them hard to trust, audit, or defend to a regulator. Default cases are also a small minority of records, and most studies validate on a single dataset, limiting how well findings generalise across lending contexts.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3. Literature Survey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Eleven recent studies (2024–2026) from IEEE, ACM, and Springer venues were reviewed: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60"/>
        <w:gridCol w:w="6000"/>
      </w:tblGrid>
      <w:tr>
        <w:trPr>
          <w:tblHeader/>
        </w:trPr>
        <w:tc>
          <w:tcPr>
            <w:tcW w:type="dxa" w:w="5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6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Study &amp; Venue</w:t>
            </w:r>
          </w:p>
        </w:tc>
        <w:tc>
          <w:tcPr>
            <w:tcW w:type="dxa" w:w="60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 / Contribution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Aruleba &amp; Sun (2024), IEEE Access, vol. 12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Ensemble classifiers (Random Forest, AdaBoost, XGBoost, LightGBM) combined with SMOTE-ENN resampling and SHAP explanations on German and Australian credit datasets.</w:t>
            </w:r>
          </w:p>
        </w:tc>
      </w:tr>
      <w:tr>
        <w:tc>
          <w:tcPr>
            <w:tcW w:type="dxa" w:w="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8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Zhu et al. (2024), IEEE ICETCI</w:t>
            </w:r>
          </w:p>
        </w:tc>
        <w:tc>
          <w:tcPr>
            <w:tcW w:type="dxa" w:w="6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LightGBM–XGBoost–local-ensemble stacking for credit default prediction; ensembling lifts detection over single learners.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Vihurskyi (2024), IEEE ICDCECE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Explainable AI applied to credit-card fraud/default detection to improve interpretability and analyst trust in flagged cases.</w:t>
            </w:r>
          </w:p>
        </w:tc>
      </w:tr>
      <w:tr>
        <w:tc>
          <w:tcPr>
            <w:tcW w:type="dxa" w:w="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8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Gonaygunta et al. (2025), IEEE SIEDS, pp. 444–449</w:t>
            </w:r>
          </w:p>
        </w:tc>
        <w:tc>
          <w:tcPr>
            <w:tcW w:type="dxa" w:w="6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Interpretable credit-scoring models using explainable AI to empower end users in financial risk assessment.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Hartomo, Arthur &amp; Nataliani (2025), IEEE Access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Weighted-loss TabTransformer integrating explainability for imbalanced credit-risk datasets.</w:t>
            </w:r>
          </w:p>
        </w:tc>
      </w:tr>
      <w:tr>
        <w:tc>
          <w:tcPr>
            <w:tcW w:type="dxa" w:w="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8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ACM GAIIS (2025)</w:t>
            </w:r>
          </w:p>
        </w:tc>
        <w:tc>
          <w:tcPr>
            <w:tcW w:type="dxa" w:w="6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Seven-model comparison (Decision Tree, Random Forest, AdaBoost, Bagging, XGBoost, LightGBM, CatBoost); CatBoost reported best on AUC.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ACM CSAIDE (2025)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Explainable ML on the Home Credit dataset (1.53M records, 3.14% default rate) for consumer-finance risk.</w:t>
            </w:r>
          </w:p>
        </w:tc>
      </w:tr>
      <w:tr>
        <w:tc>
          <w:tcPr>
            <w:tcW w:type="dxa" w:w="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8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Demma Wube et al. (2024), Springer CCIS vol. 2069</w:t>
            </w:r>
          </w:p>
        </w:tc>
        <w:tc>
          <w:tcPr>
            <w:tcW w:type="dxa" w:w="6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Systematic review of deep-learning vs. classical ML techniques for credit scoring, PanAfriConAI 2023.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2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Computational Economics (2025), Springer, DOI 10.1007/s10614-025-10962-9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XGBoost with post-hoc SHAP explanations for early loan-default prediction on P2P lending data.</w:t>
            </w:r>
          </w:p>
        </w:tc>
      </w:tr>
      <w:tr>
        <w:tc>
          <w:tcPr>
            <w:tcW w:type="dxa" w:w="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8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Liang et al. (2025), Computational Economics, Springer</w:t>
            </w:r>
          </w:p>
        </w:tc>
        <w:tc>
          <w:tcPr>
            <w:tcW w:type="dxa" w:w="6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Explainable deep learning for credit-risk analysis of technology-based small and micro enterprises.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2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Kofidis, Cocianu &amp; Uscatu (2026), Springer LNNS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Comparative study of balancing techniques (SMOTE family) across CNN, LSTM, Random Forest, and SVM for loan default.</w:t>
            </w:r>
          </w:p>
        </w:tc>
      </w:tr>
    </w:tbl>
    <w:p>
      <w:pPr>
        <w:spacing w:after="100" w:before="160"/>
      </w:pPr>
    </w:p>
    <w:p>
      <w:pPr>
        <w:spacing w:after="140" w:line="300"/>
      </w:pPr>
      <w:r>
        <w:rPr>
          <w:color w:val="222222"/>
          <w:sz w:val="22"/>
          <w:szCs w:val="22"/>
        </w:rPr>
        <w:t xml:space="preserve">Consistent pattern across all 11 studies: strong single-model or single-dataset accuracy gains, but explainability is usually bolted on to one “winning” model rather than compared across models, datasets, or lending contexts.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4. Research Gaps Identified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Single-dataset validation – Papers 1, 3, 5, 6, 9, 10 each validate on one dataset (German credit, Home Credit, or a single P2P platform) — findings rarely transfer across lending environments.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Explainability applied late – SHAP/LIME (papers 1, 3, 5, 6, 7, 9) is typically bolted on to a single “winning” model after selection, not used to compare candidate models during development.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Accuracy–interpretability trade-off – Deep/transformer models (papers 5, 10) push accuracy up, but interpretability studies (paper 8) show this often comes at the cost of transparency for non-technical stakeholders.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No decision-support layer – Almost none of the surveyed work (papers 1–11) packages results into a dashboard loan officers can actually use — most stop at reporting Accuracy/F1/AUC tables.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5. Objectives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Consolidate benchmark data – Integrate Lending Club, Statlog German Credit, and Home Credit datasets into one structured, analysis-ready pipeline using schema alignment and unified feature encoding.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Perform deep, decision-grade EDA – Run 12+ analytical techniques — missingness, outliers, class-imbalance, and correlation analysis — before any modelling, using univariate and multivariate statistical methods.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Engineer risk-aware features – Derive debt-to-income ratio, credit-utilization, and repayment-consistency features using domain-driven feature engineering to sharpen predictive signal.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Benchmark five ML models – Train and compare Logistic Regression, Decision Tree, Random Forest, XGBoost, and CatBoost under identical, cross-validated conditions.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Make predictions explainable – Apply SHAP and LIME to the best model so every default-risk score has an auditable, human-readable reason.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Deliver a usable dashboard – Package results into a visualization dashboard so loan officers see the prediction and the reasoning together.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6. Novelty / Innovation, Feasibility, and Project Plan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4"/>
          <w:szCs w:val="24"/>
        </w:rPr>
        <w:t xml:space="preserve">6.1 Novelty / Innovation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Each identified gap maps to a specific design decision that is new relative to the surveyed work: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Single-dataset validation → Three benchmark datasets combined — Lending Club, Statlog German Credit, Home Credit — spanning traditional, classical, and thin-file/alternative lending.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Explainability applied late → SHAP and LIME run across all five candidate models during comparison, not only on the final chosen model.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Accuracy vs. interpretability trade-off → Five models spanning simple-to-complex (Logistic Regression → CatBoost) benchmarked on the same metrics, letting stakeholders choose their own point on the trade-off curve.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No decision-support layer → A visualization dashboard (heatmaps, boxplots, feature-importance charts) turns model output into something a loan officer can act on, not just a metrics table.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4"/>
          <w:szCs w:val="24"/>
        </w:rPr>
        <w:t xml:space="preserve">6.2 Feasibility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Data feasibility – 3 datasets are public, well-documented, and widely cited in credit-risk research; combined size supports robust train/test/validation splits.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Technical feasibility – All five ML models have mature, well-supported Python libraries; SHAP and LIME are standard, actively maintained explainability toolkits; class imbalance is addressable (SMOTE, class-weighting).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Economic feasibility – Built entirely on open-source tools and free/public datasets — no licensing cost.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Time feasibility – Scoped to fit the semester timeline with buffer before final submission; a modular pipeline lets EDA, modelling, and XAI stages proceed in parallel.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4"/>
          <w:szCs w:val="24"/>
        </w:rPr>
        <w:t xml:space="preserve">6.3 Project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5560"/>
      </w:tblGrid>
      <w:tr>
        <w:trPr>
          <w:tblHeader/>
        </w:trPr>
        <w:tc>
          <w:tcPr>
            <w:tcW w:type="dxa" w:w="9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9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56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 Acquisition &amp; Cleaning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Collect and merge 3 datasets, handle missing values, duplicates, encoding.</w:t>
            </w:r>
          </w:p>
        </w:tc>
      </w:tr>
      <w:tr>
        <w:tc>
          <w:tcPr>
            <w:tcW w:type="dxa" w:w="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Exploratory Data Analysis</w:t>
            </w:r>
          </w:p>
        </w:tc>
        <w:tc>
          <w:tcPr>
            <w:tcW w:type="dxa" w:w="55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12+ techniques: univariate through multivariate, correlation, imbalance analysis.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Feature Engineering &amp; Selection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DTI ratio, credit utilization, mutual information, RFE.</w:t>
            </w:r>
          </w:p>
        </w:tc>
      </w:tr>
      <w:tr>
        <w:tc>
          <w:tcPr>
            <w:tcW w:type="dxa" w:w="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Model Building &amp; Comparison</w:t>
            </w:r>
          </w:p>
        </w:tc>
        <w:tc>
          <w:tcPr>
            <w:tcW w:type="dxa" w:w="55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Train LR, Decision Tree, Random Forest, XGBoost, CatBoost.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Explainability &amp; Evaluation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SHAP + LIME analysis; Accuracy/Precision/Recall/F1/ROC-AUC.</w:t>
            </w:r>
          </w:p>
        </w:tc>
      </w:tr>
      <w:tr>
        <w:tc>
          <w:tcPr>
            <w:tcW w:type="dxa" w:w="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Dashboard &amp; Final Reporting</w:t>
            </w:r>
          </w:p>
        </w:tc>
        <w:tc>
          <w:tcPr>
            <w:tcW w:type="dxa" w:w="55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Build visualization dashboard; consolidate findings for submission.</w:t>
            </w:r>
          </w:p>
        </w:tc>
      </w:tr>
    </w:tbl>
    <w:p>
      <w:pPr>
        <w:spacing w:before="60"/>
      </w:pP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7. Team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6200"/>
      </w:tblGrid>
      <w:tr>
        <w:trPr>
          <w:tblHeader/>
        </w:trPr>
        <w:tc>
          <w:tcPr>
            <w:tcW w:type="dxa" w:w="316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Tejasree Sagiraju</w:t>
            </w:r>
          </w:p>
        </w:tc>
      </w:tr>
      <w:tr>
        <w:tc>
          <w:tcPr>
            <w:tcW w:type="dxa" w:w="31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6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Sruthi Bhatraju</w:t>
            </w:r>
          </w:p>
        </w:tc>
      </w:tr>
      <w:tr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B. Bhavya Sai Sree</w:t>
            </w:r>
          </w:p>
        </w:tc>
      </w:tr>
      <w:tr>
        <w:tc>
          <w:tcPr>
            <w:tcW w:type="dxa" w:w="31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Guide</w:t>
            </w:r>
          </w:p>
        </w:tc>
        <w:tc>
          <w:tcPr>
            <w:tcW w:type="dxa" w:w="6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K. Swapnika</w:t>
            </w:r>
          </w:p>
        </w:tc>
      </w:tr>
      <w:tr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Course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 Analytics &amp; Visualisation – 1 (24DSB3101), A.Y. 2026–2027</w:t>
            </w:r>
          </w:p>
        </w:tc>
      </w:tr>
      <w:tr>
        <w:tc>
          <w:tcPr>
            <w:tcW w:type="dxa" w:w="31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Review</w:t>
            </w:r>
          </w:p>
        </w:tc>
        <w:tc>
          <w:tcPr>
            <w:tcW w:type="dxa" w:w="6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Review-1 Presentation · 5 August 2026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2026-08-08T08:32:32.326Z</dcterms:created>
  <dcterms:modified xsi:type="dcterms:W3CDTF">2026-08-08T08:32:32.344Z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