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1C1D2">
      <w:pPr>
        <w:spacing w:before="1400"/>
      </w:pPr>
      <w:bookmarkStart w:id="0" w:name="_GoBack"/>
      <w:bookmarkEnd w:id="0"/>
    </w:p>
    <w:p w14:paraId="72EBCD64">
      <w:pPr>
        <w:spacing w:after="200"/>
        <w:jc w:val="center"/>
      </w:pPr>
      <w:r>
        <w:rPr>
          <w:rFonts w:ascii="Calibri" w:hAnsi="Calibri" w:eastAsia="Calibri" w:cs="Calibri"/>
          <w:color w:val="595959"/>
          <w:spacing w:val="30"/>
          <w:sz w:val="26"/>
          <w:szCs w:val="26"/>
        </w:rPr>
        <w:t>PROJECT APPROACH (ROADMAP)</w:t>
      </w:r>
    </w:p>
    <w:p w14:paraId="6F1A7959">
      <w:pPr>
        <w:spacing w:after="300"/>
        <w:jc w:val="center"/>
      </w:pPr>
      <w:r>
        <w:rPr>
          <w:rFonts w:ascii="Calibri" w:hAnsi="Calibri" w:eastAsia="Calibri" w:cs="Calibri"/>
          <w:b/>
          <w:bCs/>
          <w:color w:val="1F3864"/>
          <w:sz w:val="42"/>
          <w:szCs w:val="42"/>
        </w:rPr>
        <w:t>AI-Driven Loan Default Prediction Using Banking Analytics</w:t>
      </w:r>
    </w:p>
    <w:p w14:paraId="214EC084">
      <w:pPr>
        <w:spacing w:after="1000"/>
        <w:jc w:val="center"/>
      </w:pPr>
      <w:r>
        <w:rPr>
          <w:rFonts w:ascii="Calibri" w:hAnsi="Calibri" w:eastAsia="Calibri" w:cs="Calibri"/>
          <w:i/>
          <w:iCs/>
          <w:color w:val="595959"/>
          <w:sz w:val="24"/>
          <w:szCs w:val="24"/>
        </w:rPr>
        <w:t>Explainable Machine Learning for Credit Risk and Default Prediction in Banking</w:t>
      </w:r>
    </w:p>
    <w:tbl>
      <w:tblPr>
        <w:tblStyle w:val="9"/>
        <w:tblW w:w="7000" w:type="dxa"/>
        <w:jc w:val="center"/>
        <w:tblBorders>
          <w:top w:val="single" w:color="BFBFBF" w:sz="4" w:space="0"/>
          <w:left w:val="none" w:color="auto" w:sz="0" w:space="0"/>
          <w:bottom w:val="single" w:color="BFBFBF" w:sz="4" w:space="0"/>
          <w:right w:val="none" w:color="auto" w:sz="0" w:space="0"/>
          <w:insideH w:val="single" w:color="E7E7E7" w:sz="4" w:space="0"/>
          <w:insideV w:val="none" w:color="auto" w:sz="0" w:space="0"/>
        </w:tblBorders>
        <w:tblLayout w:type="autofit"/>
        <w:tblCellMar>
          <w:top w:w="0" w:type="dxa"/>
          <w:left w:w="10" w:type="dxa"/>
          <w:bottom w:w="0" w:type="dxa"/>
          <w:right w:w="10" w:type="dxa"/>
        </w:tblCellMar>
      </w:tblPr>
      <w:tblGrid>
        <w:gridCol w:w="2500"/>
        <w:gridCol w:w="4500"/>
      </w:tblGrid>
      <w:tr w14:paraId="12CDD479">
        <w:trPr>
          <w:jc w:val="center"/>
        </w:trPr>
        <w:tc>
          <w:tcPr>
            <w:tcW w:w="2500" w:type="dxa"/>
            <w:tcMar>
              <w:top w:w="100" w:type="dxa"/>
              <w:left w:w="120" w:type="dxa"/>
              <w:bottom w:w="100" w:type="dxa"/>
              <w:right w:w="120" w:type="dxa"/>
            </w:tcMar>
          </w:tcPr>
          <w:p w14:paraId="73A448A0">
            <w:r>
              <w:rPr>
                <w:rFonts w:ascii="Calibri" w:hAnsi="Calibri" w:eastAsia="Calibri" w:cs="Calibri"/>
                <w:b/>
                <w:bCs/>
                <w:color w:val="000000"/>
                <w:sz w:val="20"/>
                <w:szCs w:val="20"/>
              </w:rPr>
              <w:t>Batch Number</w:t>
            </w:r>
          </w:p>
        </w:tc>
        <w:tc>
          <w:tcPr>
            <w:tcW w:w="4500" w:type="dxa"/>
            <w:tcMar>
              <w:top w:w="100" w:type="dxa"/>
              <w:left w:w="120" w:type="dxa"/>
              <w:bottom w:w="100" w:type="dxa"/>
              <w:right w:w="120" w:type="dxa"/>
            </w:tcMar>
          </w:tcPr>
          <w:p w14:paraId="6FBC18F6">
            <w:pPr>
              <w:rPr>
                <w:rFonts w:hint="default"/>
                <w:lang w:val="en-US"/>
              </w:rPr>
            </w:pPr>
            <w:r>
              <w:rPr>
                <w:rFonts w:hint="default"/>
                <w:lang w:val="en-US"/>
              </w:rPr>
              <w:t>12</w:t>
            </w:r>
          </w:p>
        </w:tc>
      </w:tr>
      <w:tr w14:paraId="25C3E8BF">
        <w:trPr>
          <w:jc w:val="center"/>
        </w:trPr>
        <w:tc>
          <w:tcPr>
            <w:tcW w:w="2500" w:type="dxa"/>
            <w:tcMar>
              <w:top w:w="100" w:type="dxa"/>
              <w:left w:w="120" w:type="dxa"/>
              <w:bottom w:w="100" w:type="dxa"/>
              <w:right w:w="120" w:type="dxa"/>
            </w:tcMar>
          </w:tcPr>
          <w:p w14:paraId="27F80C1C">
            <w:r>
              <w:rPr>
                <w:rFonts w:ascii="Calibri" w:hAnsi="Calibri" w:eastAsia="Calibri" w:cs="Calibri"/>
                <w:b/>
                <w:bCs/>
                <w:color w:val="000000"/>
                <w:sz w:val="20"/>
                <w:szCs w:val="20"/>
              </w:rPr>
              <w:t>Team Members</w:t>
            </w:r>
          </w:p>
        </w:tc>
        <w:tc>
          <w:tcPr>
            <w:tcW w:w="4500" w:type="dxa"/>
            <w:tcMar>
              <w:top w:w="100" w:type="dxa"/>
              <w:left w:w="120" w:type="dxa"/>
              <w:bottom w:w="100" w:type="dxa"/>
              <w:right w:w="120" w:type="dxa"/>
            </w:tcMar>
          </w:tcPr>
          <w:p w14:paraId="24DC9062">
            <w:pPr>
              <w:rPr>
                <w:rFonts w:hint="default"/>
                <w:lang w:val="en-US"/>
              </w:rPr>
            </w:pPr>
            <w:r>
              <w:rPr>
                <w:rFonts w:hint="default"/>
                <w:lang w:val="en-US"/>
              </w:rPr>
              <w:t>B.bhavyasaisri-2420030594, B.sruthi-2420030578, S.teja sree-2420030441</w:t>
            </w:r>
          </w:p>
        </w:tc>
      </w:tr>
      <w:tr w14:paraId="1CC5A43F">
        <w:trPr>
          <w:jc w:val="center"/>
        </w:trPr>
        <w:tc>
          <w:tcPr>
            <w:tcW w:w="2500" w:type="dxa"/>
            <w:tcMar>
              <w:top w:w="100" w:type="dxa"/>
              <w:left w:w="120" w:type="dxa"/>
              <w:bottom w:w="100" w:type="dxa"/>
              <w:right w:w="120" w:type="dxa"/>
            </w:tcMar>
          </w:tcPr>
          <w:p w14:paraId="6819847E">
            <w:r>
              <w:rPr>
                <w:rFonts w:ascii="Calibri" w:hAnsi="Calibri" w:eastAsia="Calibri" w:cs="Calibri"/>
                <w:b/>
                <w:bCs/>
                <w:color w:val="000000"/>
                <w:sz w:val="20"/>
                <w:szCs w:val="20"/>
              </w:rPr>
              <w:t>Domain</w:t>
            </w:r>
          </w:p>
        </w:tc>
        <w:tc>
          <w:tcPr>
            <w:tcW w:w="4500" w:type="dxa"/>
            <w:tcMar>
              <w:top w:w="100" w:type="dxa"/>
              <w:left w:w="120" w:type="dxa"/>
              <w:bottom w:w="100" w:type="dxa"/>
              <w:right w:w="120" w:type="dxa"/>
            </w:tcMar>
          </w:tcPr>
          <w:p w14:paraId="057FF4D3">
            <w:r>
              <w:rPr>
                <w:rFonts w:ascii="Calibri" w:hAnsi="Calibri" w:eastAsia="Calibri" w:cs="Calibri"/>
                <w:b w:val="0"/>
                <w:bCs w:val="0"/>
                <w:color w:val="000000"/>
                <w:sz w:val="20"/>
                <w:szCs w:val="20"/>
              </w:rPr>
              <w:t>Banking &amp; Financial Analytics</w:t>
            </w:r>
          </w:p>
        </w:tc>
      </w:tr>
      <w:tr w14:paraId="76B3E1A9">
        <w:trPr>
          <w:jc w:val="center"/>
        </w:trPr>
        <w:tc>
          <w:tcPr>
            <w:tcW w:w="2500" w:type="dxa"/>
            <w:tcMar>
              <w:top w:w="100" w:type="dxa"/>
              <w:left w:w="120" w:type="dxa"/>
              <w:bottom w:w="100" w:type="dxa"/>
              <w:right w:w="120" w:type="dxa"/>
            </w:tcMar>
          </w:tcPr>
          <w:p w14:paraId="63941AAD">
            <w:r>
              <w:rPr>
                <w:rFonts w:ascii="Calibri" w:hAnsi="Calibri" w:eastAsia="Calibri" w:cs="Calibri"/>
                <w:b/>
                <w:bCs/>
                <w:color w:val="000000"/>
                <w:sz w:val="20"/>
                <w:szCs w:val="20"/>
              </w:rPr>
              <w:t>Specialization</w:t>
            </w:r>
          </w:p>
        </w:tc>
        <w:tc>
          <w:tcPr>
            <w:tcW w:w="4500" w:type="dxa"/>
            <w:tcMar>
              <w:top w:w="100" w:type="dxa"/>
              <w:left w:w="120" w:type="dxa"/>
              <w:bottom w:w="100" w:type="dxa"/>
              <w:right w:w="120" w:type="dxa"/>
            </w:tcMar>
          </w:tcPr>
          <w:p w14:paraId="0F470946">
            <w:r>
              <w:rPr>
                <w:rFonts w:ascii="Calibri" w:hAnsi="Calibri" w:eastAsia="Calibri" w:cs="Calibri"/>
                <w:b w:val="0"/>
                <w:bCs w:val="0"/>
                <w:color w:val="000000"/>
                <w:sz w:val="20"/>
                <w:szCs w:val="20"/>
              </w:rPr>
              <w:t>Data Science and Big Data Analytics (DAV)</w:t>
            </w:r>
          </w:p>
        </w:tc>
      </w:tr>
      <w:tr w14:paraId="5E87E25A">
        <w:trPr>
          <w:jc w:val="center"/>
        </w:trPr>
        <w:tc>
          <w:tcPr>
            <w:tcW w:w="2500" w:type="dxa"/>
            <w:tcMar>
              <w:top w:w="100" w:type="dxa"/>
              <w:left w:w="120" w:type="dxa"/>
              <w:bottom w:w="100" w:type="dxa"/>
              <w:right w:w="120" w:type="dxa"/>
            </w:tcMar>
          </w:tcPr>
          <w:p w14:paraId="708FA404">
            <w:r>
              <w:rPr>
                <w:rFonts w:ascii="Calibri" w:hAnsi="Calibri" w:eastAsia="Calibri" w:cs="Calibri"/>
                <w:b/>
                <w:bCs/>
                <w:color w:val="000000"/>
                <w:sz w:val="20"/>
                <w:szCs w:val="20"/>
              </w:rPr>
              <w:t>Date of Submission</w:t>
            </w:r>
          </w:p>
        </w:tc>
        <w:tc>
          <w:tcPr>
            <w:tcW w:w="4500" w:type="dxa"/>
            <w:tcMar>
              <w:top w:w="100" w:type="dxa"/>
              <w:left w:w="120" w:type="dxa"/>
              <w:bottom w:w="100" w:type="dxa"/>
              <w:right w:w="120" w:type="dxa"/>
            </w:tcMar>
          </w:tcPr>
          <w:p w14:paraId="7FB7F60A">
            <w:r>
              <w:rPr>
                <w:rFonts w:ascii="Calibri" w:hAnsi="Calibri" w:eastAsia="Calibri" w:cs="Calibri"/>
                <w:b w:val="0"/>
                <w:bCs w:val="0"/>
                <w:color w:val="000000"/>
                <w:sz w:val="20"/>
                <w:szCs w:val="20"/>
              </w:rPr>
              <w:t>5 August 2026</w:t>
            </w:r>
          </w:p>
        </w:tc>
      </w:tr>
    </w:tbl>
    <w:p w14:paraId="4D859752">
      <w:r>
        <w:br w:type="page"/>
      </w:r>
    </w:p>
    <w:p w14:paraId="144B4DE8">
      <w:pPr>
        <w:sectPr>
          <w:pgSz w:w="12240" w:h="15840"/>
          <w:pgMar w:top="1440" w:right="1440" w:bottom="1440" w:left="1440" w:header="708" w:footer="708" w:gutter="0"/>
          <w:cols w:space="720" w:num="1"/>
          <w:docGrid w:linePitch="360" w:charSpace="0"/>
        </w:sectPr>
      </w:pPr>
    </w:p>
    <w:p w14:paraId="5CB24DE3">
      <w:pPr>
        <w:pStyle w:val="2"/>
        <w:pBdr>
          <w:bottom w:val="single" w:color="2E5395" w:sz="8" w:space="4"/>
        </w:pBdr>
        <w:spacing w:before="340" w:after="160"/>
      </w:pPr>
      <w:r>
        <w:rPr>
          <w:rFonts w:ascii="Calibri" w:hAnsi="Calibri" w:eastAsia="Calibri" w:cs="Calibri"/>
          <w:b/>
          <w:bCs/>
          <w:color w:val="1F3864"/>
          <w:sz w:val="28"/>
          <w:szCs w:val="28"/>
        </w:rPr>
        <w:t>Title</w:t>
      </w:r>
    </w:p>
    <w:p w14:paraId="14BA8EA6">
      <w:pPr>
        <w:spacing w:after="150" w:line="300" w:lineRule="auto"/>
        <w:jc w:val="both"/>
      </w:pPr>
      <w:r>
        <w:rPr>
          <w:rFonts w:ascii="Calibri" w:hAnsi="Calibri" w:eastAsia="Calibri" w:cs="Calibri"/>
          <w:b/>
          <w:bCs/>
          <w:sz w:val="22"/>
          <w:szCs w:val="22"/>
        </w:rPr>
        <w:t>AI-Driven Loan Default Prediction Using Banking Analytics</w:t>
      </w:r>
    </w:p>
    <w:p w14:paraId="7CDC4770">
      <w:pPr>
        <w:pStyle w:val="2"/>
        <w:pBdr>
          <w:bottom w:val="single" w:color="2E5395" w:sz="8" w:space="4"/>
        </w:pBdr>
        <w:spacing w:before="340" w:after="160"/>
      </w:pPr>
      <w:r>
        <w:rPr>
          <w:rFonts w:ascii="Calibri" w:hAnsi="Calibri" w:eastAsia="Calibri" w:cs="Calibri"/>
          <w:b/>
          <w:bCs/>
          <w:color w:val="1F3864"/>
          <w:sz w:val="28"/>
          <w:szCs w:val="28"/>
        </w:rPr>
        <w:t>Domain</w:t>
      </w:r>
    </w:p>
    <w:p w14:paraId="6E9A4617">
      <w:pPr>
        <w:spacing w:after="150" w:line="300" w:lineRule="auto"/>
        <w:jc w:val="both"/>
      </w:pPr>
      <w:r>
        <w:rPr>
          <w:rFonts w:ascii="Calibri" w:hAnsi="Calibri" w:eastAsia="Calibri" w:cs="Calibri"/>
          <w:sz w:val="22"/>
          <w:szCs w:val="22"/>
        </w:rPr>
        <w:t>Banking &amp; Financial Analytics</w:t>
      </w:r>
    </w:p>
    <w:p w14:paraId="20CDC52F">
      <w:pPr>
        <w:pStyle w:val="2"/>
        <w:pBdr>
          <w:bottom w:val="single" w:color="2E5395" w:sz="8" w:space="4"/>
        </w:pBdr>
        <w:spacing w:before="340" w:after="160"/>
      </w:pPr>
      <w:r>
        <w:rPr>
          <w:rFonts w:ascii="Calibri" w:hAnsi="Calibri" w:eastAsia="Calibri" w:cs="Calibri"/>
          <w:b/>
          <w:bCs/>
          <w:color w:val="1F3864"/>
          <w:sz w:val="28"/>
          <w:szCs w:val="28"/>
        </w:rPr>
        <w:t>Dataset</w:t>
      </w:r>
    </w:p>
    <w:p w14:paraId="11F9426F">
      <w:pPr>
        <w:spacing w:after="150" w:line="300" w:lineRule="auto"/>
        <w:jc w:val="both"/>
      </w:pPr>
      <w:r>
        <w:rPr>
          <w:rFonts w:ascii="Calibri" w:hAnsi="Calibri" w:eastAsia="Calibri" w:cs="Calibri"/>
          <w:sz w:val="22"/>
          <w:szCs w:val="22"/>
        </w:rPr>
        <w:t>I recommend using three benchmark datasets together:</w:t>
      </w:r>
    </w:p>
    <w:p w14:paraId="34265F66">
      <w:pPr>
        <w:spacing w:after="60"/>
      </w:pPr>
      <w:r>
        <w:rPr>
          <w:rFonts w:ascii="Calibri" w:hAnsi="Calibri" w:eastAsia="Calibri" w:cs="Calibri"/>
          <w:sz w:val="22"/>
          <w:szCs w:val="22"/>
        </w:rPr>
        <w:t xml:space="preserve">1. Lending Club Loan Dataset (large-scale consumer lending, loan-level repayment outcomes) — </w:t>
      </w:r>
      <w:r>
        <w:rPr>
          <w:rFonts w:ascii="Calibri" w:hAnsi="Calibri" w:eastAsia="Calibri" w:cs="Calibri"/>
          <w:color w:val="1155CC"/>
          <w:sz w:val="22"/>
          <w:szCs w:val="22"/>
          <w:u w:val="single"/>
        </w:rPr>
        <w:t>https://www.kaggle.com/datasets/wordsforthewise/lending-club</w:t>
      </w:r>
    </w:p>
    <w:p w14:paraId="0CADA706">
      <w:pPr>
        <w:spacing w:after="60"/>
      </w:pPr>
      <w:r>
        <w:rPr>
          <w:rFonts w:ascii="Calibri" w:hAnsi="Calibri" w:eastAsia="Calibri" w:cs="Calibri"/>
          <w:sz w:val="22"/>
          <w:szCs w:val="22"/>
        </w:rPr>
        <w:t xml:space="preserve">2. Statlog German Credit Dataset (UCI benchmark for credit-risk classification) — </w:t>
      </w:r>
      <w:r>
        <w:rPr>
          <w:rFonts w:ascii="Calibri" w:hAnsi="Calibri" w:eastAsia="Calibri" w:cs="Calibri"/>
          <w:color w:val="1155CC"/>
          <w:sz w:val="22"/>
          <w:szCs w:val="22"/>
          <w:u w:val="single"/>
        </w:rPr>
        <w:t>https://archive.ics.uci.edu/dataset/144/statlog+german+credit+data</w:t>
      </w:r>
    </w:p>
    <w:p w14:paraId="1BCB671E">
      <w:pPr>
        <w:spacing w:after="60"/>
      </w:pPr>
      <w:r>
        <w:rPr>
          <w:rFonts w:ascii="Calibri" w:hAnsi="Calibri" w:eastAsia="Calibri" w:cs="Calibri"/>
          <w:sz w:val="22"/>
          <w:szCs w:val="22"/>
        </w:rPr>
        <w:t xml:space="preserve">3. Home Credit Default Risk Dataset (alternative/behavioural data for thin-file and underserved borrowers) — </w:t>
      </w:r>
      <w:r>
        <w:rPr>
          <w:rFonts w:ascii="Calibri" w:hAnsi="Calibri" w:eastAsia="Calibri" w:cs="Calibri"/>
          <w:color w:val="1155CC"/>
          <w:sz w:val="22"/>
          <w:szCs w:val="22"/>
          <w:u w:val="single"/>
        </w:rPr>
        <w:t>https://www.kaggle.com/competitions/home-credit-default-risk/data</w:t>
      </w:r>
    </w:p>
    <w:p w14:paraId="33121391">
      <w:pPr>
        <w:spacing w:after="150" w:line="300" w:lineRule="auto"/>
        <w:jc w:val="both"/>
      </w:pPr>
      <w:r>
        <w:rPr>
          <w:rFonts w:ascii="Calibri" w:hAnsi="Calibri" w:eastAsia="Calibri" w:cs="Calibri"/>
          <w:sz w:val="22"/>
          <w:szCs w:val="22"/>
        </w:rPr>
        <w:t>All three are well-established, valid datasets in credit-risk research. All are to be considered in the project.</w:t>
      </w:r>
    </w:p>
    <w:p w14:paraId="75C94BEB">
      <w:r>
        <w:br w:type="page"/>
      </w:r>
    </w:p>
    <w:p w14:paraId="5BAB05B5">
      <w:pPr>
        <w:pStyle w:val="2"/>
        <w:pBdr>
          <w:bottom w:val="single" w:color="2E5395" w:sz="8" w:space="4"/>
        </w:pBdr>
        <w:spacing w:before="340" w:after="160"/>
      </w:pPr>
      <w:r>
        <w:rPr>
          <w:rFonts w:ascii="Calibri" w:hAnsi="Calibri" w:eastAsia="Calibri" w:cs="Calibri"/>
          <w:b/>
          <w:bCs/>
          <w:color w:val="1F3864"/>
          <w:sz w:val="28"/>
          <w:szCs w:val="28"/>
        </w:rPr>
        <w:t>Abstract</w:t>
      </w:r>
    </w:p>
    <w:p w14:paraId="225DC363">
      <w:pPr>
        <w:spacing w:after="150" w:line="300" w:lineRule="auto"/>
        <w:jc w:val="both"/>
      </w:pPr>
      <w:r>
        <w:rPr>
          <w:rFonts w:ascii="Calibri" w:hAnsi="Calibri" w:eastAsia="Calibri" w:cs="Calibri"/>
          <w:sz w:val="22"/>
          <w:szCs w:val="22"/>
        </w:rPr>
        <w:t>Loan default prediction is a critical challenge for the banking and financial services industry, directly affecting institutional profitability, liquidity, and regulatory risk exposure. This project, titled “AI-Driven Loan Default Prediction Using Banking Analytics,” proposes a machine-learning-based framework to predict the probability of a borrower defaulting on a loan by analysing historical banking and credit data. Traditional credit assessment methods, largely dependent on manual underwriting and static rule-based scorecards, often fail to capture the complex, non-linear relationships that exist between borrower characteristics, repayment history, and macroeconomic conditions. As a result, financial institutions frequently misclassify risk, leading to increased non-performing assets (NPAs) and reduced capital efficiency.</w:t>
      </w:r>
    </w:p>
    <w:p w14:paraId="584015E7">
      <w:pPr>
        <w:spacing w:after="150" w:line="300" w:lineRule="auto"/>
        <w:jc w:val="both"/>
      </w:pPr>
      <w:r>
        <w:rPr>
          <w:rFonts w:ascii="Calibri" w:hAnsi="Calibri" w:eastAsia="Calibri" w:cs="Calibri"/>
          <w:sz w:val="22"/>
          <w:szCs w:val="22"/>
        </w:rPr>
        <w:t>To address this gap, the proposed system applies a structured data-analytics pipeline consisting of data cleaning, exploratory data analysis, feature engineering, feature selection, model building, and evaluation across three benchmark datasets — the Lending Club Loan Dataset, the Statlog German Credit Dataset, and the Home Credit Default Risk Dataset. This combination is deliberately chosen because it covers traditional consumer lending records, a classical credit-risk benchmark, and alternative behavioural/demographic data for underserved borrowers, enabling meaningful comparisons across different lending environments. Multiple supervised learning algorithms — Logistic Regression, Decision Tree, Random Forest, XGBoost, and CatBoost — are trained and compared, with class-imbalance handling applied since default cases typically form a minority class in real-world lending data.</w:t>
      </w:r>
    </w:p>
    <w:p w14:paraId="73CBB253">
      <w:pPr>
        <w:spacing w:after="150" w:line="300" w:lineRule="auto"/>
        <w:jc w:val="both"/>
      </w:pPr>
      <w:r>
        <w:rPr>
          <w:rFonts w:ascii="Calibri" w:hAnsi="Calibri" w:eastAsia="Calibri" w:cs="Calibri"/>
          <w:sz w:val="22"/>
          <w:szCs w:val="22"/>
        </w:rPr>
        <w:t>Model performance is evaluated using Accuracy, Precision, Recall, F1-score, and ROC-AUC, with particular emphasis on recall and precision for the default class, since failing to identify a genuine defaulter is costlier than a false alarm. The best-performing model is interpreted using Explainable AI techniques — SHAP and LIME — to identify the key drivers of default risk, ensuring the system remains transparent and auditable for banking stakeholders and regulators. Results are further communicated through a visualization dashboard comprising heatmaps, boxplots, and feature-importance charts, allowing loan officers to understand not just the prediction but the reasoning behind it.</w:t>
      </w:r>
    </w:p>
    <w:p w14:paraId="5A3F34B6">
      <w:pPr>
        <w:spacing w:after="150" w:line="300" w:lineRule="auto"/>
        <w:jc w:val="both"/>
      </w:pPr>
      <w:r>
        <w:rPr>
          <w:rFonts w:ascii="Calibri" w:hAnsi="Calibri" w:eastAsia="Calibri" w:cs="Calibri"/>
          <w:sz w:val="22"/>
          <w:szCs w:val="22"/>
        </w:rPr>
        <w:t>The expected outcome of this project is a working, explainable prototype capable of predicting loan default risk with high accuracy while remaining interpretable to non-technical banking stakeholders. Beyond academic demonstration, the approach reflects a practical, scalable pattern that banks and NBFCs can adopt to strengthen credit underwriting, reduce NPAs, and improve overall portfolio health, while aligning closely with current research in Credit Risk Modelling, Financial Data Mining, and Explainable AI.</w:t>
      </w:r>
    </w:p>
    <w:p w14:paraId="34BCE0CB">
      <w:r>
        <w:br w:type="page"/>
      </w:r>
    </w:p>
    <w:p w14:paraId="2C2B15C0">
      <w:pPr>
        <w:pStyle w:val="2"/>
        <w:pBdr>
          <w:bottom w:val="single" w:color="2E5395" w:sz="8" w:space="4"/>
        </w:pBdr>
        <w:spacing w:before="340" w:after="160"/>
      </w:pPr>
      <w:r>
        <w:rPr>
          <w:rFonts w:ascii="Calibri" w:hAnsi="Calibri" w:eastAsia="Calibri" w:cs="Calibri"/>
          <w:b/>
          <w:bCs/>
          <w:color w:val="1F3864"/>
          <w:sz w:val="28"/>
          <w:szCs w:val="28"/>
        </w:rPr>
        <w:t>Data Analytics</w:t>
      </w:r>
    </w:p>
    <w:p w14:paraId="7FB06790">
      <w:pPr>
        <w:pStyle w:val="3"/>
        <w:spacing w:before="220" w:after="100"/>
      </w:pPr>
      <w:r>
        <w:rPr>
          <w:rFonts w:ascii="Calibri" w:hAnsi="Calibri" w:eastAsia="Calibri" w:cs="Calibri"/>
          <w:b/>
          <w:bCs/>
          <w:color w:val="2E5395"/>
          <w:sz w:val="23"/>
          <w:szCs w:val="23"/>
        </w:rPr>
        <w:t>• EDA</w:t>
      </w:r>
    </w:p>
    <w:p w14:paraId="0FC23C13">
      <w:pPr>
        <w:spacing w:after="150" w:line="300" w:lineRule="auto"/>
        <w:jc w:val="both"/>
      </w:pPr>
      <w:r>
        <w:rPr>
          <w:rFonts w:ascii="Calibri" w:hAnsi="Calibri" w:eastAsia="Calibri" w:cs="Calibri"/>
          <w:sz w:val="22"/>
          <w:szCs w:val="22"/>
        </w:rPr>
        <w:t>➔ EDA Flow Diagram:</w:t>
      </w:r>
    </w:p>
    <w:tbl>
      <w:tblPr>
        <w:tblStyle w:val="9"/>
        <w:tblW w:w="9020" w:type="dxa"/>
        <w:tblInd w:w="0" w:type="dxa"/>
        <w:tblBorders>
          <w:top w:val="single" w:color="D9D9D9" w:sz="4" w:space="0"/>
          <w:left w:val="single" w:color="D9D9D9" w:sz="4" w:space="0"/>
          <w:bottom w:val="single" w:color="D9D9D9" w:sz="4" w:space="0"/>
          <w:right w:val="single" w:color="D9D9D9" w:sz="4" w:space="0"/>
          <w:insideH w:val="none" w:color="auto" w:sz="0" w:space="0"/>
          <w:insideV w:val="none" w:color="auto" w:sz="0" w:space="0"/>
        </w:tblBorders>
        <w:tblLayout w:type="autofit"/>
        <w:tblCellMar>
          <w:top w:w="0" w:type="dxa"/>
          <w:left w:w="10" w:type="dxa"/>
          <w:bottom w:w="0" w:type="dxa"/>
          <w:right w:w="10" w:type="dxa"/>
        </w:tblCellMar>
      </w:tblPr>
      <w:tblGrid>
        <w:gridCol w:w="9020"/>
      </w:tblGrid>
      <w:tr w14:paraId="7D44D348">
        <w:tc>
          <w:tcPr>
            <w:tcW w:w="9020" w:type="dxa"/>
            <w:shd w:val="clear" w:color="auto" w:fill="F5F7FA"/>
            <w:tcMar>
              <w:top w:w="200" w:type="dxa"/>
              <w:left w:w="200" w:type="dxa"/>
              <w:bottom w:w="200" w:type="dxa"/>
              <w:right w:w="200" w:type="dxa"/>
            </w:tcMar>
          </w:tcPr>
          <w:p w14:paraId="21172FDF">
            <w:pPr>
              <w:spacing w:after="40"/>
              <w:jc w:val="center"/>
            </w:pPr>
            <w:r>
              <w:rPr>
                <w:rFonts w:ascii="Consolas" w:hAnsi="Consolas" w:eastAsia="Consolas" w:cs="Consolas"/>
                <w:b/>
                <w:bCs/>
                <w:color w:val="1F3864"/>
                <w:sz w:val="21"/>
                <w:szCs w:val="21"/>
              </w:rPr>
              <w:t>Raw Dataset</w:t>
            </w:r>
          </w:p>
          <w:p w14:paraId="30621FBA">
            <w:pPr>
              <w:spacing w:after="20"/>
              <w:jc w:val="center"/>
            </w:pPr>
            <w:r>
              <w:rPr>
                <w:rFonts w:ascii="Consolas" w:hAnsi="Consolas" w:eastAsia="Consolas" w:cs="Consolas"/>
                <w:b w:val="0"/>
                <w:bCs w:val="0"/>
                <w:color w:val="9AA5B1"/>
                <w:sz w:val="21"/>
                <w:szCs w:val="21"/>
              </w:rPr>
              <w:t>│</w:t>
            </w:r>
          </w:p>
          <w:p w14:paraId="04E16757">
            <w:pPr>
              <w:spacing w:after="20"/>
              <w:jc w:val="center"/>
            </w:pPr>
            <w:r>
              <w:rPr>
                <w:rFonts w:ascii="Consolas" w:hAnsi="Consolas" w:eastAsia="Consolas" w:cs="Consolas"/>
                <w:b w:val="0"/>
                <w:bCs w:val="0"/>
                <w:color w:val="9AA5B1"/>
                <w:sz w:val="21"/>
                <w:szCs w:val="21"/>
              </w:rPr>
              <w:t>▼</w:t>
            </w:r>
          </w:p>
          <w:p w14:paraId="4086DD29">
            <w:pPr>
              <w:spacing w:after="40"/>
              <w:jc w:val="center"/>
            </w:pPr>
            <w:r>
              <w:rPr>
                <w:rFonts w:ascii="Consolas" w:hAnsi="Consolas" w:eastAsia="Consolas" w:cs="Consolas"/>
                <w:b/>
                <w:bCs/>
                <w:color w:val="1F3864"/>
                <w:sz w:val="21"/>
                <w:szCs w:val="21"/>
              </w:rPr>
              <w:t>Dataset Overview</w:t>
            </w:r>
          </w:p>
          <w:p w14:paraId="33D800E4">
            <w:pPr>
              <w:spacing w:after="20"/>
              <w:jc w:val="center"/>
            </w:pPr>
            <w:r>
              <w:rPr>
                <w:rFonts w:ascii="Consolas" w:hAnsi="Consolas" w:eastAsia="Consolas" w:cs="Consolas"/>
                <w:b w:val="0"/>
                <w:bCs w:val="0"/>
                <w:color w:val="9AA5B1"/>
                <w:sz w:val="21"/>
                <w:szCs w:val="21"/>
              </w:rPr>
              <w:t>│</w:t>
            </w:r>
          </w:p>
          <w:p w14:paraId="763A4C13">
            <w:pPr>
              <w:spacing w:after="20"/>
              <w:jc w:val="center"/>
            </w:pPr>
            <w:r>
              <w:rPr>
                <w:rFonts w:ascii="Consolas" w:hAnsi="Consolas" w:eastAsia="Consolas" w:cs="Consolas"/>
                <w:b w:val="0"/>
                <w:bCs w:val="0"/>
                <w:color w:val="9AA5B1"/>
                <w:sz w:val="21"/>
                <w:szCs w:val="21"/>
              </w:rPr>
              <w:t>▼</w:t>
            </w:r>
          </w:p>
          <w:p w14:paraId="7D004424">
            <w:pPr>
              <w:spacing w:after="40"/>
              <w:jc w:val="center"/>
            </w:pPr>
            <w:r>
              <w:rPr>
                <w:rFonts w:ascii="Consolas" w:hAnsi="Consolas" w:eastAsia="Consolas" w:cs="Consolas"/>
                <w:b/>
                <w:bCs/>
                <w:color w:val="1F3864"/>
                <w:sz w:val="21"/>
                <w:szCs w:val="21"/>
              </w:rPr>
              <w:t>Data Quality Assessment</w:t>
            </w:r>
          </w:p>
          <w:p w14:paraId="557B81B6">
            <w:pPr>
              <w:spacing w:after="20"/>
              <w:jc w:val="center"/>
            </w:pPr>
            <w:r>
              <w:rPr>
                <w:rFonts w:ascii="Consolas" w:hAnsi="Consolas" w:eastAsia="Consolas" w:cs="Consolas"/>
                <w:b w:val="0"/>
                <w:bCs w:val="0"/>
                <w:color w:val="9AA5B1"/>
                <w:sz w:val="21"/>
                <w:szCs w:val="21"/>
              </w:rPr>
              <w:t>│</w:t>
            </w:r>
          </w:p>
          <w:p w14:paraId="63B3C613">
            <w:pPr>
              <w:spacing w:after="20"/>
              <w:jc w:val="center"/>
            </w:pPr>
            <w:r>
              <w:rPr>
                <w:rFonts w:ascii="Consolas" w:hAnsi="Consolas" w:eastAsia="Consolas" w:cs="Consolas"/>
                <w:b w:val="0"/>
                <w:bCs w:val="0"/>
                <w:color w:val="9AA5B1"/>
                <w:sz w:val="21"/>
                <w:szCs w:val="21"/>
              </w:rPr>
              <w:t>▼</w:t>
            </w:r>
          </w:p>
          <w:p w14:paraId="7C9AD0B5">
            <w:pPr>
              <w:spacing w:after="40"/>
              <w:jc w:val="center"/>
            </w:pPr>
            <w:r>
              <w:rPr>
                <w:rFonts w:ascii="Consolas" w:hAnsi="Consolas" w:eastAsia="Consolas" w:cs="Consolas"/>
                <w:b/>
                <w:bCs/>
                <w:color w:val="1F3864"/>
                <w:sz w:val="21"/>
                <w:szCs w:val="21"/>
              </w:rPr>
              <w:t>Descriptive Statistics</w:t>
            </w:r>
          </w:p>
          <w:p w14:paraId="132F832B">
            <w:pPr>
              <w:spacing w:after="20"/>
              <w:jc w:val="center"/>
            </w:pPr>
            <w:r>
              <w:rPr>
                <w:rFonts w:ascii="Consolas" w:hAnsi="Consolas" w:eastAsia="Consolas" w:cs="Consolas"/>
                <w:b w:val="0"/>
                <w:bCs w:val="0"/>
                <w:color w:val="9AA5B1"/>
                <w:sz w:val="21"/>
                <w:szCs w:val="21"/>
              </w:rPr>
              <w:t>│</w:t>
            </w:r>
          </w:p>
          <w:p w14:paraId="2A459643">
            <w:pPr>
              <w:spacing w:after="20"/>
              <w:jc w:val="center"/>
            </w:pPr>
            <w:r>
              <w:rPr>
                <w:rFonts w:ascii="Consolas" w:hAnsi="Consolas" w:eastAsia="Consolas" w:cs="Consolas"/>
                <w:b w:val="0"/>
                <w:bCs w:val="0"/>
                <w:color w:val="9AA5B1"/>
                <w:sz w:val="21"/>
                <w:szCs w:val="21"/>
              </w:rPr>
              <w:t>▼</w:t>
            </w:r>
          </w:p>
          <w:p w14:paraId="2AE8325A">
            <w:pPr>
              <w:spacing w:after="40"/>
              <w:jc w:val="center"/>
            </w:pPr>
            <w:r>
              <w:rPr>
                <w:rFonts w:ascii="Consolas" w:hAnsi="Consolas" w:eastAsia="Consolas" w:cs="Consolas"/>
                <w:b/>
                <w:bCs/>
                <w:color w:val="1F3864"/>
                <w:sz w:val="21"/>
                <w:szCs w:val="21"/>
              </w:rPr>
              <w:t>Missing Values</w:t>
            </w:r>
          </w:p>
          <w:p w14:paraId="72854C8C">
            <w:pPr>
              <w:spacing w:after="20"/>
              <w:jc w:val="center"/>
            </w:pPr>
            <w:r>
              <w:rPr>
                <w:rFonts w:ascii="Consolas" w:hAnsi="Consolas" w:eastAsia="Consolas" w:cs="Consolas"/>
                <w:b w:val="0"/>
                <w:bCs w:val="0"/>
                <w:color w:val="9AA5B1"/>
                <w:sz w:val="21"/>
                <w:szCs w:val="21"/>
              </w:rPr>
              <w:t>│</w:t>
            </w:r>
          </w:p>
          <w:p w14:paraId="2AF45563">
            <w:pPr>
              <w:spacing w:after="20"/>
              <w:jc w:val="center"/>
            </w:pPr>
            <w:r>
              <w:rPr>
                <w:rFonts w:ascii="Consolas" w:hAnsi="Consolas" w:eastAsia="Consolas" w:cs="Consolas"/>
                <w:b w:val="0"/>
                <w:bCs w:val="0"/>
                <w:color w:val="9AA5B1"/>
                <w:sz w:val="21"/>
                <w:szCs w:val="21"/>
              </w:rPr>
              <w:t>▼</w:t>
            </w:r>
          </w:p>
          <w:p w14:paraId="0B37B5C9">
            <w:pPr>
              <w:spacing w:after="40"/>
              <w:jc w:val="center"/>
            </w:pPr>
            <w:r>
              <w:rPr>
                <w:rFonts w:ascii="Consolas" w:hAnsi="Consolas" w:eastAsia="Consolas" w:cs="Consolas"/>
                <w:b/>
                <w:bCs/>
                <w:color w:val="1F3864"/>
                <w:sz w:val="21"/>
                <w:szCs w:val="21"/>
              </w:rPr>
              <w:t>Duplicate Records</w:t>
            </w:r>
          </w:p>
          <w:p w14:paraId="0491FA77">
            <w:pPr>
              <w:spacing w:after="20"/>
              <w:jc w:val="center"/>
            </w:pPr>
            <w:r>
              <w:rPr>
                <w:rFonts w:ascii="Consolas" w:hAnsi="Consolas" w:eastAsia="Consolas" w:cs="Consolas"/>
                <w:b w:val="0"/>
                <w:bCs w:val="0"/>
                <w:color w:val="9AA5B1"/>
                <w:sz w:val="21"/>
                <w:szCs w:val="21"/>
              </w:rPr>
              <w:t>│</w:t>
            </w:r>
          </w:p>
          <w:p w14:paraId="4EFA1C27">
            <w:pPr>
              <w:spacing w:after="20"/>
              <w:jc w:val="center"/>
            </w:pPr>
            <w:r>
              <w:rPr>
                <w:rFonts w:ascii="Consolas" w:hAnsi="Consolas" w:eastAsia="Consolas" w:cs="Consolas"/>
                <w:b w:val="0"/>
                <w:bCs w:val="0"/>
                <w:color w:val="9AA5B1"/>
                <w:sz w:val="21"/>
                <w:szCs w:val="21"/>
              </w:rPr>
              <w:t>▼</w:t>
            </w:r>
          </w:p>
          <w:p w14:paraId="287A387E">
            <w:pPr>
              <w:spacing w:after="40"/>
              <w:jc w:val="center"/>
            </w:pPr>
            <w:r>
              <w:rPr>
                <w:rFonts w:ascii="Consolas" w:hAnsi="Consolas" w:eastAsia="Consolas" w:cs="Consolas"/>
                <w:b/>
                <w:bCs/>
                <w:color w:val="1F3864"/>
                <w:sz w:val="21"/>
                <w:szCs w:val="21"/>
              </w:rPr>
              <w:t>Outlier Detection</w:t>
            </w:r>
          </w:p>
          <w:p w14:paraId="2CECAA4E">
            <w:pPr>
              <w:spacing w:after="20"/>
              <w:jc w:val="center"/>
            </w:pPr>
            <w:r>
              <w:rPr>
                <w:rFonts w:ascii="Consolas" w:hAnsi="Consolas" w:eastAsia="Consolas" w:cs="Consolas"/>
                <w:b w:val="0"/>
                <w:bCs w:val="0"/>
                <w:color w:val="9AA5B1"/>
                <w:sz w:val="21"/>
                <w:szCs w:val="21"/>
              </w:rPr>
              <w:t>│</w:t>
            </w:r>
          </w:p>
          <w:p w14:paraId="1A751976">
            <w:pPr>
              <w:spacing w:after="20"/>
              <w:jc w:val="center"/>
            </w:pPr>
            <w:r>
              <w:rPr>
                <w:rFonts w:ascii="Consolas" w:hAnsi="Consolas" w:eastAsia="Consolas" w:cs="Consolas"/>
                <w:b w:val="0"/>
                <w:bCs w:val="0"/>
                <w:color w:val="9AA5B1"/>
                <w:sz w:val="21"/>
                <w:szCs w:val="21"/>
              </w:rPr>
              <w:t>▼</w:t>
            </w:r>
          </w:p>
          <w:p w14:paraId="3A49F27A">
            <w:pPr>
              <w:spacing w:after="40"/>
              <w:jc w:val="center"/>
            </w:pPr>
            <w:r>
              <w:rPr>
                <w:rFonts w:ascii="Consolas" w:hAnsi="Consolas" w:eastAsia="Consolas" w:cs="Consolas"/>
                <w:b/>
                <w:bCs/>
                <w:color w:val="1F3864"/>
                <w:sz w:val="21"/>
                <w:szCs w:val="21"/>
              </w:rPr>
              <w:t>Univariate Analysis</w:t>
            </w:r>
          </w:p>
          <w:p w14:paraId="2F5CEF37">
            <w:pPr>
              <w:spacing w:after="20"/>
              <w:jc w:val="center"/>
            </w:pPr>
            <w:r>
              <w:rPr>
                <w:rFonts w:ascii="Consolas" w:hAnsi="Consolas" w:eastAsia="Consolas" w:cs="Consolas"/>
                <w:b w:val="0"/>
                <w:bCs w:val="0"/>
                <w:color w:val="9AA5B1"/>
                <w:sz w:val="21"/>
                <w:szCs w:val="21"/>
              </w:rPr>
              <w:t>│</w:t>
            </w:r>
          </w:p>
          <w:p w14:paraId="45A1398A">
            <w:pPr>
              <w:spacing w:after="20"/>
              <w:jc w:val="center"/>
            </w:pPr>
            <w:r>
              <w:rPr>
                <w:rFonts w:ascii="Consolas" w:hAnsi="Consolas" w:eastAsia="Consolas" w:cs="Consolas"/>
                <w:b w:val="0"/>
                <w:bCs w:val="0"/>
                <w:color w:val="9AA5B1"/>
                <w:sz w:val="21"/>
                <w:szCs w:val="21"/>
              </w:rPr>
              <w:t>▼</w:t>
            </w:r>
          </w:p>
          <w:p w14:paraId="36F62C47">
            <w:pPr>
              <w:spacing w:after="40"/>
              <w:jc w:val="center"/>
            </w:pPr>
            <w:r>
              <w:rPr>
                <w:rFonts w:ascii="Consolas" w:hAnsi="Consolas" w:eastAsia="Consolas" w:cs="Consolas"/>
                <w:b/>
                <w:bCs/>
                <w:color w:val="1F3864"/>
                <w:sz w:val="21"/>
                <w:szCs w:val="21"/>
              </w:rPr>
              <w:t>Bivariate Analysis</w:t>
            </w:r>
          </w:p>
          <w:p w14:paraId="3BD45F24">
            <w:pPr>
              <w:spacing w:after="20"/>
              <w:jc w:val="center"/>
            </w:pPr>
            <w:r>
              <w:rPr>
                <w:rFonts w:ascii="Consolas" w:hAnsi="Consolas" w:eastAsia="Consolas" w:cs="Consolas"/>
                <w:b w:val="0"/>
                <w:bCs w:val="0"/>
                <w:color w:val="9AA5B1"/>
                <w:sz w:val="21"/>
                <w:szCs w:val="21"/>
              </w:rPr>
              <w:t>│</w:t>
            </w:r>
          </w:p>
          <w:p w14:paraId="6D910460">
            <w:pPr>
              <w:spacing w:after="20"/>
              <w:jc w:val="center"/>
            </w:pPr>
            <w:r>
              <w:rPr>
                <w:rFonts w:ascii="Consolas" w:hAnsi="Consolas" w:eastAsia="Consolas" w:cs="Consolas"/>
                <w:b w:val="0"/>
                <w:bCs w:val="0"/>
                <w:color w:val="9AA5B1"/>
                <w:sz w:val="21"/>
                <w:szCs w:val="21"/>
              </w:rPr>
              <w:t>▼</w:t>
            </w:r>
          </w:p>
          <w:p w14:paraId="67265AC7">
            <w:pPr>
              <w:spacing w:after="40"/>
              <w:jc w:val="center"/>
            </w:pPr>
            <w:r>
              <w:rPr>
                <w:rFonts w:ascii="Consolas" w:hAnsi="Consolas" w:eastAsia="Consolas" w:cs="Consolas"/>
                <w:b/>
                <w:bCs/>
                <w:color w:val="1F3864"/>
                <w:sz w:val="21"/>
                <w:szCs w:val="21"/>
              </w:rPr>
              <w:t>Multivariate Analysis</w:t>
            </w:r>
          </w:p>
          <w:p w14:paraId="31A0AFD6">
            <w:pPr>
              <w:spacing w:after="20"/>
              <w:jc w:val="center"/>
            </w:pPr>
            <w:r>
              <w:rPr>
                <w:rFonts w:ascii="Consolas" w:hAnsi="Consolas" w:eastAsia="Consolas" w:cs="Consolas"/>
                <w:b w:val="0"/>
                <w:bCs w:val="0"/>
                <w:color w:val="9AA5B1"/>
                <w:sz w:val="21"/>
                <w:szCs w:val="21"/>
              </w:rPr>
              <w:t>│</w:t>
            </w:r>
          </w:p>
          <w:p w14:paraId="61A2141C">
            <w:pPr>
              <w:spacing w:after="20"/>
              <w:jc w:val="center"/>
            </w:pPr>
            <w:r>
              <w:rPr>
                <w:rFonts w:ascii="Consolas" w:hAnsi="Consolas" w:eastAsia="Consolas" w:cs="Consolas"/>
                <w:b w:val="0"/>
                <w:bCs w:val="0"/>
                <w:color w:val="9AA5B1"/>
                <w:sz w:val="21"/>
                <w:szCs w:val="21"/>
              </w:rPr>
              <w:t>▼</w:t>
            </w:r>
          </w:p>
          <w:p w14:paraId="14B5F3E6">
            <w:pPr>
              <w:spacing w:after="40"/>
              <w:jc w:val="center"/>
            </w:pPr>
            <w:r>
              <w:rPr>
                <w:rFonts w:ascii="Consolas" w:hAnsi="Consolas" w:eastAsia="Consolas" w:cs="Consolas"/>
                <w:b/>
                <w:bCs/>
                <w:color w:val="1F3864"/>
                <w:sz w:val="21"/>
                <w:szCs w:val="21"/>
              </w:rPr>
              <w:t>Correlation Analysis</w:t>
            </w:r>
          </w:p>
          <w:p w14:paraId="529F957A">
            <w:pPr>
              <w:spacing w:after="20"/>
              <w:jc w:val="center"/>
            </w:pPr>
            <w:r>
              <w:rPr>
                <w:rFonts w:ascii="Consolas" w:hAnsi="Consolas" w:eastAsia="Consolas" w:cs="Consolas"/>
                <w:b w:val="0"/>
                <w:bCs w:val="0"/>
                <w:color w:val="9AA5B1"/>
                <w:sz w:val="21"/>
                <w:szCs w:val="21"/>
              </w:rPr>
              <w:t>│</w:t>
            </w:r>
          </w:p>
          <w:p w14:paraId="66BFF9FD">
            <w:pPr>
              <w:spacing w:after="20"/>
              <w:jc w:val="center"/>
            </w:pPr>
            <w:r>
              <w:rPr>
                <w:rFonts w:ascii="Consolas" w:hAnsi="Consolas" w:eastAsia="Consolas" w:cs="Consolas"/>
                <w:b w:val="0"/>
                <w:bCs w:val="0"/>
                <w:color w:val="9AA5B1"/>
                <w:sz w:val="21"/>
                <w:szCs w:val="21"/>
              </w:rPr>
              <w:t>▼</w:t>
            </w:r>
          </w:p>
          <w:p w14:paraId="25A4D644">
            <w:pPr>
              <w:spacing w:after="40"/>
              <w:jc w:val="center"/>
            </w:pPr>
            <w:r>
              <w:rPr>
                <w:rFonts w:ascii="Consolas" w:hAnsi="Consolas" w:eastAsia="Consolas" w:cs="Consolas"/>
                <w:b/>
                <w:bCs/>
                <w:color w:val="1F3864"/>
                <w:sz w:val="21"/>
                <w:szCs w:val="21"/>
              </w:rPr>
              <w:t>Feature Engineering</w:t>
            </w:r>
          </w:p>
          <w:p w14:paraId="1A2BF87F">
            <w:pPr>
              <w:spacing w:after="20"/>
              <w:jc w:val="center"/>
            </w:pPr>
            <w:r>
              <w:rPr>
                <w:rFonts w:ascii="Consolas" w:hAnsi="Consolas" w:eastAsia="Consolas" w:cs="Consolas"/>
                <w:b w:val="0"/>
                <w:bCs w:val="0"/>
                <w:color w:val="9AA5B1"/>
                <w:sz w:val="21"/>
                <w:szCs w:val="21"/>
              </w:rPr>
              <w:t>│</w:t>
            </w:r>
          </w:p>
          <w:p w14:paraId="7C4B5732">
            <w:pPr>
              <w:spacing w:after="20"/>
              <w:jc w:val="center"/>
            </w:pPr>
            <w:r>
              <w:rPr>
                <w:rFonts w:ascii="Consolas" w:hAnsi="Consolas" w:eastAsia="Consolas" w:cs="Consolas"/>
                <w:b w:val="0"/>
                <w:bCs w:val="0"/>
                <w:color w:val="9AA5B1"/>
                <w:sz w:val="21"/>
                <w:szCs w:val="21"/>
              </w:rPr>
              <w:t>▼</w:t>
            </w:r>
          </w:p>
          <w:p w14:paraId="27D18A7F">
            <w:pPr>
              <w:spacing w:after="40"/>
              <w:jc w:val="center"/>
            </w:pPr>
            <w:r>
              <w:rPr>
                <w:rFonts w:ascii="Consolas" w:hAnsi="Consolas" w:eastAsia="Consolas" w:cs="Consolas"/>
                <w:b/>
                <w:bCs/>
                <w:color w:val="1F3864"/>
                <w:sz w:val="21"/>
                <w:szCs w:val="21"/>
              </w:rPr>
              <w:t>Feature Selection</w:t>
            </w:r>
          </w:p>
          <w:p w14:paraId="3104A1B7">
            <w:pPr>
              <w:spacing w:after="20"/>
              <w:jc w:val="center"/>
            </w:pPr>
            <w:r>
              <w:rPr>
                <w:rFonts w:ascii="Consolas" w:hAnsi="Consolas" w:eastAsia="Consolas" w:cs="Consolas"/>
                <w:b w:val="0"/>
                <w:bCs w:val="0"/>
                <w:color w:val="9AA5B1"/>
                <w:sz w:val="21"/>
                <w:szCs w:val="21"/>
              </w:rPr>
              <w:t>│</w:t>
            </w:r>
          </w:p>
          <w:p w14:paraId="64613917">
            <w:pPr>
              <w:spacing w:after="20"/>
              <w:jc w:val="center"/>
            </w:pPr>
            <w:r>
              <w:rPr>
                <w:rFonts w:ascii="Consolas" w:hAnsi="Consolas" w:eastAsia="Consolas" w:cs="Consolas"/>
                <w:b w:val="0"/>
                <w:bCs w:val="0"/>
                <w:color w:val="9AA5B1"/>
                <w:sz w:val="21"/>
                <w:szCs w:val="21"/>
              </w:rPr>
              <w:t>▼</w:t>
            </w:r>
          </w:p>
          <w:p w14:paraId="68E1BBB8">
            <w:pPr>
              <w:spacing w:after="40"/>
              <w:jc w:val="center"/>
            </w:pPr>
            <w:r>
              <w:rPr>
                <w:rFonts w:ascii="Consolas" w:hAnsi="Consolas" w:eastAsia="Consolas" w:cs="Consolas"/>
                <w:b/>
                <w:bCs/>
                <w:color w:val="1F3864"/>
                <w:sz w:val="21"/>
                <w:szCs w:val="21"/>
              </w:rPr>
              <w:t>Machine Learning Models</w:t>
            </w:r>
          </w:p>
        </w:tc>
      </w:tr>
    </w:tbl>
    <w:p w14:paraId="76258F10">
      <w:pPr>
        <w:spacing w:before="220"/>
      </w:pPr>
    </w:p>
    <w:p w14:paraId="4DBBA883">
      <w:pPr>
        <w:spacing w:after="150" w:line="300" w:lineRule="auto"/>
        <w:jc w:val="both"/>
      </w:pPr>
      <w:r>
        <w:rPr>
          <w:rFonts w:ascii="Calibri" w:hAnsi="Calibri" w:eastAsia="Calibri" w:cs="Calibri"/>
          <w:sz w:val="22"/>
          <w:szCs w:val="22"/>
        </w:rPr>
        <w:t>The EDA section will include at least 10–12 analytical techniques rather than being limited to basic plots, in order to build a deeper understanding of borrower and loan-level data and to align with real-world credit-risk analytics workflows. These include, at minimum:</w:t>
      </w:r>
    </w:p>
    <w:p w14:paraId="18C605CC">
      <w:pPr>
        <w:pStyle w:val="16"/>
        <w:numPr>
          <w:ilvl w:val="0"/>
          <w:numId w:val="1"/>
        </w:numPr>
        <w:spacing w:after="80"/>
      </w:pPr>
      <w:r>
        <w:rPr>
          <w:rFonts w:ascii="Calibri" w:hAnsi="Calibri" w:eastAsia="Calibri" w:cs="Calibri"/>
          <w:sz w:val="22"/>
          <w:szCs w:val="22"/>
        </w:rPr>
        <w:t>Dataset overview and structural summary (rows, columns, data types).</w:t>
      </w:r>
    </w:p>
    <w:p w14:paraId="4B4C2C58">
      <w:pPr>
        <w:pStyle w:val="16"/>
        <w:numPr>
          <w:ilvl w:val="0"/>
          <w:numId w:val="1"/>
        </w:numPr>
        <w:spacing w:after="80"/>
      </w:pPr>
      <w:r>
        <w:rPr>
          <w:rFonts w:ascii="Calibri" w:hAnsi="Calibri" w:eastAsia="Calibri" w:cs="Calibri"/>
          <w:sz w:val="22"/>
          <w:szCs w:val="22"/>
        </w:rPr>
        <w:t>Data quality assessment (consistency checks, invalid entries, duplicate records).</w:t>
      </w:r>
    </w:p>
    <w:p w14:paraId="3B6ACF31">
      <w:pPr>
        <w:pStyle w:val="16"/>
        <w:numPr>
          <w:ilvl w:val="0"/>
          <w:numId w:val="1"/>
        </w:numPr>
        <w:spacing w:after="80"/>
      </w:pPr>
      <w:r>
        <w:rPr>
          <w:rFonts w:ascii="Calibri" w:hAnsi="Calibri" w:eastAsia="Calibri" w:cs="Calibri"/>
          <w:sz w:val="22"/>
          <w:szCs w:val="22"/>
        </w:rPr>
        <w:t>Descriptive statistics (mean, median, standard deviation, skewness, kurtosis).</w:t>
      </w:r>
    </w:p>
    <w:p w14:paraId="3AEBF9CA">
      <w:pPr>
        <w:pStyle w:val="16"/>
        <w:numPr>
          <w:ilvl w:val="0"/>
          <w:numId w:val="1"/>
        </w:numPr>
        <w:spacing w:after="80"/>
      </w:pPr>
      <w:r>
        <w:rPr>
          <w:rFonts w:ascii="Calibri" w:hAnsi="Calibri" w:eastAsia="Calibri" w:cs="Calibri"/>
          <w:sz w:val="22"/>
          <w:szCs w:val="22"/>
        </w:rPr>
        <w:t>Missing-value analysis and visualization (missingness heatmap).</w:t>
      </w:r>
    </w:p>
    <w:p w14:paraId="5A4820FA">
      <w:pPr>
        <w:pStyle w:val="16"/>
        <w:numPr>
          <w:ilvl w:val="0"/>
          <w:numId w:val="1"/>
        </w:numPr>
        <w:spacing w:after="80"/>
      </w:pPr>
      <w:r>
        <w:rPr>
          <w:rFonts w:ascii="Calibri" w:hAnsi="Calibri" w:eastAsia="Calibri" w:cs="Calibri"/>
          <w:sz w:val="22"/>
          <w:szCs w:val="22"/>
        </w:rPr>
        <w:t>Duplicate-record identification and removal.</w:t>
      </w:r>
    </w:p>
    <w:p w14:paraId="636DA6A0">
      <w:pPr>
        <w:pStyle w:val="16"/>
        <w:numPr>
          <w:ilvl w:val="0"/>
          <w:numId w:val="1"/>
        </w:numPr>
        <w:spacing w:after="80"/>
      </w:pPr>
      <w:r>
        <w:rPr>
          <w:rFonts w:ascii="Calibri" w:hAnsi="Calibri" w:eastAsia="Calibri" w:cs="Calibri"/>
          <w:sz w:val="22"/>
          <w:szCs w:val="22"/>
        </w:rPr>
        <w:t>Outlier detection (IQR method, Z-score, boxplots).</w:t>
      </w:r>
    </w:p>
    <w:p w14:paraId="14FDC422">
      <w:pPr>
        <w:pStyle w:val="16"/>
        <w:numPr>
          <w:ilvl w:val="0"/>
          <w:numId w:val="1"/>
        </w:numPr>
        <w:spacing w:after="80"/>
      </w:pPr>
      <w:r>
        <w:rPr>
          <w:rFonts w:ascii="Calibri" w:hAnsi="Calibri" w:eastAsia="Calibri" w:cs="Calibri"/>
          <w:sz w:val="22"/>
          <w:szCs w:val="22"/>
        </w:rPr>
        <w:t>Univariate analysis of key features (income, loan amount, credit score, tenure).</w:t>
      </w:r>
    </w:p>
    <w:p w14:paraId="4FC794D4">
      <w:pPr>
        <w:pStyle w:val="16"/>
        <w:numPr>
          <w:ilvl w:val="0"/>
          <w:numId w:val="1"/>
        </w:numPr>
        <w:spacing w:after="80"/>
      </w:pPr>
      <w:r>
        <w:rPr>
          <w:rFonts w:ascii="Calibri" w:hAnsi="Calibri" w:eastAsia="Calibri" w:cs="Calibri"/>
          <w:sz w:val="22"/>
          <w:szCs w:val="22"/>
        </w:rPr>
        <w:t>Bivariate analysis (feature vs. default status).</w:t>
      </w:r>
    </w:p>
    <w:p w14:paraId="6024148B">
      <w:pPr>
        <w:pStyle w:val="16"/>
        <w:numPr>
          <w:ilvl w:val="0"/>
          <w:numId w:val="1"/>
        </w:numPr>
        <w:spacing w:after="80"/>
      </w:pPr>
      <w:r>
        <w:rPr>
          <w:rFonts w:ascii="Calibri" w:hAnsi="Calibri" w:eastAsia="Calibri" w:cs="Calibri"/>
          <w:sz w:val="22"/>
          <w:szCs w:val="22"/>
        </w:rPr>
        <w:t>Multivariate analysis (pairwise relationships across risk factors).</w:t>
      </w:r>
    </w:p>
    <w:p w14:paraId="5CF4D6C8">
      <w:pPr>
        <w:pStyle w:val="16"/>
        <w:numPr>
          <w:ilvl w:val="0"/>
          <w:numId w:val="1"/>
        </w:numPr>
        <w:spacing w:after="80"/>
      </w:pPr>
      <w:r>
        <w:rPr>
          <w:rFonts w:ascii="Calibri" w:hAnsi="Calibri" w:eastAsia="Calibri" w:cs="Calibri"/>
          <w:sz w:val="22"/>
          <w:szCs w:val="22"/>
        </w:rPr>
        <w:t>Correlation analysis (Pearson/Spearman correlation heatmap).</w:t>
      </w:r>
    </w:p>
    <w:p w14:paraId="4ECDF6D3">
      <w:pPr>
        <w:pStyle w:val="16"/>
        <w:numPr>
          <w:ilvl w:val="0"/>
          <w:numId w:val="1"/>
        </w:numPr>
        <w:spacing w:after="80"/>
      </w:pPr>
      <w:r>
        <w:rPr>
          <w:rFonts w:ascii="Calibri" w:hAnsi="Calibri" w:eastAsia="Calibri" w:cs="Calibri"/>
          <w:sz w:val="22"/>
          <w:szCs w:val="22"/>
        </w:rPr>
        <w:t>Class-imbalance analysis of the target variable (default vs. non-default).</w:t>
      </w:r>
    </w:p>
    <w:p w14:paraId="7735BDAB">
      <w:pPr>
        <w:pStyle w:val="16"/>
        <w:numPr>
          <w:ilvl w:val="0"/>
          <w:numId w:val="1"/>
        </w:numPr>
        <w:spacing w:after="80"/>
      </w:pPr>
      <w:r>
        <w:rPr>
          <w:rFonts w:ascii="Calibri" w:hAnsi="Calibri" w:eastAsia="Calibri" w:cs="Calibri"/>
          <w:sz w:val="22"/>
          <w:szCs w:val="22"/>
        </w:rPr>
        <w:t>Feature engineering (debt-to-income ratio, credit utilization, repayment consistency).</w:t>
      </w:r>
    </w:p>
    <w:p w14:paraId="645386FE">
      <w:pPr>
        <w:pStyle w:val="16"/>
        <w:numPr>
          <w:ilvl w:val="0"/>
          <w:numId w:val="1"/>
        </w:numPr>
        <w:spacing w:after="80"/>
      </w:pPr>
      <w:r>
        <w:rPr>
          <w:rFonts w:ascii="Calibri" w:hAnsi="Calibri" w:eastAsia="Calibri" w:cs="Calibri"/>
          <w:sz w:val="22"/>
          <w:szCs w:val="22"/>
        </w:rPr>
        <w:t>Feature selection (mutual information, recursive feature elimination, importance ranking).</w:t>
      </w:r>
    </w:p>
    <w:p w14:paraId="12379822">
      <w:pPr>
        <w:pStyle w:val="2"/>
        <w:pBdr>
          <w:bottom w:val="single" w:color="2E5395" w:sz="8" w:space="4"/>
        </w:pBdr>
        <w:spacing w:before="340" w:after="160"/>
      </w:pPr>
      <w:r>
        <w:rPr>
          <w:rFonts w:ascii="Calibri" w:hAnsi="Calibri" w:eastAsia="Calibri" w:cs="Calibri"/>
          <w:b/>
          <w:bCs/>
          <w:color w:val="1F3864"/>
          <w:sz w:val="28"/>
          <w:szCs w:val="28"/>
        </w:rPr>
        <w:t>Preprocessing</w:t>
      </w:r>
    </w:p>
    <w:p w14:paraId="41EFA34D">
      <w:pPr>
        <w:pStyle w:val="16"/>
        <w:numPr>
          <w:ilvl w:val="0"/>
          <w:numId w:val="1"/>
        </w:numPr>
        <w:spacing w:after="80"/>
      </w:pPr>
      <w:r>
        <w:rPr>
          <w:rFonts w:ascii="Calibri" w:hAnsi="Calibri" w:eastAsia="Calibri" w:cs="Calibri"/>
          <w:sz w:val="22"/>
          <w:szCs w:val="22"/>
        </w:rPr>
        <w:t>Missing values — imputation (mean/median/mode or model-based).</w:t>
      </w:r>
    </w:p>
    <w:p w14:paraId="27C08798">
      <w:pPr>
        <w:pStyle w:val="16"/>
        <w:numPr>
          <w:ilvl w:val="0"/>
          <w:numId w:val="1"/>
        </w:numPr>
        <w:spacing w:after="80"/>
      </w:pPr>
      <w:r>
        <w:rPr>
          <w:rFonts w:ascii="Calibri" w:hAnsi="Calibri" w:eastAsia="Calibri" w:cs="Calibri"/>
          <w:sz w:val="22"/>
          <w:szCs w:val="22"/>
        </w:rPr>
        <w:t>Encoding — categorical variables via One-Hot / Label Encoding.</w:t>
      </w:r>
    </w:p>
    <w:p w14:paraId="65D8DAD7">
      <w:pPr>
        <w:pStyle w:val="16"/>
        <w:numPr>
          <w:ilvl w:val="0"/>
          <w:numId w:val="1"/>
        </w:numPr>
        <w:spacing w:after="80"/>
      </w:pPr>
      <w:r>
        <w:rPr>
          <w:rFonts w:ascii="Calibri" w:hAnsi="Calibri" w:eastAsia="Calibri" w:cs="Calibri"/>
          <w:sz w:val="22"/>
          <w:szCs w:val="22"/>
        </w:rPr>
        <w:t>Normalization — feature scaling via Standardization / Min-Max Normalization.</w:t>
      </w:r>
    </w:p>
    <w:p w14:paraId="3B566BE9">
      <w:pPr>
        <w:pStyle w:val="16"/>
        <w:numPr>
          <w:ilvl w:val="0"/>
          <w:numId w:val="1"/>
        </w:numPr>
        <w:spacing w:after="80"/>
      </w:pPr>
      <w:r>
        <w:rPr>
          <w:rFonts w:ascii="Calibri" w:hAnsi="Calibri" w:eastAsia="Calibri" w:cs="Calibri"/>
          <w:sz w:val="22"/>
          <w:szCs w:val="22"/>
        </w:rPr>
        <w:t>Class-imbalance handling — SMOTE / class-weighting for the minority default class.</w:t>
      </w:r>
    </w:p>
    <w:p w14:paraId="631FE445">
      <w:pPr>
        <w:pStyle w:val="2"/>
        <w:pBdr>
          <w:bottom w:val="single" w:color="2E5395" w:sz="8" w:space="4"/>
        </w:pBdr>
        <w:spacing w:before="340" w:after="160"/>
      </w:pPr>
      <w:r>
        <w:rPr>
          <w:rFonts w:ascii="Calibri" w:hAnsi="Calibri" w:eastAsia="Calibri" w:cs="Calibri"/>
          <w:b/>
          <w:bCs/>
          <w:color w:val="1F3864"/>
          <w:sz w:val="28"/>
          <w:szCs w:val="28"/>
        </w:rPr>
        <w:t>ML Models</w:t>
      </w:r>
    </w:p>
    <w:p w14:paraId="4207DB57">
      <w:pPr>
        <w:pStyle w:val="16"/>
        <w:numPr>
          <w:ilvl w:val="0"/>
          <w:numId w:val="1"/>
        </w:numPr>
        <w:spacing w:after="80"/>
      </w:pPr>
      <w:r>
        <w:rPr>
          <w:rFonts w:ascii="Calibri" w:hAnsi="Calibri" w:eastAsia="Calibri" w:cs="Calibri"/>
          <w:sz w:val="22"/>
          <w:szCs w:val="22"/>
        </w:rPr>
        <w:t>Decision Tree</w:t>
      </w:r>
    </w:p>
    <w:p w14:paraId="0C06AA9C">
      <w:pPr>
        <w:pStyle w:val="16"/>
        <w:numPr>
          <w:ilvl w:val="0"/>
          <w:numId w:val="1"/>
        </w:numPr>
        <w:spacing w:after="80"/>
      </w:pPr>
      <w:r>
        <w:rPr>
          <w:rFonts w:ascii="Calibri" w:hAnsi="Calibri" w:eastAsia="Calibri" w:cs="Calibri"/>
          <w:sz w:val="22"/>
          <w:szCs w:val="22"/>
        </w:rPr>
        <w:t>Random Forest</w:t>
      </w:r>
    </w:p>
    <w:p w14:paraId="4046E53F">
      <w:pPr>
        <w:pStyle w:val="16"/>
        <w:numPr>
          <w:ilvl w:val="0"/>
          <w:numId w:val="1"/>
        </w:numPr>
        <w:spacing w:after="80"/>
      </w:pPr>
      <w:r>
        <w:rPr>
          <w:rFonts w:ascii="Calibri" w:hAnsi="Calibri" w:eastAsia="Calibri" w:cs="Calibri"/>
          <w:sz w:val="22"/>
          <w:szCs w:val="22"/>
        </w:rPr>
        <w:t>XGBoost</w:t>
      </w:r>
    </w:p>
    <w:p w14:paraId="1FD1A75A">
      <w:pPr>
        <w:pStyle w:val="16"/>
        <w:numPr>
          <w:ilvl w:val="0"/>
          <w:numId w:val="1"/>
        </w:numPr>
        <w:spacing w:after="80"/>
      </w:pPr>
      <w:r>
        <w:rPr>
          <w:rFonts w:ascii="Calibri" w:hAnsi="Calibri" w:eastAsia="Calibri" w:cs="Calibri"/>
          <w:sz w:val="22"/>
          <w:szCs w:val="22"/>
        </w:rPr>
        <w:t>Logistic Regression</w:t>
      </w:r>
    </w:p>
    <w:p w14:paraId="6705ECF7">
      <w:pPr>
        <w:pStyle w:val="2"/>
        <w:pBdr>
          <w:bottom w:val="single" w:color="2E5395" w:sz="8" w:space="4"/>
        </w:pBdr>
        <w:spacing w:before="340" w:after="160"/>
      </w:pPr>
      <w:r>
        <w:rPr>
          <w:rFonts w:ascii="Calibri" w:hAnsi="Calibri" w:eastAsia="Calibri" w:cs="Calibri"/>
          <w:b/>
          <w:bCs/>
          <w:color w:val="1F3864"/>
          <w:sz w:val="28"/>
          <w:szCs w:val="28"/>
        </w:rPr>
        <w:t>Explainability</w:t>
      </w:r>
    </w:p>
    <w:p w14:paraId="2E088641">
      <w:pPr>
        <w:pStyle w:val="16"/>
        <w:numPr>
          <w:ilvl w:val="0"/>
          <w:numId w:val="1"/>
        </w:numPr>
        <w:spacing w:after="80"/>
      </w:pPr>
      <w:r>
        <w:rPr>
          <w:rFonts w:ascii="Calibri" w:hAnsi="Calibri" w:eastAsia="Calibri" w:cs="Calibri"/>
          <w:sz w:val="22"/>
          <w:szCs w:val="22"/>
        </w:rPr>
        <w:t>SHAP</w:t>
      </w:r>
    </w:p>
    <w:p w14:paraId="0E8529B1">
      <w:pPr>
        <w:pStyle w:val="16"/>
        <w:numPr>
          <w:ilvl w:val="0"/>
          <w:numId w:val="1"/>
        </w:numPr>
        <w:spacing w:after="80"/>
      </w:pPr>
      <w:r>
        <w:rPr>
          <w:rFonts w:ascii="Calibri" w:hAnsi="Calibri" w:eastAsia="Calibri" w:cs="Calibri"/>
          <w:sz w:val="22"/>
          <w:szCs w:val="22"/>
        </w:rPr>
        <w:t>LIME</w:t>
      </w:r>
    </w:p>
    <w:p w14:paraId="14EC6051">
      <w:pPr>
        <w:pStyle w:val="2"/>
        <w:pBdr>
          <w:bottom w:val="single" w:color="2E5395" w:sz="8" w:space="4"/>
        </w:pBdr>
        <w:spacing w:before="340" w:after="160"/>
      </w:pPr>
      <w:r>
        <w:rPr>
          <w:rFonts w:ascii="Calibri" w:hAnsi="Calibri" w:eastAsia="Calibri" w:cs="Calibri"/>
          <w:b/>
          <w:bCs/>
          <w:color w:val="1F3864"/>
          <w:sz w:val="28"/>
          <w:szCs w:val="28"/>
        </w:rPr>
        <w:t>Visualization</w:t>
      </w:r>
    </w:p>
    <w:p w14:paraId="7207459C">
      <w:pPr>
        <w:pStyle w:val="16"/>
        <w:numPr>
          <w:ilvl w:val="0"/>
          <w:numId w:val="1"/>
        </w:numPr>
        <w:spacing w:after="80"/>
      </w:pPr>
      <w:r>
        <w:rPr>
          <w:rFonts w:ascii="Calibri" w:hAnsi="Calibri" w:eastAsia="Calibri" w:cs="Calibri"/>
          <w:sz w:val="22"/>
          <w:szCs w:val="22"/>
        </w:rPr>
        <w:t>Heatmap</w:t>
      </w:r>
    </w:p>
    <w:p w14:paraId="5BBEF5B8">
      <w:pPr>
        <w:pStyle w:val="16"/>
        <w:numPr>
          <w:ilvl w:val="0"/>
          <w:numId w:val="1"/>
        </w:numPr>
        <w:spacing w:after="80"/>
      </w:pPr>
      <w:r>
        <w:rPr>
          <w:rFonts w:ascii="Calibri" w:hAnsi="Calibri" w:eastAsia="Calibri" w:cs="Calibri"/>
          <w:sz w:val="22"/>
          <w:szCs w:val="22"/>
        </w:rPr>
        <w:t>Boxplot</w:t>
      </w:r>
    </w:p>
    <w:p w14:paraId="3857C239">
      <w:pPr>
        <w:pStyle w:val="16"/>
        <w:numPr>
          <w:ilvl w:val="0"/>
          <w:numId w:val="1"/>
        </w:numPr>
        <w:spacing w:after="80"/>
      </w:pPr>
      <w:r>
        <w:rPr>
          <w:rFonts w:ascii="Calibri" w:hAnsi="Calibri" w:eastAsia="Calibri" w:cs="Calibri"/>
          <w:sz w:val="22"/>
          <w:szCs w:val="22"/>
        </w:rPr>
        <w:t>Feature Importance</w:t>
      </w:r>
    </w:p>
    <w:p w14:paraId="0913D23E">
      <w:pPr>
        <w:pStyle w:val="16"/>
        <w:numPr>
          <w:ilvl w:val="0"/>
          <w:numId w:val="1"/>
        </w:numPr>
        <w:spacing w:after="80"/>
      </w:pPr>
      <w:r>
        <w:rPr>
          <w:rFonts w:ascii="Calibri" w:hAnsi="Calibri" w:eastAsia="Calibri" w:cs="Calibri"/>
          <w:sz w:val="22"/>
          <w:szCs w:val="22"/>
        </w:rPr>
        <w:t>Dashboard</w:t>
      </w:r>
    </w:p>
    <w:p w14:paraId="100D74AF">
      <w:pPr>
        <w:pStyle w:val="2"/>
        <w:pBdr>
          <w:bottom w:val="single" w:color="2E5395" w:sz="8" w:space="4"/>
        </w:pBdr>
        <w:spacing w:before="340" w:after="160"/>
      </w:pPr>
      <w:r>
        <w:rPr>
          <w:rFonts w:ascii="Calibri" w:hAnsi="Calibri" w:eastAsia="Calibri" w:cs="Calibri"/>
          <w:b/>
          <w:bCs/>
          <w:color w:val="1F3864"/>
          <w:sz w:val="28"/>
          <w:szCs w:val="28"/>
        </w:rPr>
        <w:t>Comparative Analysis</w:t>
      </w:r>
    </w:p>
    <w:p w14:paraId="0EBE58A1">
      <w:pPr>
        <w:pStyle w:val="3"/>
        <w:spacing w:before="220" w:after="100"/>
      </w:pPr>
      <w:r>
        <w:rPr>
          <w:rFonts w:ascii="Calibri" w:hAnsi="Calibri" w:eastAsia="Calibri" w:cs="Calibri"/>
          <w:b/>
          <w:bCs/>
          <w:color w:val="2E5395"/>
          <w:sz w:val="23"/>
          <w:szCs w:val="23"/>
        </w:rPr>
        <w:t>Compare</w:t>
      </w:r>
    </w:p>
    <w:p w14:paraId="3C094088">
      <w:pPr>
        <w:pStyle w:val="16"/>
        <w:numPr>
          <w:ilvl w:val="0"/>
          <w:numId w:val="1"/>
        </w:numPr>
        <w:spacing w:after="80"/>
      </w:pPr>
      <w:r>
        <w:rPr>
          <w:rFonts w:ascii="Calibri" w:hAnsi="Calibri" w:eastAsia="Calibri" w:cs="Calibri"/>
          <w:sz w:val="22"/>
          <w:szCs w:val="22"/>
        </w:rPr>
        <w:t>Decision Tree</w:t>
      </w:r>
    </w:p>
    <w:p w14:paraId="4671B46A">
      <w:pPr>
        <w:pStyle w:val="16"/>
        <w:numPr>
          <w:ilvl w:val="0"/>
          <w:numId w:val="1"/>
        </w:numPr>
        <w:spacing w:after="80"/>
      </w:pPr>
      <w:r>
        <w:rPr>
          <w:rFonts w:ascii="Calibri" w:hAnsi="Calibri" w:eastAsia="Calibri" w:cs="Calibri"/>
          <w:sz w:val="22"/>
          <w:szCs w:val="22"/>
        </w:rPr>
        <w:t>Random Forest</w:t>
      </w:r>
    </w:p>
    <w:p w14:paraId="7ACCCF0B">
      <w:pPr>
        <w:pStyle w:val="16"/>
        <w:numPr>
          <w:ilvl w:val="0"/>
          <w:numId w:val="1"/>
        </w:numPr>
        <w:spacing w:after="80"/>
      </w:pPr>
      <w:r>
        <w:rPr>
          <w:rFonts w:ascii="Calibri" w:hAnsi="Calibri" w:eastAsia="Calibri" w:cs="Calibri"/>
          <w:sz w:val="22"/>
          <w:szCs w:val="22"/>
        </w:rPr>
        <w:t>XGBoost</w:t>
      </w:r>
    </w:p>
    <w:p w14:paraId="270807DD">
      <w:pPr>
        <w:pStyle w:val="16"/>
        <w:numPr>
          <w:ilvl w:val="0"/>
          <w:numId w:val="1"/>
        </w:numPr>
        <w:spacing w:after="80"/>
      </w:pPr>
      <w:r>
        <w:rPr>
          <w:rFonts w:ascii="Calibri" w:hAnsi="Calibri" w:eastAsia="Calibri" w:cs="Calibri"/>
          <w:sz w:val="22"/>
          <w:szCs w:val="22"/>
        </w:rPr>
        <w:t>CatBoost</w:t>
      </w:r>
    </w:p>
    <w:p w14:paraId="0CA8ABD6">
      <w:pPr>
        <w:pStyle w:val="3"/>
        <w:spacing w:before="220" w:after="100"/>
      </w:pPr>
      <w:r>
        <w:rPr>
          <w:rFonts w:ascii="Calibri" w:hAnsi="Calibri" w:eastAsia="Calibri" w:cs="Calibri"/>
          <w:b/>
          <w:bCs/>
          <w:color w:val="2E5395"/>
          <w:sz w:val="23"/>
          <w:szCs w:val="23"/>
        </w:rPr>
        <w:t>Metrics</w:t>
      </w:r>
    </w:p>
    <w:p w14:paraId="0A832EF0">
      <w:pPr>
        <w:pStyle w:val="16"/>
        <w:numPr>
          <w:ilvl w:val="0"/>
          <w:numId w:val="1"/>
        </w:numPr>
        <w:spacing w:after="80"/>
      </w:pPr>
      <w:r>
        <w:rPr>
          <w:rFonts w:ascii="Calibri" w:hAnsi="Calibri" w:eastAsia="Calibri" w:cs="Calibri"/>
          <w:sz w:val="22"/>
          <w:szCs w:val="22"/>
        </w:rPr>
        <w:t>Accuracy</w:t>
      </w:r>
    </w:p>
    <w:p w14:paraId="2538A42D">
      <w:pPr>
        <w:pStyle w:val="16"/>
        <w:numPr>
          <w:ilvl w:val="0"/>
          <w:numId w:val="1"/>
        </w:numPr>
        <w:spacing w:after="80"/>
      </w:pPr>
      <w:r>
        <w:rPr>
          <w:rFonts w:ascii="Calibri" w:hAnsi="Calibri" w:eastAsia="Calibri" w:cs="Calibri"/>
          <w:sz w:val="22"/>
          <w:szCs w:val="22"/>
        </w:rPr>
        <w:t>Precision</w:t>
      </w:r>
    </w:p>
    <w:p w14:paraId="788F6DA2">
      <w:pPr>
        <w:pStyle w:val="16"/>
        <w:numPr>
          <w:ilvl w:val="0"/>
          <w:numId w:val="1"/>
        </w:numPr>
        <w:spacing w:after="80"/>
      </w:pPr>
      <w:r>
        <w:rPr>
          <w:rFonts w:ascii="Calibri" w:hAnsi="Calibri" w:eastAsia="Calibri" w:cs="Calibri"/>
          <w:sz w:val="22"/>
          <w:szCs w:val="22"/>
        </w:rPr>
        <w:t>Recall</w:t>
      </w:r>
    </w:p>
    <w:p w14:paraId="27DF09CE">
      <w:pPr>
        <w:pStyle w:val="16"/>
        <w:numPr>
          <w:ilvl w:val="0"/>
          <w:numId w:val="1"/>
        </w:numPr>
        <w:spacing w:after="80"/>
      </w:pPr>
      <w:r>
        <w:rPr>
          <w:rFonts w:ascii="Calibri" w:hAnsi="Calibri" w:eastAsia="Calibri" w:cs="Calibri"/>
          <w:sz w:val="22"/>
          <w:szCs w:val="22"/>
        </w:rPr>
        <w:t>F1</w:t>
      </w:r>
    </w:p>
    <w:p w14:paraId="1DACC8C8">
      <w:pPr>
        <w:pStyle w:val="16"/>
        <w:numPr>
          <w:ilvl w:val="0"/>
          <w:numId w:val="1"/>
        </w:numPr>
        <w:spacing w:after="80"/>
      </w:pPr>
      <w:r>
        <w:rPr>
          <w:rFonts w:ascii="Calibri" w:hAnsi="Calibri" w:eastAsia="Calibri" w:cs="Calibri"/>
          <w:sz w:val="22"/>
          <w:szCs w:val="22"/>
        </w:rPr>
        <w:t>ROC</w:t>
      </w:r>
    </w:p>
    <w:p w14:paraId="4CA7B780">
      <w:r>
        <w:br w:type="page"/>
      </w:r>
    </w:p>
    <w:p w14:paraId="4EE3E95E">
      <w:pPr>
        <w:pStyle w:val="2"/>
        <w:pBdr>
          <w:bottom w:val="single" w:color="2E5395" w:sz="8" w:space="4"/>
        </w:pBdr>
        <w:spacing w:before="340" w:after="160"/>
      </w:pPr>
      <w:r>
        <w:rPr>
          <w:rFonts w:ascii="Calibri" w:hAnsi="Calibri" w:eastAsia="Calibri" w:cs="Calibri"/>
          <w:b/>
          <w:bCs/>
          <w:color w:val="1F3864"/>
          <w:sz w:val="28"/>
          <w:szCs w:val="28"/>
        </w:rPr>
        <w:t>Recommended Research Pipeline</w:t>
      </w:r>
    </w:p>
    <w:tbl>
      <w:tblPr>
        <w:tblStyle w:val="9"/>
        <w:tblW w:w="9020" w:type="dxa"/>
        <w:tblInd w:w="0" w:type="dxa"/>
        <w:tblBorders>
          <w:top w:val="single" w:color="D9D9D9" w:sz="4" w:space="0"/>
          <w:left w:val="single" w:color="D9D9D9" w:sz="4" w:space="0"/>
          <w:bottom w:val="single" w:color="D9D9D9" w:sz="4" w:space="0"/>
          <w:right w:val="single" w:color="D9D9D9" w:sz="4" w:space="0"/>
          <w:insideH w:val="none" w:color="auto" w:sz="0" w:space="0"/>
          <w:insideV w:val="none" w:color="auto" w:sz="0" w:space="0"/>
        </w:tblBorders>
        <w:tblLayout w:type="autofit"/>
        <w:tblCellMar>
          <w:top w:w="0" w:type="dxa"/>
          <w:left w:w="10" w:type="dxa"/>
          <w:bottom w:w="0" w:type="dxa"/>
          <w:right w:w="10" w:type="dxa"/>
        </w:tblCellMar>
      </w:tblPr>
      <w:tblGrid>
        <w:gridCol w:w="9020"/>
      </w:tblGrid>
      <w:tr w14:paraId="314CB527">
        <w:tc>
          <w:tcPr>
            <w:tcW w:w="9020" w:type="dxa"/>
            <w:shd w:val="clear" w:color="auto" w:fill="F5F7FA"/>
            <w:tcMar>
              <w:top w:w="200" w:type="dxa"/>
              <w:left w:w="200" w:type="dxa"/>
              <w:bottom w:w="200" w:type="dxa"/>
              <w:right w:w="200" w:type="dxa"/>
            </w:tcMar>
          </w:tcPr>
          <w:p w14:paraId="4F5D3DA0">
            <w:pPr>
              <w:spacing w:after="40"/>
              <w:jc w:val="center"/>
            </w:pPr>
            <w:r>
              <w:rPr>
                <w:rFonts w:ascii="Consolas" w:hAnsi="Consolas" w:eastAsia="Consolas" w:cs="Consolas"/>
                <w:b/>
                <w:bCs/>
                <w:color w:val="1F3864"/>
                <w:sz w:val="21"/>
                <w:szCs w:val="21"/>
              </w:rPr>
              <w:t>Benchmark Datasets (Lending Club + German Credit + Home Credit)</w:t>
            </w:r>
          </w:p>
          <w:p w14:paraId="4D13D3D2">
            <w:pPr>
              <w:spacing w:after="20"/>
              <w:jc w:val="center"/>
            </w:pPr>
            <w:r>
              <w:rPr>
                <w:rFonts w:ascii="Consolas" w:hAnsi="Consolas" w:eastAsia="Consolas" w:cs="Consolas"/>
                <w:b w:val="0"/>
                <w:bCs w:val="0"/>
                <w:color w:val="9AA5B1"/>
                <w:sz w:val="21"/>
                <w:szCs w:val="21"/>
              </w:rPr>
              <w:t>│</w:t>
            </w:r>
          </w:p>
          <w:p w14:paraId="7957AD78">
            <w:pPr>
              <w:spacing w:after="20"/>
              <w:jc w:val="center"/>
            </w:pPr>
            <w:r>
              <w:rPr>
                <w:rFonts w:ascii="Consolas" w:hAnsi="Consolas" w:eastAsia="Consolas" w:cs="Consolas"/>
                <w:b w:val="0"/>
                <w:bCs w:val="0"/>
                <w:color w:val="9AA5B1"/>
                <w:sz w:val="21"/>
                <w:szCs w:val="21"/>
              </w:rPr>
              <w:t>▼</w:t>
            </w:r>
          </w:p>
          <w:p w14:paraId="795CF810">
            <w:pPr>
              <w:spacing w:after="40"/>
              <w:jc w:val="center"/>
            </w:pPr>
            <w:r>
              <w:rPr>
                <w:rFonts w:ascii="Consolas" w:hAnsi="Consolas" w:eastAsia="Consolas" w:cs="Consolas"/>
                <w:b/>
                <w:bCs/>
                <w:color w:val="1F3864"/>
                <w:sz w:val="21"/>
                <w:szCs w:val="21"/>
              </w:rPr>
              <w:t>Data Cleaning</w:t>
            </w:r>
          </w:p>
          <w:p w14:paraId="62B5025A">
            <w:pPr>
              <w:spacing w:after="20"/>
              <w:jc w:val="center"/>
            </w:pPr>
            <w:r>
              <w:rPr>
                <w:rFonts w:ascii="Consolas" w:hAnsi="Consolas" w:eastAsia="Consolas" w:cs="Consolas"/>
                <w:b w:val="0"/>
                <w:bCs w:val="0"/>
                <w:color w:val="9AA5B1"/>
                <w:sz w:val="21"/>
                <w:szCs w:val="21"/>
              </w:rPr>
              <w:t>│</w:t>
            </w:r>
          </w:p>
          <w:p w14:paraId="0EB44956">
            <w:pPr>
              <w:spacing w:after="20"/>
              <w:jc w:val="center"/>
            </w:pPr>
            <w:r>
              <w:rPr>
                <w:rFonts w:ascii="Consolas" w:hAnsi="Consolas" w:eastAsia="Consolas" w:cs="Consolas"/>
                <w:b w:val="0"/>
                <w:bCs w:val="0"/>
                <w:color w:val="9AA5B1"/>
                <w:sz w:val="21"/>
                <w:szCs w:val="21"/>
              </w:rPr>
              <w:t>▼</w:t>
            </w:r>
          </w:p>
          <w:p w14:paraId="5E0257A3">
            <w:pPr>
              <w:spacing w:after="40"/>
              <w:jc w:val="center"/>
            </w:pPr>
            <w:r>
              <w:rPr>
                <w:rFonts w:ascii="Consolas" w:hAnsi="Consolas" w:eastAsia="Consolas" w:cs="Consolas"/>
                <w:b/>
                <w:bCs/>
                <w:color w:val="1F3864"/>
                <w:sz w:val="21"/>
                <w:szCs w:val="21"/>
              </w:rPr>
              <w:t>EDA</w:t>
            </w:r>
          </w:p>
          <w:p w14:paraId="30EAFF5E">
            <w:pPr>
              <w:spacing w:after="20"/>
              <w:jc w:val="center"/>
            </w:pPr>
            <w:r>
              <w:rPr>
                <w:rFonts w:ascii="Consolas" w:hAnsi="Consolas" w:eastAsia="Consolas" w:cs="Consolas"/>
                <w:b w:val="0"/>
                <w:bCs w:val="0"/>
                <w:color w:val="9AA5B1"/>
                <w:sz w:val="21"/>
                <w:szCs w:val="21"/>
              </w:rPr>
              <w:t>│</w:t>
            </w:r>
          </w:p>
          <w:p w14:paraId="7AC5B0FD">
            <w:pPr>
              <w:spacing w:after="20"/>
              <w:jc w:val="center"/>
            </w:pPr>
            <w:r>
              <w:rPr>
                <w:rFonts w:ascii="Consolas" w:hAnsi="Consolas" w:eastAsia="Consolas" w:cs="Consolas"/>
                <w:b w:val="0"/>
                <w:bCs w:val="0"/>
                <w:color w:val="9AA5B1"/>
                <w:sz w:val="21"/>
                <w:szCs w:val="21"/>
              </w:rPr>
              <w:t>▼</w:t>
            </w:r>
          </w:p>
          <w:p w14:paraId="411A54ED">
            <w:pPr>
              <w:spacing w:after="40"/>
              <w:jc w:val="center"/>
            </w:pPr>
            <w:r>
              <w:rPr>
                <w:rFonts w:ascii="Consolas" w:hAnsi="Consolas" w:eastAsia="Consolas" w:cs="Consolas"/>
                <w:b/>
                <w:bCs/>
                <w:color w:val="1F3864"/>
                <w:sz w:val="21"/>
                <w:szCs w:val="21"/>
              </w:rPr>
              <w:t>Feature Engineering</w:t>
            </w:r>
          </w:p>
          <w:p w14:paraId="4409AA36">
            <w:pPr>
              <w:spacing w:after="20"/>
              <w:jc w:val="center"/>
            </w:pPr>
            <w:r>
              <w:rPr>
                <w:rFonts w:ascii="Consolas" w:hAnsi="Consolas" w:eastAsia="Consolas" w:cs="Consolas"/>
                <w:b w:val="0"/>
                <w:bCs w:val="0"/>
                <w:color w:val="9AA5B1"/>
                <w:sz w:val="21"/>
                <w:szCs w:val="21"/>
              </w:rPr>
              <w:t>│</w:t>
            </w:r>
          </w:p>
          <w:p w14:paraId="7D230645">
            <w:pPr>
              <w:spacing w:after="20"/>
              <w:jc w:val="center"/>
            </w:pPr>
            <w:r>
              <w:rPr>
                <w:rFonts w:ascii="Consolas" w:hAnsi="Consolas" w:eastAsia="Consolas" w:cs="Consolas"/>
                <w:b w:val="0"/>
                <w:bCs w:val="0"/>
                <w:color w:val="9AA5B1"/>
                <w:sz w:val="21"/>
                <w:szCs w:val="21"/>
              </w:rPr>
              <w:t>▼</w:t>
            </w:r>
          </w:p>
          <w:p w14:paraId="2168898B">
            <w:pPr>
              <w:spacing w:after="40"/>
              <w:jc w:val="center"/>
            </w:pPr>
            <w:r>
              <w:rPr>
                <w:rFonts w:ascii="Consolas" w:hAnsi="Consolas" w:eastAsia="Consolas" w:cs="Consolas"/>
                <w:b/>
                <w:bCs/>
                <w:color w:val="1F3864"/>
                <w:sz w:val="21"/>
                <w:szCs w:val="21"/>
              </w:rPr>
              <w:t>Feature Selection</w:t>
            </w:r>
          </w:p>
          <w:p w14:paraId="54053913">
            <w:pPr>
              <w:spacing w:after="20"/>
              <w:jc w:val="center"/>
            </w:pPr>
            <w:r>
              <w:rPr>
                <w:rFonts w:ascii="Consolas" w:hAnsi="Consolas" w:eastAsia="Consolas" w:cs="Consolas"/>
                <w:b w:val="0"/>
                <w:bCs w:val="0"/>
                <w:color w:val="9AA5B1"/>
                <w:sz w:val="21"/>
                <w:szCs w:val="21"/>
              </w:rPr>
              <w:t>│</w:t>
            </w:r>
          </w:p>
          <w:p w14:paraId="01B309C0">
            <w:pPr>
              <w:spacing w:after="20"/>
              <w:jc w:val="center"/>
            </w:pPr>
            <w:r>
              <w:rPr>
                <w:rFonts w:ascii="Consolas" w:hAnsi="Consolas" w:eastAsia="Consolas" w:cs="Consolas"/>
                <w:b w:val="0"/>
                <w:bCs w:val="0"/>
                <w:color w:val="9AA5B1"/>
                <w:sz w:val="21"/>
                <w:szCs w:val="21"/>
              </w:rPr>
              <w:t>▼</w:t>
            </w:r>
          </w:p>
          <w:p w14:paraId="24F3D479">
            <w:pPr>
              <w:spacing w:after="40"/>
              <w:jc w:val="center"/>
            </w:pPr>
            <w:r>
              <w:rPr>
                <w:rFonts w:ascii="Consolas" w:hAnsi="Consolas" w:eastAsia="Consolas" w:cs="Consolas"/>
                <w:b/>
                <w:bCs/>
                <w:color w:val="1F3864"/>
                <w:sz w:val="21"/>
                <w:szCs w:val="21"/>
              </w:rPr>
              <w:t>Train-Test Split</w:t>
            </w:r>
          </w:p>
          <w:p w14:paraId="121A882B">
            <w:pPr>
              <w:spacing w:after="20"/>
              <w:jc w:val="center"/>
            </w:pPr>
            <w:r>
              <w:rPr>
                <w:rFonts w:ascii="Consolas" w:hAnsi="Consolas" w:eastAsia="Consolas" w:cs="Consolas"/>
                <w:b w:val="0"/>
                <w:bCs w:val="0"/>
                <w:color w:val="9AA5B1"/>
                <w:sz w:val="21"/>
                <w:szCs w:val="21"/>
              </w:rPr>
              <w:t>│</w:t>
            </w:r>
          </w:p>
          <w:p w14:paraId="179EEA0A">
            <w:pPr>
              <w:spacing w:after="20"/>
              <w:jc w:val="center"/>
            </w:pPr>
            <w:r>
              <w:rPr>
                <w:rFonts w:ascii="Consolas" w:hAnsi="Consolas" w:eastAsia="Consolas" w:cs="Consolas"/>
                <w:b w:val="0"/>
                <w:bCs w:val="0"/>
                <w:color w:val="9AA5B1"/>
                <w:sz w:val="21"/>
                <w:szCs w:val="21"/>
              </w:rPr>
              <w:t>▼</w:t>
            </w:r>
          </w:p>
          <w:p w14:paraId="3E4C2495">
            <w:pPr>
              <w:spacing w:after="40"/>
              <w:jc w:val="center"/>
            </w:pPr>
            <w:r>
              <w:rPr>
                <w:rFonts w:ascii="Consolas" w:hAnsi="Consolas" w:eastAsia="Consolas" w:cs="Consolas"/>
                <w:b/>
                <w:bCs/>
                <w:color w:val="1F3864"/>
                <w:sz w:val="21"/>
                <w:szCs w:val="21"/>
              </w:rPr>
              <w:t>ML Models (Logistic Regression, Decision Tree, Random Forest, XGBoost, CatBoost)</w:t>
            </w:r>
          </w:p>
          <w:p w14:paraId="15EDA86D">
            <w:pPr>
              <w:spacing w:after="20"/>
              <w:jc w:val="center"/>
            </w:pPr>
            <w:r>
              <w:rPr>
                <w:rFonts w:ascii="Consolas" w:hAnsi="Consolas" w:eastAsia="Consolas" w:cs="Consolas"/>
                <w:b w:val="0"/>
                <w:bCs w:val="0"/>
                <w:color w:val="9AA5B1"/>
                <w:sz w:val="21"/>
                <w:szCs w:val="21"/>
              </w:rPr>
              <w:t>│</w:t>
            </w:r>
          </w:p>
          <w:p w14:paraId="49EC6A87">
            <w:pPr>
              <w:spacing w:after="20"/>
              <w:jc w:val="center"/>
            </w:pPr>
            <w:r>
              <w:rPr>
                <w:rFonts w:ascii="Consolas" w:hAnsi="Consolas" w:eastAsia="Consolas" w:cs="Consolas"/>
                <w:b w:val="0"/>
                <w:bCs w:val="0"/>
                <w:color w:val="9AA5B1"/>
                <w:sz w:val="21"/>
                <w:szCs w:val="21"/>
              </w:rPr>
              <w:t>▼</w:t>
            </w:r>
          </w:p>
          <w:p w14:paraId="5767E35C">
            <w:pPr>
              <w:spacing w:after="40"/>
              <w:jc w:val="center"/>
            </w:pPr>
            <w:r>
              <w:rPr>
                <w:rFonts w:ascii="Consolas" w:hAnsi="Consolas" w:eastAsia="Consolas" w:cs="Consolas"/>
                <w:b/>
                <w:bCs/>
                <w:color w:val="1F3864"/>
                <w:sz w:val="21"/>
                <w:szCs w:val="21"/>
              </w:rPr>
              <w:t>Performance Evaluation</w:t>
            </w:r>
          </w:p>
          <w:p w14:paraId="477197FE">
            <w:pPr>
              <w:spacing w:after="20"/>
              <w:jc w:val="center"/>
            </w:pPr>
            <w:r>
              <w:rPr>
                <w:rFonts w:ascii="Consolas" w:hAnsi="Consolas" w:eastAsia="Consolas" w:cs="Consolas"/>
                <w:b w:val="0"/>
                <w:bCs w:val="0"/>
                <w:color w:val="9AA5B1"/>
                <w:sz w:val="21"/>
                <w:szCs w:val="21"/>
              </w:rPr>
              <w:t>│</w:t>
            </w:r>
          </w:p>
          <w:p w14:paraId="518D8B51">
            <w:pPr>
              <w:spacing w:after="20"/>
              <w:jc w:val="center"/>
            </w:pPr>
            <w:r>
              <w:rPr>
                <w:rFonts w:ascii="Consolas" w:hAnsi="Consolas" w:eastAsia="Consolas" w:cs="Consolas"/>
                <w:b w:val="0"/>
                <w:bCs w:val="0"/>
                <w:color w:val="9AA5B1"/>
                <w:sz w:val="21"/>
                <w:szCs w:val="21"/>
              </w:rPr>
              <w:t>▼</w:t>
            </w:r>
          </w:p>
          <w:p w14:paraId="545388F5">
            <w:pPr>
              <w:spacing w:after="40"/>
              <w:jc w:val="center"/>
            </w:pPr>
            <w:r>
              <w:rPr>
                <w:rFonts w:ascii="Consolas" w:hAnsi="Consolas" w:eastAsia="Consolas" w:cs="Consolas"/>
                <w:b/>
                <w:bCs/>
                <w:color w:val="1F3864"/>
                <w:sz w:val="21"/>
                <w:szCs w:val="21"/>
              </w:rPr>
              <w:t>Explainable AI (SHAP + LIME)</w:t>
            </w:r>
          </w:p>
          <w:p w14:paraId="1022A098">
            <w:pPr>
              <w:spacing w:after="20"/>
              <w:jc w:val="center"/>
            </w:pPr>
            <w:r>
              <w:rPr>
                <w:rFonts w:ascii="Consolas" w:hAnsi="Consolas" w:eastAsia="Consolas" w:cs="Consolas"/>
                <w:b w:val="0"/>
                <w:bCs w:val="0"/>
                <w:color w:val="9AA5B1"/>
                <w:sz w:val="21"/>
                <w:szCs w:val="21"/>
              </w:rPr>
              <w:t>│</w:t>
            </w:r>
          </w:p>
          <w:p w14:paraId="6D7F34B1">
            <w:pPr>
              <w:spacing w:after="20"/>
              <w:jc w:val="center"/>
            </w:pPr>
            <w:r>
              <w:rPr>
                <w:rFonts w:ascii="Consolas" w:hAnsi="Consolas" w:eastAsia="Consolas" w:cs="Consolas"/>
                <w:b w:val="0"/>
                <w:bCs w:val="0"/>
                <w:color w:val="9AA5B1"/>
                <w:sz w:val="21"/>
                <w:szCs w:val="21"/>
              </w:rPr>
              <w:t>▼</w:t>
            </w:r>
          </w:p>
          <w:p w14:paraId="6448BF60">
            <w:pPr>
              <w:spacing w:after="40"/>
              <w:jc w:val="center"/>
            </w:pPr>
            <w:r>
              <w:rPr>
                <w:rFonts w:ascii="Consolas" w:hAnsi="Consolas" w:eastAsia="Consolas" w:cs="Consolas"/>
                <w:b/>
                <w:bCs/>
                <w:color w:val="1F3864"/>
                <w:sz w:val="21"/>
                <w:szCs w:val="21"/>
              </w:rPr>
              <w:t>Visualization Dashboard</w:t>
            </w:r>
          </w:p>
          <w:p w14:paraId="1C8720A2">
            <w:pPr>
              <w:spacing w:after="20"/>
              <w:jc w:val="center"/>
            </w:pPr>
            <w:r>
              <w:rPr>
                <w:rFonts w:ascii="Consolas" w:hAnsi="Consolas" w:eastAsia="Consolas" w:cs="Consolas"/>
                <w:b w:val="0"/>
                <w:bCs w:val="0"/>
                <w:color w:val="9AA5B1"/>
                <w:sz w:val="21"/>
                <w:szCs w:val="21"/>
              </w:rPr>
              <w:t>│</w:t>
            </w:r>
          </w:p>
          <w:p w14:paraId="2B338539">
            <w:pPr>
              <w:spacing w:after="20"/>
              <w:jc w:val="center"/>
            </w:pPr>
            <w:r>
              <w:rPr>
                <w:rFonts w:ascii="Consolas" w:hAnsi="Consolas" w:eastAsia="Consolas" w:cs="Consolas"/>
                <w:b w:val="0"/>
                <w:bCs w:val="0"/>
                <w:color w:val="9AA5B1"/>
                <w:sz w:val="21"/>
                <w:szCs w:val="21"/>
              </w:rPr>
              <w:t>▼</w:t>
            </w:r>
          </w:p>
          <w:p w14:paraId="3EB86E43">
            <w:pPr>
              <w:spacing w:after="40"/>
              <w:jc w:val="center"/>
            </w:pPr>
            <w:r>
              <w:rPr>
                <w:rFonts w:ascii="Consolas" w:hAnsi="Consolas" w:eastAsia="Consolas" w:cs="Consolas"/>
                <w:b/>
                <w:bCs/>
                <w:color w:val="1F3864"/>
                <w:sz w:val="21"/>
                <w:szCs w:val="21"/>
              </w:rPr>
              <w:t>Comparative Analysis</w:t>
            </w:r>
          </w:p>
          <w:p w14:paraId="52BBD198">
            <w:pPr>
              <w:spacing w:after="20"/>
              <w:jc w:val="center"/>
            </w:pPr>
            <w:r>
              <w:rPr>
                <w:rFonts w:ascii="Consolas" w:hAnsi="Consolas" w:eastAsia="Consolas" w:cs="Consolas"/>
                <w:b w:val="0"/>
                <w:bCs w:val="0"/>
                <w:color w:val="9AA5B1"/>
                <w:sz w:val="21"/>
                <w:szCs w:val="21"/>
              </w:rPr>
              <w:t>│</w:t>
            </w:r>
          </w:p>
          <w:p w14:paraId="73F3A23A">
            <w:pPr>
              <w:spacing w:after="20"/>
              <w:jc w:val="center"/>
            </w:pPr>
            <w:r>
              <w:rPr>
                <w:rFonts w:ascii="Consolas" w:hAnsi="Consolas" w:eastAsia="Consolas" w:cs="Consolas"/>
                <w:b w:val="0"/>
                <w:bCs w:val="0"/>
                <w:color w:val="9AA5B1"/>
                <w:sz w:val="21"/>
                <w:szCs w:val="21"/>
              </w:rPr>
              <w:t>▼</w:t>
            </w:r>
          </w:p>
          <w:p w14:paraId="7AD0C95C">
            <w:pPr>
              <w:spacing w:after="40"/>
              <w:jc w:val="center"/>
            </w:pPr>
            <w:r>
              <w:rPr>
                <w:rFonts w:ascii="Consolas" w:hAnsi="Consolas" w:eastAsia="Consolas" w:cs="Consolas"/>
                <w:b/>
                <w:bCs/>
                <w:color w:val="1F3864"/>
                <w:sz w:val="21"/>
                <w:szCs w:val="21"/>
              </w:rPr>
              <w:t>Research Conclusions</w:t>
            </w:r>
          </w:p>
        </w:tc>
      </w:tr>
    </w:tbl>
    <w:p w14:paraId="0254F9A1">
      <w:pPr>
        <w:spacing w:before="260"/>
      </w:pPr>
    </w:p>
    <w:p w14:paraId="394D5170">
      <w:pPr>
        <w:pStyle w:val="2"/>
        <w:pBdr>
          <w:bottom w:val="single" w:color="2E5395" w:sz="8" w:space="4"/>
        </w:pBdr>
        <w:spacing w:before="340" w:after="160"/>
      </w:pPr>
      <w:r>
        <w:rPr>
          <w:rFonts w:ascii="Calibri" w:hAnsi="Calibri" w:eastAsia="Calibri" w:cs="Calibri"/>
          <w:b/>
          <w:bCs/>
          <w:color w:val="1F3864"/>
          <w:sz w:val="28"/>
          <w:szCs w:val="28"/>
        </w:rPr>
        <w:t>Note</w:t>
      </w:r>
    </w:p>
    <w:p w14:paraId="7FD6B01C">
      <w:pPr>
        <w:spacing w:after="150" w:line="300" w:lineRule="auto"/>
        <w:jc w:val="both"/>
      </w:pPr>
      <w:r>
        <w:rPr>
          <w:rFonts w:ascii="Calibri" w:hAnsi="Calibri" w:eastAsia="Calibri" w:cs="Calibri"/>
          <w:sz w:val="22"/>
          <w:szCs w:val="22"/>
        </w:rPr>
        <w:t>This dataset combination is particularly strong because it covers traditional consumer lending records, a classical credit-risk benchmark, and alternative behavioural/demographic data for underserved borrowers. It enables meaningful comparisons across different lending environments and is well aligned with current research in Credit Risk Modelling, Financial Data Mining, and Explainable AI.</w:t>
      </w:r>
    </w:p>
    <w:p w14:paraId="7540C278">
      <w:pPr>
        <w:spacing w:after="150" w:line="300" w:lineRule="auto"/>
        <w:jc w:val="both"/>
      </w:pPr>
      <w:r>
        <w:rPr>
          <w:rFonts w:ascii="Calibri" w:hAnsi="Calibri" w:eastAsia="Calibri" w:cs="Calibri"/>
          <w:sz w:val="22"/>
          <w:szCs w:val="22"/>
        </w:rPr>
        <w:t>This will be a strong project for your resume under the DAV specialization (Data Science and Big Data Analytics).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AEBEAD"/>
    <w:multiLevelType w:val="singleLevel"/>
    <w:tmpl w:val="39AEBEAD"/>
    <w:lvl w:ilvl="0" w:tentative="0">
      <w:start w:val="1"/>
      <w:numFmt w:val="bullet"/>
      <w:lvlText w:val="•"/>
      <w:lvlJc w:val="left"/>
      <w:pPr>
        <w:ind w:left="45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compat>
    <w:compatSetting w:name="compatibilityMode" w:uri="http://schemas.microsoft.com/office/word" w:val="15"/>
  </w:compat>
  <w:rsids>
    <w:rsidRoot w:val="00000000"/>
    <w:rsid w:val="B7FE55A0"/>
    <w:rsid w:val="FFFFD0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2026-08-05T09:07:55Z</dcterms:created>
  <dc:creator>Un-named</dc:creator>
  <cp:lastModifiedBy>Bhavya Bandarupalli</cp:lastModifiedBy>
  <dcterms:modified xsi:type="dcterms:W3CDTF">2026-08-05T09:08:24Z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C16E3200DC46EB5030B0726A9E836E3E_43</vt:lpwstr>
  </property>
</Properties>
</file>