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4472C4"/>
          <w:sz w:val="28"/>
        </w:rPr>
        <w:t>WEEK 3 TASK</w:t>
      </w:r>
    </w:p>
    <w:p>
      <w:pPr>
        <w:pStyle w:val="Title"/>
        <w:jc w:val="center"/>
      </w:pPr>
      <w:r>
        <w:t>Development of Mitigation Strategies</w:t>
        <w:br/>
        <w:t>and Contingency Planning</w:t>
      </w:r>
    </w:p>
    <w:p>
      <w:pPr>
        <w:jc w:val="center"/>
      </w:pPr>
      <w:r>
        <w:rPr>
          <w:b/>
          <w:sz w:val="32"/>
        </w:rPr>
        <w:t>Virtual Construction Project</w:t>
      </w:r>
    </w:p>
    <w:p>
      <w:pPr>
        <w:jc w:val="center"/>
      </w:pPr>
      <w:r>
        <w:t>A practical risk-response framework: prevention, response, recovery,</w:t>
        <w:br/>
        <w:t>roles, timeline-based actions, and performance measurement.</w:t>
      </w:r>
    </w:p>
    <w:tbl>
      <w:tblPr>
        <w:tblStyle w:val="TableGrid"/>
        <w:tblW w:type="auto" w:w="0"/>
        <w:tblLook w:firstColumn="1" w:firstRow="1" w:lastColumn="0" w:lastRow="0" w:noHBand="0" w:noVBand="1" w:val="04A0"/>
      </w:tblPr>
      <w:tblGrid>
        <w:gridCol w:w="10080"/>
      </w:tblGrid>
      <w:tr>
        <w:tc>
          <w:tcPr>
            <w:tcW w:type="dxa" w:w="10080"/>
            <w:shd w:fill="FFF2CC"/>
          </w:tcPr>
          <w:p>
            <w:r>
              <w:rPr>
                <w:b/>
              </w:rPr>
              <w:t>IMPORTANT ASSUMPTION</w:t>
              <w:br/>
              <w:t>The Week 2 risk matrix was not attached to the task brief. The eight risks and scores in this document are an illustrative baseline. Before submission, compare them with your actual Week 2 matrix and update risk ratings, owners, and project-specific thresholds.</w:t>
            </w:r>
          </w:p>
        </w:tc>
      </w:tr>
    </w:tbl>
    <w:p/>
    <w:p>
      <w:pPr>
        <w:jc w:val="center"/>
      </w:pPr>
      <w:r>
        <w:t>Prepared for: ______________________________</w:t>
      </w:r>
    </w:p>
    <w:p>
      <w:pPr>
        <w:jc w:val="center"/>
      </w:pPr>
      <w:r>
        <w:t>Prepared by: ______________________________</w:t>
      </w:r>
    </w:p>
    <w:p>
      <w:pPr>
        <w:jc w:val="center"/>
      </w:pPr>
      <w:r>
        <w:t>Course / Organisation: _____________________</w:t>
      </w:r>
    </w:p>
    <w:p>
      <w:pPr>
        <w:jc w:val="center"/>
      </w:pPr>
      <w:r>
        <w:t>Date: _____________________________________</w:t>
      </w:r>
    </w:p>
    <w:p>
      <w:r>
        <w:br w:type="page"/>
      </w:r>
    </w:p>
    <w:p>
      <w:pPr>
        <w:pStyle w:val="Heading1"/>
      </w:pPr>
      <w:r>
        <w:t>Executive Summary</w:t>
      </w:r>
    </w:p>
    <w:p>
      <w:r>
        <w:t>Virtual construction projects rely on digital models, cloud collaboration, remote teams, shared data environments, specialist software, and reliable information exchange. These dependencies create risks affecting design quality, schedule, cost, safety, privacy, and stakeholder confidence. This report presents prevention measures, trigger-based responses, and recovery actions for eight risks: cybersecurity incident, data loss or wrong-version use, BIM coordination error, software/CDE outage, remote communication breakdown, skills/adoption gaps, schedule/resource disruption, and third-party/vendor failure.</w:t>
      </w:r>
    </w:p>
    <w:p>
      <w:r>
        <w:t>The recommended approach combines a controlled risk register, named owners, leading indicators, escalation thresholds, business-continuity arrangements, and recurring reviews. The project manager coordinates the process while IT, information management, BIM, planning, commercial, and discipline leads own controls in their areas.</w:t>
      </w:r>
    </w:p>
    <w:tbl>
      <w:tblPr>
        <w:tblStyle w:val="TableGrid"/>
        <w:tblW w:type="auto" w:w="0"/>
        <w:tblLook w:firstColumn="1" w:firstRow="1" w:lastColumn="0" w:lastRow="0" w:noHBand="0" w:noVBand="1" w:val="04A0"/>
      </w:tblPr>
      <w:tblGrid>
        <w:gridCol w:w="10080"/>
      </w:tblGrid>
      <w:tr>
        <w:tc>
          <w:tcPr>
            <w:tcW w:type="dxa" w:w="10080"/>
            <w:shd w:fill="FFF2CC"/>
          </w:tcPr>
          <w:p>
            <w:r>
              <w:rPr>
                <w:b/>
              </w:rPr>
              <w:t>KEY RECOMMENDATION</w:t>
              <w:br/>
              <w:t>Use one controlled risk register and common data environment (CDE), maintain versioned and isolated backups plus an offline fallback pack, and test incident-response and recovery processes before critical milestones.</w:t>
            </w:r>
          </w:p>
        </w:tc>
      </w:tr>
    </w:tbl>
    <w:p/>
    <w:p>
      <w:pPr>
        <w:pStyle w:val="Heading1"/>
      </w:pPr>
      <w:r>
        <w:t>Contents</w:t>
      </w:r>
    </w:p>
    <w:p>
      <w:pPr>
        <w:pStyle w:val="ListBullet"/>
        <w:spacing w:after="40"/>
      </w:pPr>
      <w:r>
        <w:t>1. Scope, assumptions, and method</w:t>
      </w:r>
    </w:p>
    <w:p>
      <w:pPr>
        <w:pStyle w:val="ListBullet"/>
        <w:spacing w:after="40"/>
      </w:pPr>
      <w:r>
        <w:t>2. Risk assessment and prioritisation</w:t>
      </w:r>
    </w:p>
    <w:p>
      <w:pPr>
        <w:pStyle w:val="ListBullet"/>
        <w:spacing w:after="40"/>
      </w:pPr>
      <w:r>
        <w:t>3. Mitigation and contingency plans for eight key risks</w:t>
      </w:r>
    </w:p>
    <w:p>
      <w:pPr>
        <w:pStyle w:val="ListBullet"/>
        <w:spacing w:after="40"/>
      </w:pPr>
      <w:r>
        <w:t>4. Timeline-based implementation plan</w:t>
      </w:r>
    </w:p>
    <w:p>
      <w:pPr>
        <w:pStyle w:val="ListBullet"/>
        <w:spacing w:after="40"/>
      </w:pPr>
      <w:r>
        <w:t>5. Roles and responsibilities</w:t>
      </w:r>
    </w:p>
    <w:p>
      <w:pPr>
        <w:pStyle w:val="ListBullet"/>
        <w:spacing w:after="40"/>
      </w:pPr>
      <w:r>
        <w:t>6. Key performance indicators</w:t>
      </w:r>
    </w:p>
    <w:p>
      <w:pPr>
        <w:pStyle w:val="ListBullet"/>
        <w:spacing w:after="40"/>
      </w:pPr>
      <w:r>
        <w:t>7. Incident response and recovery workflow</w:t>
      </w:r>
    </w:p>
    <w:p>
      <w:pPr>
        <w:pStyle w:val="ListBullet"/>
        <w:spacing w:after="40"/>
      </w:pPr>
      <w:r>
        <w:t>8. Monitoring, review, and assurance</w:t>
      </w:r>
    </w:p>
    <w:p>
      <w:pPr>
        <w:pStyle w:val="ListBullet"/>
        <w:spacing w:after="40"/>
      </w:pPr>
      <w:r>
        <w:t>9. Conclusion</w:t>
      </w:r>
    </w:p>
    <w:p>
      <w:pPr>
        <w:pStyle w:val="ListBullet"/>
        <w:spacing w:after="40"/>
      </w:pPr>
      <w:r>
        <w:t>References</w:t>
      </w:r>
    </w:p>
    <w:p>
      <w:pPr>
        <w:pStyle w:val="ListBullet"/>
        <w:spacing w:after="40"/>
      </w:pPr>
      <w:r>
        <w:t>Appendix A: Incident checklist</w:t>
      </w:r>
    </w:p>
    <w:p>
      <w:pPr>
        <w:pStyle w:val="ListBullet"/>
        <w:spacing w:after="40"/>
      </w:pPr>
      <w:r>
        <w:t>Appendix B: Risk register template</w:t>
      </w:r>
    </w:p>
    <w:p>
      <w:pPr>
        <w:pStyle w:val="ListBullet"/>
        <w:spacing w:after="40"/>
      </w:pPr>
      <w:r>
        <w:t>Appendix C: Bow-tie risk flow</w:t>
      </w:r>
    </w:p>
    <w:p>
      <w:pPr>
        <w:pStyle w:val="Heading1"/>
      </w:pPr>
      <w:r>
        <w:t>1. Scope, Assumptions, and Method</w:t>
      </w:r>
    </w:p>
    <w:p>
      <w:pPr>
        <w:pStyle w:val="Heading2"/>
      </w:pPr>
      <w:r>
        <w:t>1.1 Scope</w:t>
      </w:r>
    </w:p>
    <w:p>
      <w:r>
        <w:t>This plan is designed for a virtual or digitally coordinated construction project involving remote design teams, BIM/CAD models, cloud file sharing, video meetings, issue-tracking tools, project schedules, and external consultants or suppliers. It addresses technology, information, people, and process risks.</w:t>
      </w:r>
    </w:p>
    <w:p>
      <w:pPr>
        <w:pStyle w:val="Heading2"/>
      </w:pPr>
      <w:r>
        <w:t>1.2 Assumptions and limitations</w:t>
      </w:r>
    </w:p>
    <w:p>
      <w:pPr>
        <w:pStyle w:val="ListBullet"/>
        <w:spacing w:after="40"/>
      </w:pPr>
      <w:r>
        <w:t>The previous week's risk matrix and quantified analysis were not provided; scores below are planning estimates, not verified project measurements.</w:t>
      </w:r>
    </w:p>
    <w:p>
      <w:pPr>
        <w:pStyle w:val="ListBullet"/>
        <w:spacing w:after="40"/>
      </w:pPr>
      <w:r>
        <w:t>Likelihood and impact use a 1–5 scale; score = likelihood × impact. Suggested bands: 1–4 Low, 5–9 Moderate, 10–16 High, 17–25 Critical.</w:t>
      </w:r>
    </w:p>
    <w:p>
      <w:pPr>
        <w:pStyle w:val="ListBullet"/>
        <w:spacing w:after="40"/>
      </w:pPr>
      <w:r>
        <w:t>Validate risk statements, ratings, owners, thresholds, and controls against actual Week 2 findings.</w:t>
      </w:r>
    </w:p>
    <w:p>
      <w:pPr>
        <w:pStyle w:val="ListBullet"/>
        <w:spacing w:after="40"/>
      </w:pPr>
      <w:r>
        <w:t>Applicable law, contract terms, client requirements, and organisational policies take precedence over generic recommendations.</w:t>
      </w:r>
    </w:p>
    <w:p>
      <w:pPr>
        <w:pStyle w:val="Heading2"/>
      </w:pPr>
      <w:r>
        <w:t>1.3 Method</w:t>
      </w:r>
    </w:p>
    <w:p>
      <w:pPr>
        <w:pStyle w:val="ListNumber"/>
        <w:spacing w:after="40"/>
      </w:pPr>
      <w:r>
        <w:t>Identify the risk event, its causes, and potential consequences.</w:t>
      </w:r>
    </w:p>
    <w:p>
      <w:pPr>
        <w:pStyle w:val="ListNumber"/>
        <w:spacing w:after="40"/>
      </w:pPr>
      <w:r>
        <w:t>Estimate inherent likelihood and impact before additional controls.</w:t>
      </w:r>
    </w:p>
    <w:p>
      <w:pPr>
        <w:pStyle w:val="ListNumber"/>
        <w:spacing w:after="40"/>
      </w:pPr>
      <w:r>
        <w:t>Choose preventive controls and contingency controls to reduce likelihood or impact.</w:t>
      </w:r>
    </w:p>
    <w:p>
      <w:pPr>
        <w:pStyle w:val="ListNumber"/>
        <w:spacing w:after="40"/>
      </w:pPr>
      <w:r>
        <w:t>Define observable triggers, immediate response steps, decision authority, and recovery criteria.</w:t>
      </w:r>
    </w:p>
    <w:p>
      <w:pPr>
        <w:pStyle w:val="ListNumber"/>
        <w:spacing w:after="40"/>
      </w:pPr>
      <w:r>
        <w:t>Assign one accountable owner and supporting roles to each risk.</w:t>
      </w:r>
    </w:p>
    <w:p>
      <w:pPr>
        <w:pStyle w:val="ListNumber"/>
        <w:spacing w:after="40"/>
      </w:pPr>
      <w:r>
        <w:t>Monitor leading indicators and residual risk; escalate when thresholds are exceeded.</w:t>
      </w:r>
    </w:p>
    <w:p>
      <w:pPr>
        <w:pStyle w:val="Heading2"/>
      </w:pPr>
      <w:r>
        <w:t>1.4 Advanced methods for virtual projects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2232"/>
            <w:shd w:fill="17365D"/>
          </w:tcPr>
          <w:p>
            <w:r>
              <w:rPr>
                <w:b/>
                <w:color w:val="FFFFFF"/>
                <w:sz w:val="16"/>
              </w:rPr>
              <w:t>Method</w:t>
            </w:r>
          </w:p>
        </w:tc>
        <w:tc>
          <w:tcPr>
            <w:tcW w:type="dxa" w:w="4536"/>
            <w:shd w:fill="17365D"/>
          </w:tcPr>
          <w:p>
            <w:r>
              <w:rPr>
                <w:b/>
                <w:color w:val="FFFFFF"/>
                <w:sz w:val="16"/>
              </w:rPr>
              <w:t>Application</w:t>
            </w:r>
          </w:p>
        </w:tc>
        <w:tc>
          <w:tcPr>
            <w:tcW w:type="dxa" w:w="3672"/>
            <w:shd w:fill="17365D"/>
          </w:tcPr>
          <w:p>
            <w:r>
              <w:rPr>
                <w:b/>
                <w:color w:val="FFFFFF"/>
                <w:sz w:val="16"/>
              </w:rPr>
              <w:t>Benefit</w:t>
            </w:r>
          </w:p>
        </w:tc>
      </w:tr>
      <w:tr>
        <w:tc>
          <w:tcPr>
            <w:tcW w:type="dxa" w:w="2232"/>
            <w:vAlign w:val="center"/>
          </w:tcPr>
          <w:p>
            <w:pPr>
              <w:spacing w:after="20"/>
            </w:pPr>
            <w:r>
              <w:rPr>
                <w:sz w:val="16"/>
              </w:rPr>
              <w:t>Risk register + 5×5 matrix</w:t>
            </w:r>
          </w:p>
        </w:tc>
        <w:tc>
          <w:tcPr>
            <w:tcW w:type="dxa" w:w="4536"/>
            <w:vAlign w:val="center"/>
          </w:tcPr>
          <w:p>
            <w:pPr>
              <w:spacing w:after="20"/>
            </w:pPr>
            <w:r>
              <w:rPr>
                <w:sz w:val="16"/>
              </w:rPr>
              <w:t>Record cause, event, consequence, owner, score, controls, trigger, residual score.</w:t>
            </w:r>
          </w:p>
        </w:tc>
        <w:tc>
          <w:tcPr>
            <w:tcW w:type="dxa" w:w="3672"/>
            <w:vAlign w:val="center"/>
          </w:tcPr>
          <w:p>
            <w:pPr>
              <w:spacing w:after="20"/>
            </w:pPr>
            <w:r>
              <w:rPr>
                <w:sz w:val="16"/>
              </w:rPr>
              <w:t>Consistent and auditable risk view.</w:t>
            </w:r>
          </w:p>
        </w:tc>
      </w:tr>
      <w:tr>
        <w:tc>
          <w:tcPr>
            <w:tcW w:type="dxa" w:w="2232"/>
            <w:vAlign w:val="center"/>
            <w:shd w:fill="EAF0F8"/>
          </w:tcPr>
          <w:p>
            <w:pPr>
              <w:spacing w:after="20"/>
            </w:pPr>
            <w:r>
              <w:rPr>
                <w:sz w:val="16"/>
              </w:rPr>
              <w:t>Bow-tie analysis</w:t>
            </w:r>
          </w:p>
        </w:tc>
        <w:tc>
          <w:tcPr>
            <w:tcW w:type="dxa" w:w="4536"/>
            <w:vAlign w:val="center"/>
            <w:shd w:fill="EAF0F8"/>
          </w:tcPr>
          <w:p>
            <w:pPr>
              <w:spacing w:after="20"/>
            </w:pPr>
            <w:r>
              <w:rPr>
                <w:sz w:val="16"/>
              </w:rPr>
              <w:t>Map threats → top event → consequences, with preventive and recovery barriers.</w:t>
            </w:r>
          </w:p>
        </w:tc>
        <w:tc>
          <w:tcPr>
            <w:tcW w:type="dxa" w:w="3672"/>
            <w:vAlign w:val="center"/>
            <w:shd w:fill="EAF0F8"/>
          </w:tcPr>
          <w:p>
            <w:pPr>
              <w:spacing w:after="20"/>
            </w:pPr>
            <w:r>
              <w:rPr>
                <w:sz w:val="16"/>
              </w:rPr>
              <w:t>Highlights control gaps and contingency actions.</w:t>
            </w:r>
          </w:p>
        </w:tc>
      </w:tr>
      <w:tr>
        <w:tc>
          <w:tcPr>
            <w:tcW w:type="dxa" w:w="2232"/>
            <w:vAlign w:val="center"/>
          </w:tcPr>
          <w:p>
            <w:pPr>
              <w:spacing w:after="20"/>
            </w:pPr>
            <w:r>
              <w:rPr>
                <w:sz w:val="16"/>
              </w:rPr>
              <w:t>FMEA-style review</w:t>
            </w:r>
          </w:p>
        </w:tc>
        <w:tc>
          <w:tcPr>
            <w:tcW w:type="dxa" w:w="4536"/>
            <w:vAlign w:val="center"/>
          </w:tcPr>
          <w:p>
            <w:pPr>
              <w:spacing w:after="20"/>
            </w:pPr>
            <w:r>
              <w:rPr>
                <w:sz w:val="16"/>
              </w:rPr>
              <w:t>Review failure modes in model exchange, integrations, permissions, and publishing.</w:t>
            </w:r>
          </w:p>
        </w:tc>
        <w:tc>
          <w:tcPr>
            <w:tcW w:type="dxa" w:w="3672"/>
            <w:vAlign w:val="center"/>
          </w:tcPr>
          <w:p>
            <w:pPr>
              <w:spacing w:after="20"/>
            </w:pPr>
            <w:r>
              <w:rPr>
                <w:sz w:val="16"/>
              </w:rPr>
              <w:t>Finds failures before they affect delivery.</w:t>
            </w:r>
          </w:p>
        </w:tc>
      </w:tr>
      <w:tr>
        <w:tc>
          <w:tcPr>
            <w:tcW w:type="dxa" w:w="2232"/>
            <w:vAlign w:val="center"/>
            <w:shd w:fill="EAF0F8"/>
          </w:tcPr>
          <w:p>
            <w:pPr>
              <w:spacing w:after="20"/>
            </w:pPr>
            <w:r>
              <w:rPr>
                <w:sz w:val="16"/>
              </w:rPr>
              <w:t>Scenario/tabletop exercises</w:t>
            </w:r>
          </w:p>
        </w:tc>
        <w:tc>
          <w:tcPr>
            <w:tcW w:type="dxa" w:w="4536"/>
            <w:vAlign w:val="center"/>
            <w:shd w:fill="EAF0F8"/>
          </w:tcPr>
          <w:p>
            <w:pPr>
              <w:spacing w:after="20"/>
            </w:pPr>
            <w:r>
              <w:rPr>
                <w:sz w:val="16"/>
              </w:rPr>
              <w:t>Simulate ransomware, CDE outage, corrupted model, or key-person unavailability.</w:t>
            </w:r>
          </w:p>
        </w:tc>
        <w:tc>
          <w:tcPr>
            <w:tcW w:type="dxa" w:w="3672"/>
            <w:vAlign w:val="center"/>
            <w:shd w:fill="EAF0F8"/>
          </w:tcPr>
          <w:p>
            <w:pPr>
              <w:spacing w:after="20"/>
            </w:pPr>
            <w:r>
              <w:rPr>
                <w:sz w:val="16"/>
              </w:rPr>
              <w:t>Tests whether people can execute plans under pressure.</w:t>
            </w:r>
          </w:p>
        </w:tc>
      </w:tr>
      <w:tr>
        <w:tc>
          <w:tcPr>
            <w:tcW w:type="dxa" w:w="2232"/>
            <w:vAlign w:val="center"/>
          </w:tcPr>
          <w:p>
            <w:pPr>
              <w:spacing w:after="20"/>
            </w:pPr>
            <w:r>
              <w:rPr>
                <w:sz w:val="16"/>
              </w:rPr>
              <w:t>Business continuity / disaster recovery</w:t>
            </w:r>
          </w:p>
        </w:tc>
        <w:tc>
          <w:tcPr>
            <w:tcW w:type="dxa" w:w="4536"/>
            <w:vAlign w:val="center"/>
          </w:tcPr>
          <w:p>
            <w:pPr>
              <w:spacing w:after="20"/>
            </w:pPr>
            <w:r>
              <w:rPr>
                <w:sz w:val="16"/>
              </w:rPr>
              <w:t>Set RTO, RPO, backup schedule, and fallback workflow.</w:t>
            </w:r>
          </w:p>
        </w:tc>
        <w:tc>
          <w:tcPr>
            <w:tcW w:type="dxa" w:w="3672"/>
            <w:vAlign w:val="center"/>
          </w:tcPr>
          <w:p>
            <w:pPr>
              <w:spacing w:after="20"/>
            </w:pPr>
            <w:r>
              <w:rPr>
                <w:sz w:val="16"/>
              </w:rPr>
              <w:t>Limits downtime and data loss.</w:t>
            </w:r>
          </w:p>
        </w:tc>
      </w:tr>
      <w:tr>
        <w:tc>
          <w:tcPr>
            <w:tcW w:type="dxa" w:w="2232"/>
            <w:vAlign w:val="center"/>
            <w:shd w:fill="EAF0F8"/>
          </w:tcPr>
          <w:p>
            <w:pPr>
              <w:spacing w:after="20"/>
            </w:pPr>
            <w:r>
              <w:rPr>
                <w:sz w:val="16"/>
              </w:rPr>
              <w:t>Change control and stage gates</w:t>
            </w:r>
          </w:p>
        </w:tc>
        <w:tc>
          <w:tcPr>
            <w:tcW w:type="dxa" w:w="4536"/>
            <w:vAlign w:val="center"/>
            <w:shd w:fill="EAF0F8"/>
          </w:tcPr>
          <w:p>
            <w:pPr>
              <w:spacing w:after="20"/>
            </w:pPr>
            <w:r>
              <w:rPr>
                <w:sz w:val="16"/>
              </w:rPr>
              <w:t>Require review, approval, versioning, and sign-off before baseline changes.</w:t>
            </w:r>
          </w:p>
        </w:tc>
        <w:tc>
          <w:tcPr>
            <w:tcW w:type="dxa" w:w="3672"/>
            <w:vAlign w:val="center"/>
            <w:shd w:fill="EAF0F8"/>
          </w:tcPr>
          <w:p>
            <w:pPr>
              <w:spacing w:after="20"/>
            </w:pPr>
            <w:r>
              <w:rPr>
                <w:sz w:val="16"/>
              </w:rPr>
              <w:t>Reduces uncontrolled changes and rework.</w:t>
            </w:r>
          </w:p>
        </w:tc>
      </w:tr>
    </w:tbl>
    <w:p/>
    <w:p>
      <w:pPr>
        <w:pStyle w:val="Heading1"/>
      </w:pPr>
      <w:r>
        <w:t>2. Risk Assessment and Prioritisation</w:t>
      </w:r>
    </w:p>
    <w:p>
      <w:r>
        <w:t>This is an illustrative starting point. Replace the ratings with the project's agreed Week 2 likelihood and impact scores.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648"/>
            <w:shd w:fill="17365D"/>
          </w:tcPr>
          <w:p>
            <w:r>
              <w:rPr>
                <w:b/>
                <w:color w:val="FFFFFF"/>
                <w:sz w:val="15"/>
              </w:rPr>
              <w:t>ID</w:t>
            </w:r>
          </w:p>
        </w:tc>
        <w:tc>
          <w:tcPr>
            <w:tcW w:type="dxa" w:w="4464"/>
            <w:shd w:fill="17365D"/>
          </w:tcPr>
          <w:p>
            <w:r>
              <w:rPr>
                <w:b/>
                <w:color w:val="FFFFFF"/>
                <w:sz w:val="15"/>
              </w:rPr>
              <w:t>Risk event</w:t>
            </w:r>
          </w:p>
        </w:tc>
        <w:tc>
          <w:tcPr>
            <w:tcW w:type="dxa" w:w="576"/>
            <w:shd w:fill="17365D"/>
          </w:tcPr>
          <w:p>
            <w:r>
              <w:rPr>
                <w:b/>
                <w:color w:val="FFFFFF"/>
                <w:sz w:val="15"/>
              </w:rPr>
              <w:t>L</w:t>
            </w:r>
          </w:p>
        </w:tc>
        <w:tc>
          <w:tcPr>
            <w:tcW w:type="dxa" w:w="576"/>
            <w:shd w:fill="17365D"/>
          </w:tcPr>
          <w:p>
            <w:r>
              <w:rPr>
                <w:b/>
                <w:color w:val="FFFFFF"/>
                <w:sz w:val="15"/>
              </w:rPr>
              <w:t>I</w:t>
            </w:r>
          </w:p>
        </w:tc>
        <w:tc>
          <w:tcPr>
            <w:tcW w:type="dxa" w:w="864"/>
            <w:shd w:fill="17365D"/>
          </w:tcPr>
          <w:p>
            <w:r>
              <w:rPr>
                <w:b/>
                <w:color w:val="FFFFFF"/>
                <w:sz w:val="15"/>
              </w:rPr>
              <w:t>Score</w:t>
            </w:r>
          </w:p>
        </w:tc>
        <w:tc>
          <w:tcPr>
            <w:tcW w:type="dxa" w:w="1440"/>
            <w:shd w:fill="17365D"/>
          </w:tcPr>
          <w:p>
            <w:r>
              <w:rPr>
                <w:b/>
                <w:color w:val="FFFFFF"/>
                <w:sz w:val="15"/>
              </w:rPr>
              <w:t>Level</w:t>
            </w:r>
          </w:p>
        </w:tc>
      </w:tr>
      <w:tr>
        <w:tc>
          <w:tcPr>
            <w:tcW w:type="dxa" w:w="648"/>
            <w:vAlign w:val="center"/>
          </w:tcPr>
          <w:p>
            <w:pPr>
              <w:spacing w:after="20"/>
            </w:pPr>
            <w:r>
              <w:rPr>
                <w:sz w:val="15"/>
              </w:rPr>
              <w:t>R1</w:t>
            </w:r>
          </w:p>
        </w:tc>
        <w:tc>
          <w:tcPr>
            <w:tcW w:type="dxa" w:w="4464"/>
            <w:vAlign w:val="center"/>
          </w:tcPr>
          <w:p>
            <w:pPr>
              <w:spacing w:after="20"/>
            </w:pPr>
            <w:r>
              <w:rPr>
                <w:sz w:val="15"/>
              </w:rPr>
              <w:t>Cybersecurity incident / unauthorised access</w:t>
            </w:r>
          </w:p>
        </w:tc>
        <w:tc>
          <w:tcPr>
            <w:tcW w:type="dxa" w:w="576"/>
            <w:vAlign w:val="center"/>
          </w:tcPr>
          <w:p>
            <w:pPr>
              <w:spacing w:after="20"/>
            </w:pPr>
            <w:r>
              <w:rPr>
                <w:sz w:val="15"/>
              </w:rPr>
              <w:t>4</w:t>
            </w:r>
          </w:p>
        </w:tc>
        <w:tc>
          <w:tcPr>
            <w:tcW w:type="dxa" w:w="576"/>
            <w:vAlign w:val="center"/>
          </w:tcPr>
          <w:p>
            <w:pPr>
              <w:spacing w:after="20"/>
            </w:pPr>
            <w:r>
              <w:rPr>
                <w:sz w:val="15"/>
              </w:rPr>
              <w:t>5</w:t>
            </w:r>
          </w:p>
        </w:tc>
        <w:tc>
          <w:tcPr>
            <w:tcW w:type="dxa" w:w="864"/>
            <w:vAlign w:val="center"/>
          </w:tcPr>
          <w:p>
            <w:pPr>
              <w:spacing w:after="20"/>
            </w:pPr>
            <w:r>
              <w:rPr>
                <w:sz w:val="15"/>
              </w:rPr>
              <w:t>20</w:t>
            </w:r>
          </w:p>
        </w:tc>
        <w:tc>
          <w:tcPr>
            <w:tcW w:type="dxa" w:w="1440"/>
            <w:vAlign w:val="center"/>
          </w:tcPr>
          <w:p>
            <w:pPr>
              <w:spacing w:after="20"/>
            </w:pPr>
            <w:r>
              <w:rPr>
                <w:sz w:val="15"/>
              </w:rPr>
              <w:t>Critical</w:t>
            </w:r>
          </w:p>
        </w:tc>
      </w:tr>
      <w:tr>
        <w:tc>
          <w:tcPr>
            <w:tcW w:type="dxa" w:w="648"/>
            <w:vAlign w:val="center"/>
            <w:shd w:fill="EAF0F8"/>
          </w:tcPr>
          <w:p>
            <w:pPr>
              <w:spacing w:after="20"/>
            </w:pPr>
            <w:r>
              <w:rPr>
                <w:sz w:val="15"/>
              </w:rPr>
              <w:t>R2</w:t>
            </w:r>
          </w:p>
        </w:tc>
        <w:tc>
          <w:tcPr>
            <w:tcW w:type="dxa" w:w="4464"/>
            <w:vAlign w:val="center"/>
            <w:shd w:fill="EAF0F8"/>
          </w:tcPr>
          <w:p>
            <w:pPr>
              <w:spacing w:after="20"/>
            </w:pPr>
            <w:r>
              <w:rPr>
                <w:sz w:val="15"/>
              </w:rPr>
              <w:t>Data loss, corruption, or wrong-version use</w:t>
            </w:r>
          </w:p>
        </w:tc>
        <w:tc>
          <w:tcPr>
            <w:tcW w:type="dxa" w:w="576"/>
            <w:vAlign w:val="center"/>
            <w:shd w:fill="EAF0F8"/>
          </w:tcPr>
          <w:p>
            <w:pPr>
              <w:spacing w:after="20"/>
            </w:pPr>
            <w:r>
              <w:rPr>
                <w:sz w:val="15"/>
              </w:rPr>
              <w:t>4</w:t>
            </w:r>
          </w:p>
        </w:tc>
        <w:tc>
          <w:tcPr>
            <w:tcW w:type="dxa" w:w="576"/>
            <w:vAlign w:val="center"/>
            <w:shd w:fill="EAF0F8"/>
          </w:tcPr>
          <w:p>
            <w:pPr>
              <w:spacing w:after="20"/>
            </w:pPr>
            <w:r>
              <w:rPr>
                <w:sz w:val="15"/>
              </w:rPr>
              <w:t>5</w:t>
            </w:r>
          </w:p>
        </w:tc>
        <w:tc>
          <w:tcPr>
            <w:tcW w:type="dxa" w:w="864"/>
            <w:vAlign w:val="center"/>
            <w:shd w:fill="EAF0F8"/>
          </w:tcPr>
          <w:p>
            <w:pPr>
              <w:spacing w:after="20"/>
            </w:pPr>
            <w:r>
              <w:rPr>
                <w:sz w:val="15"/>
              </w:rPr>
              <w:t>20</w:t>
            </w:r>
          </w:p>
        </w:tc>
        <w:tc>
          <w:tcPr>
            <w:tcW w:type="dxa" w:w="1440"/>
            <w:vAlign w:val="center"/>
            <w:shd w:fill="EAF0F8"/>
          </w:tcPr>
          <w:p>
            <w:pPr>
              <w:spacing w:after="20"/>
            </w:pPr>
            <w:r>
              <w:rPr>
                <w:sz w:val="15"/>
              </w:rPr>
              <w:t>Critical</w:t>
            </w:r>
          </w:p>
        </w:tc>
      </w:tr>
      <w:tr>
        <w:tc>
          <w:tcPr>
            <w:tcW w:type="dxa" w:w="648"/>
            <w:vAlign w:val="center"/>
          </w:tcPr>
          <w:p>
            <w:pPr>
              <w:spacing w:after="20"/>
            </w:pPr>
            <w:r>
              <w:rPr>
                <w:sz w:val="15"/>
              </w:rPr>
              <w:t>R3</w:t>
            </w:r>
          </w:p>
        </w:tc>
        <w:tc>
          <w:tcPr>
            <w:tcW w:type="dxa" w:w="4464"/>
            <w:vAlign w:val="center"/>
          </w:tcPr>
          <w:p>
            <w:pPr>
              <w:spacing w:after="20"/>
            </w:pPr>
            <w:r>
              <w:rPr>
                <w:sz w:val="15"/>
              </w:rPr>
              <w:t>BIM/model coordination error or missed clash</w:t>
            </w:r>
          </w:p>
        </w:tc>
        <w:tc>
          <w:tcPr>
            <w:tcW w:type="dxa" w:w="576"/>
            <w:vAlign w:val="center"/>
          </w:tcPr>
          <w:p>
            <w:pPr>
              <w:spacing w:after="20"/>
            </w:pPr>
            <w:r>
              <w:rPr>
                <w:sz w:val="15"/>
              </w:rPr>
              <w:t>4</w:t>
            </w:r>
          </w:p>
        </w:tc>
        <w:tc>
          <w:tcPr>
            <w:tcW w:type="dxa" w:w="576"/>
            <w:vAlign w:val="center"/>
          </w:tcPr>
          <w:p>
            <w:pPr>
              <w:spacing w:after="20"/>
            </w:pPr>
            <w:r>
              <w:rPr>
                <w:sz w:val="15"/>
              </w:rPr>
              <w:t>4</w:t>
            </w:r>
          </w:p>
        </w:tc>
        <w:tc>
          <w:tcPr>
            <w:tcW w:type="dxa" w:w="864"/>
            <w:vAlign w:val="center"/>
          </w:tcPr>
          <w:p>
            <w:pPr>
              <w:spacing w:after="20"/>
            </w:pPr>
            <w:r>
              <w:rPr>
                <w:sz w:val="15"/>
              </w:rPr>
              <w:t>16</w:t>
            </w:r>
          </w:p>
        </w:tc>
        <w:tc>
          <w:tcPr>
            <w:tcW w:type="dxa" w:w="1440"/>
            <w:vAlign w:val="center"/>
          </w:tcPr>
          <w:p>
            <w:pPr>
              <w:spacing w:after="20"/>
            </w:pPr>
            <w:r>
              <w:rPr>
                <w:sz w:val="15"/>
              </w:rPr>
              <w:t>High</w:t>
            </w:r>
          </w:p>
        </w:tc>
      </w:tr>
      <w:tr>
        <w:tc>
          <w:tcPr>
            <w:tcW w:type="dxa" w:w="648"/>
            <w:vAlign w:val="center"/>
            <w:shd w:fill="EAF0F8"/>
          </w:tcPr>
          <w:p>
            <w:pPr>
              <w:spacing w:after="20"/>
            </w:pPr>
            <w:r>
              <w:rPr>
                <w:sz w:val="15"/>
              </w:rPr>
              <w:t>R4</w:t>
            </w:r>
          </w:p>
        </w:tc>
        <w:tc>
          <w:tcPr>
            <w:tcW w:type="dxa" w:w="4464"/>
            <w:vAlign w:val="center"/>
            <w:shd w:fill="EAF0F8"/>
          </w:tcPr>
          <w:p>
            <w:pPr>
              <w:spacing w:after="20"/>
            </w:pPr>
            <w:r>
              <w:rPr>
                <w:sz w:val="15"/>
              </w:rPr>
              <w:t>CDE, cloud, or key software outage</w:t>
            </w:r>
          </w:p>
        </w:tc>
        <w:tc>
          <w:tcPr>
            <w:tcW w:type="dxa" w:w="576"/>
            <w:vAlign w:val="center"/>
            <w:shd w:fill="EAF0F8"/>
          </w:tcPr>
          <w:p>
            <w:pPr>
              <w:spacing w:after="20"/>
            </w:pPr>
            <w:r>
              <w:rPr>
                <w:sz w:val="15"/>
              </w:rPr>
              <w:t>3</w:t>
            </w:r>
          </w:p>
        </w:tc>
        <w:tc>
          <w:tcPr>
            <w:tcW w:type="dxa" w:w="576"/>
            <w:vAlign w:val="center"/>
            <w:shd w:fill="EAF0F8"/>
          </w:tcPr>
          <w:p>
            <w:pPr>
              <w:spacing w:after="20"/>
            </w:pPr>
            <w:r>
              <w:rPr>
                <w:sz w:val="15"/>
              </w:rPr>
              <w:t>5</w:t>
            </w:r>
          </w:p>
        </w:tc>
        <w:tc>
          <w:tcPr>
            <w:tcW w:type="dxa" w:w="864"/>
            <w:vAlign w:val="center"/>
            <w:shd w:fill="EAF0F8"/>
          </w:tcPr>
          <w:p>
            <w:pPr>
              <w:spacing w:after="20"/>
            </w:pPr>
            <w:r>
              <w:rPr>
                <w:sz w:val="15"/>
              </w:rPr>
              <w:t>15</w:t>
            </w:r>
          </w:p>
        </w:tc>
        <w:tc>
          <w:tcPr>
            <w:tcW w:type="dxa" w:w="1440"/>
            <w:vAlign w:val="center"/>
            <w:shd w:fill="EAF0F8"/>
          </w:tcPr>
          <w:p>
            <w:pPr>
              <w:spacing w:after="20"/>
            </w:pPr>
            <w:r>
              <w:rPr>
                <w:sz w:val="15"/>
              </w:rPr>
              <w:t>High</w:t>
            </w:r>
          </w:p>
        </w:tc>
      </w:tr>
      <w:tr>
        <w:tc>
          <w:tcPr>
            <w:tcW w:type="dxa" w:w="648"/>
            <w:vAlign w:val="center"/>
          </w:tcPr>
          <w:p>
            <w:pPr>
              <w:spacing w:after="20"/>
            </w:pPr>
            <w:r>
              <w:rPr>
                <w:sz w:val="15"/>
              </w:rPr>
              <w:t>R5</w:t>
            </w:r>
          </w:p>
        </w:tc>
        <w:tc>
          <w:tcPr>
            <w:tcW w:type="dxa" w:w="4464"/>
            <w:vAlign w:val="center"/>
          </w:tcPr>
          <w:p>
            <w:pPr>
              <w:spacing w:after="20"/>
            </w:pPr>
            <w:r>
              <w:rPr>
                <w:sz w:val="15"/>
              </w:rPr>
              <w:t>Remote communication / approval breakdown</w:t>
            </w:r>
          </w:p>
        </w:tc>
        <w:tc>
          <w:tcPr>
            <w:tcW w:type="dxa" w:w="576"/>
            <w:vAlign w:val="center"/>
          </w:tcPr>
          <w:p>
            <w:pPr>
              <w:spacing w:after="20"/>
            </w:pPr>
            <w:r>
              <w:rPr>
                <w:sz w:val="15"/>
              </w:rPr>
              <w:t>4</w:t>
            </w:r>
          </w:p>
        </w:tc>
        <w:tc>
          <w:tcPr>
            <w:tcW w:type="dxa" w:w="576"/>
            <w:vAlign w:val="center"/>
          </w:tcPr>
          <w:p>
            <w:pPr>
              <w:spacing w:after="20"/>
            </w:pPr>
            <w:r>
              <w:rPr>
                <w:sz w:val="15"/>
              </w:rPr>
              <w:t>4</w:t>
            </w:r>
          </w:p>
        </w:tc>
        <w:tc>
          <w:tcPr>
            <w:tcW w:type="dxa" w:w="864"/>
            <w:vAlign w:val="center"/>
          </w:tcPr>
          <w:p>
            <w:pPr>
              <w:spacing w:after="20"/>
            </w:pPr>
            <w:r>
              <w:rPr>
                <w:sz w:val="15"/>
              </w:rPr>
              <w:t>16</w:t>
            </w:r>
          </w:p>
        </w:tc>
        <w:tc>
          <w:tcPr>
            <w:tcW w:type="dxa" w:w="1440"/>
            <w:vAlign w:val="center"/>
          </w:tcPr>
          <w:p>
            <w:pPr>
              <w:spacing w:after="20"/>
            </w:pPr>
            <w:r>
              <w:rPr>
                <w:sz w:val="15"/>
              </w:rPr>
              <w:t>High</w:t>
            </w:r>
          </w:p>
        </w:tc>
      </w:tr>
      <w:tr>
        <w:tc>
          <w:tcPr>
            <w:tcW w:type="dxa" w:w="648"/>
            <w:vAlign w:val="center"/>
            <w:shd w:fill="EAF0F8"/>
          </w:tcPr>
          <w:p>
            <w:pPr>
              <w:spacing w:after="20"/>
            </w:pPr>
            <w:r>
              <w:rPr>
                <w:sz w:val="15"/>
              </w:rPr>
              <w:t>R6</w:t>
            </w:r>
          </w:p>
        </w:tc>
        <w:tc>
          <w:tcPr>
            <w:tcW w:type="dxa" w:w="4464"/>
            <w:vAlign w:val="center"/>
            <w:shd w:fill="EAF0F8"/>
          </w:tcPr>
          <w:p>
            <w:pPr>
              <w:spacing w:after="20"/>
            </w:pPr>
            <w:r>
              <w:rPr>
                <w:sz w:val="15"/>
              </w:rPr>
              <w:t>Skills gap, low adoption, or human error</w:t>
            </w:r>
          </w:p>
        </w:tc>
        <w:tc>
          <w:tcPr>
            <w:tcW w:type="dxa" w:w="576"/>
            <w:vAlign w:val="center"/>
            <w:shd w:fill="EAF0F8"/>
          </w:tcPr>
          <w:p>
            <w:pPr>
              <w:spacing w:after="20"/>
            </w:pPr>
            <w:r>
              <w:rPr>
                <w:sz w:val="15"/>
              </w:rPr>
              <w:t>3</w:t>
            </w:r>
          </w:p>
        </w:tc>
        <w:tc>
          <w:tcPr>
            <w:tcW w:type="dxa" w:w="576"/>
            <w:vAlign w:val="center"/>
            <w:shd w:fill="EAF0F8"/>
          </w:tcPr>
          <w:p>
            <w:pPr>
              <w:spacing w:after="20"/>
            </w:pPr>
            <w:r>
              <w:rPr>
                <w:sz w:val="15"/>
              </w:rPr>
              <w:t>4</w:t>
            </w:r>
          </w:p>
        </w:tc>
        <w:tc>
          <w:tcPr>
            <w:tcW w:type="dxa" w:w="864"/>
            <w:vAlign w:val="center"/>
            <w:shd w:fill="EAF0F8"/>
          </w:tcPr>
          <w:p>
            <w:pPr>
              <w:spacing w:after="20"/>
            </w:pPr>
            <w:r>
              <w:rPr>
                <w:sz w:val="15"/>
              </w:rPr>
              <w:t>12</w:t>
            </w:r>
          </w:p>
        </w:tc>
        <w:tc>
          <w:tcPr>
            <w:tcW w:type="dxa" w:w="1440"/>
            <w:vAlign w:val="center"/>
            <w:shd w:fill="EAF0F8"/>
          </w:tcPr>
          <w:p>
            <w:pPr>
              <w:spacing w:after="20"/>
            </w:pPr>
            <w:r>
              <w:rPr>
                <w:sz w:val="15"/>
              </w:rPr>
              <w:t>High</w:t>
            </w:r>
          </w:p>
        </w:tc>
      </w:tr>
      <w:tr>
        <w:tc>
          <w:tcPr>
            <w:tcW w:type="dxa" w:w="648"/>
            <w:vAlign w:val="center"/>
          </w:tcPr>
          <w:p>
            <w:pPr>
              <w:spacing w:after="20"/>
            </w:pPr>
            <w:r>
              <w:rPr>
                <w:sz w:val="15"/>
              </w:rPr>
              <w:t>R7</w:t>
            </w:r>
          </w:p>
        </w:tc>
        <w:tc>
          <w:tcPr>
            <w:tcW w:type="dxa" w:w="4464"/>
            <w:vAlign w:val="center"/>
          </w:tcPr>
          <w:p>
            <w:pPr>
              <w:spacing w:after="20"/>
            </w:pPr>
            <w:r>
              <w:rPr>
                <w:sz w:val="15"/>
              </w:rPr>
              <w:t>Schedule slippage or specialist-resource shortage</w:t>
            </w:r>
          </w:p>
        </w:tc>
        <w:tc>
          <w:tcPr>
            <w:tcW w:type="dxa" w:w="576"/>
            <w:vAlign w:val="center"/>
          </w:tcPr>
          <w:p>
            <w:pPr>
              <w:spacing w:after="20"/>
            </w:pPr>
            <w:r>
              <w:rPr>
                <w:sz w:val="15"/>
              </w:rPr>
              <w:t>4</w:t>
            </w:r>
          </w:p>
        </w:tc>
        <w:tc>
          <w:tcPr>
            <w:tcW w:type="dxa" w:w="576"/>
            <w:vAlign w:val="center"/>
          </w:tcPr>
          <w:p>
            <w:pPr>
              <w:spacing w:after="20"/>
            </w:pPr>
            <w:r>
              <w:rPr>
                <w:sz w:val="15"/>
              </w:rPr>
              <w:t>4</w:t>
            </w:r>
          </w:p>
        </w:tc>
        <w:tc>
          <w:tcPr>
            <w:tcW w:type="dxa" w:w="864"/>
            <w:vAlign w:val="center"/>
          </w:tcPr>
          <w:p>
            <w:pPr>
              <w:spacing w:after="20"/>
            </w:pPr>
            <w:r>
              <w:rPr>
                <w:sz w:val="15"/>
              </w:rPr>
              <w:t>16</w:t>
            </w:r>
          </w:p>
        </w:tc>
        <w:tc>
          <w:tcPr>
            <w:tcW w:type="dxa" w:w="1440"/>
            <w:vAlign w:val="center"/>
          </w:tcPr>
          <w:p>
            <w:pPr>
              <w:spacing w:after="20"/>
            </w:pPr>
            <w:r>
              <w:rPr>
                <w:sz w:val="15"/>
              </w:rPr>
              <w:t>High</w:t>
            </w:r>
          </w:p>
        </w:tc>
      </w:tr>
      <w:tr>
        <w:tc>
          <w:tcPr>
            <w:tcW w:type="dxa" w:w="648"/>
            <w:vAlign w:val="center"/>
            <w:shd w:fill="EAF0F8"/>
          </w:tcPr>
          <w:p>
            <w:pPr>
              <w:spacing w:after="20"/>
            </w:pPr>
            <w:r>
              <w:rPr>
                <w:sz w:val="15"/>
              </w:rPr>
              <w:t>R8</w:t>
            </w:r>
          </w:p>
        </w:tc>
        <w:tc>
          <w:tcPr>
            <w:tcW w:type="dxa" w:w="4464"/>
            <w:vAlign w:val="center"/>
            <w:shd w:fill="EAF0F8"/>
          </w:tcPr>
          <w:p>
            <w:pPr>
              <w:spacing w:after="20"/>
            </w:pPr>
            <w:r>
              <w:rPr>
                <w:sz w:val="15"/>
              </w:rPr>
              <w:t>Third-party/vendor or integration failure</w:t>
            </w:r>
          </w:p>
        </w:tc>
        <w:tc>
          <w:tcPr>
            <w:tcW w:type="dxa" w:w="576"/>
            <w:vAlign w:val="center"/>
            <w:shd w:fill="EAF0F8"/>
          </w:tcPr>
          <w:p>
            <w:pPr>
              <w:spacing w:after="20"/>
            </w:pPr>
            <w:r>
              <w:rPr>
                <w:sz w:val="15"/>
              </w:rPr>
              <w:t>3</w:t>
            </w:r>
          </w:p>
        </w:tc>
        <w:tc>
          <w:tcPr>
            <w:tcW w:type="dxa" w:w="576"/>
            <w:vAlign w:val="center"/>
            <w:shd w:fill="EAF0F8"/>
          </w:tcPr>
          <w:p>
            <w:pPr>
              <w:spacing w:after="20"/>
            </w:pPr>
            <w:r>
              <w:rPr>
                <w:sz w:val="15"/>
              </w:rPr>
              <w:t>4</w:t>
            </w:r>
          </w:p>
        </w:tc>
        <w:tc>
          <w:tcPr>
            <w:tcW w:type="dxa" w:w="864"/>
            <w:vAlign w:val="center"/>
            <w:shd w:fill="EAF0F8"/>
          </w:tcPr>
          <w:p>
            <w:pPr>
              <w:spacing w:after="20"/>
            </w:pPr>
            <w:r>
              <w:rPr>
                <w:sz w:val="15"/>
              </w:rPr>
              <w:t>12</w:t>
            </w:r>
          </w:p>
        </w:tc>
        <w:tc>
          <w:tcPr>
            <w:tcW w:type="dxa" w:w="1440"/>
            <w:vAlign w:val="center"/>
            <w:shd w:fill="EAF0F8"/>
          </w:tcPr>
          <w:p>
            <w:pPr>
              <w:spacing w:after="20"/>
            </w:pPr>
            <w:r>
              <w:rPr>
                <w:sz w:val="15"/>
              </w:rPr>
              <w:t>High</w:t>
            </w:r>
          </w:p>
        </w:tc>
      </w:tr>
    </w:tbl>
    <w:p/>
    <w:p>
      <w:r>
        <w:t>L = likelihood; I = impact. These ratings are not measured project facts.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1008"/>
            <w:shd w:fill="17365D"/>
          </w:tcPr>
          <w:p>
            <w:r>
              <w:rPr>
                <w:b/>
                <w:color w:val="FFFFFF"/>
                <w:sz w:val="16"/>
              </w:rPr>
              <w:t>Rating</w:t>
            </w:r>
          </w:p>
        </w:tc>
        <w:tc>
          <w:tcPr>
            <w:tcW w:type="dxa" w:w="4464"/>
            <w:shd w:fill="17365D"/>
          </w:tcPr>
          <w:p>
            <w:r>
              <w:rPr>
                <w:b/>
                <w:color w:val="FFFFFF"/>
                <w:sz w:val="16"/>
              </w:rPr>
              <w:t>Likelihood example</w:t>
            </w:r>
          </w:p>
        </w:tc>
        <w:tc>
          <w:tcPr>
            <w:tcW w:type="dxa" w:w="4968"/>
            <w:shd w:fill="17365D"/>
          </w:tcPr>
          <w:p>
            <w:r>
              <w:rPr>
                <w:b/>
                <w:color w:val="FFFFFF"/>
                <w:sz w:val="16"/>
              </w:rPr>
              <w:t>Impact example</w:t>
            </w:r>
          </w:p>
        </w:tc>
      </w:tr>
      <w:tr>
        <w:tc>
          <w:tcPr>
            <w:tcW w:type="dxa" w:w="1008"/>
            <w:vAlign w:val="center"/>
          </w:tcPr>
          <w:p>
            <w:pPr>
              <w:spacing w:after="20"/>
            </w:pPr>
            <w:r>
              <w:rPr>
                <w:sz w:val="16"/>
              </w:rPr>
              <w:t>1</w:t>
            </w:r>
          </w:p>
        </w:tc>
        <w:tc>
          <w:tcPr>
            <w:tcW w:type="dxa" w:w="4464"/>
            <w:vAlign w:val="center"/>
          </w:tcPr>
          <w:p>
            <w:pPr>
              <w:spacing w:after="20"/>
            </w:pPr>
            <w:r>
              <w:rPr>
                <w:sz w:val="16"/>
              </w:rPr>
              <w:t>Rare</w:t>
            </w:r>
          </w:p>
        </w:tc>
        <w:tc>
          <w:tcPr>
            <w:tcW w:type="dxa" w:w="4968"/>
            <w:vAlign w:val="center"/>
          </w:tcPr>
          <w:p>
            <w:pPr>
              <w:spacing w:after="20"/>
            </w:pPr>
            <w:r>
              <w:rPr>
                <w:sz w:val="16"/>
              </w:rPr>
              <w:t>Negligible rework or delay</w:t>
            </w:r>
          </w:p>
        </w:tc>
      </w:tr>
      <w:tr>
        <w:tc>
          <w:tcPr>
            <w:tcW w:type="dxa" w:w="1008"/>
            <w:vAlign w:val="center"/>
            <w:shd w:fill="EAF0F8"/>
          </w:tcPr>
          <w:p>
            <w:pPr>
              <w:spacing w:after="20"/>
            </w:pPr>
            <w:r>
              <w:rPr>
                <w:sz w:val="16"/>
              </w:rPr>
              <w:t>2</w:t>
            </w:r>
          </w:p>
        </w:tc>
        <w:tc>
          <w:tcPr>
            <w:tcW w:type="dxa" w:w="4464"/>
            <w:vAlign w:val="center"/>
            <w:shd w:fill="EAF0F8"/>
          </w:tcPr>
          <w:p>
            <w:pPr>
              <w:spacing w:after="20"/>
            </w:pPr>
            <w:r>
              <w:rPr>
                <w:sz w:val="16"/>
              </w:rPr>
              <w:t>Unlikely</w:t>
            </w:r>
          </w:p>
        </w:tc>
        <w:tc>
          <w:tcPr>
            <w:tcW w:type="dxa" w:w="4968"/>
            <w:vAlign w:val="center"/>
            <w:shd w:fill="EAF0F8"/>
          </w:tcPr>
          <w:p>
            <w:pPr>
              <w:spacing w:after="20"/>
            </w:pPr>
            <w:r>
              <w:rPr>
                <w:sz w:val="16"/>
              </w:rPr>
              <w:t>Minor disruption manageable within team</w:t>
            </w:r>
          </w:p>
        </w:tc>
      </w:tr>
      <w:tr>
        <w:tc>
          <w:tcPr>
            <w:tcW w:type="dxa" w:w="1008"/>
            <w:vAlign w:val="center"/>
          </w:tcPr>
          <w:p>
            <w:pPr>
              <w:spacing w:after="20"/>
            </w:pPr>
            <w:r>
              <w:rPr>
                <w:sz w:val="16"/>
              </w:rPr>
              <w:t>3</w:t>
            </w:r>
          </w:p>
        </w:tc>
        <w:tc>
          <w:tcPr>
            <w:tcW w:type="dxa" w:w="4464"/>
            <w:vAlign w:val="center"/>
          </w:tcPr>
          <w:p>
            <w:pPr>
              <w:spacing w:after="20"/>
            </w:pPr>
            <w:r>
              <w:rPr>
                <w:sz w:val="16"/>
              </w:rPr>
              <w:t>Possible</w:t>
            </w:r>
          </w:p>
        </w:tc>
        <w:tc>
          <w:tcPr>
            <w:tcW w:type="dxa" w:w="4968"/>
            <w:vAlign w:val="center"/>
          </w:tcPr>
          <w:p>
            <w:pPr>
              <w:spacing w:after="20"/>
            </w:pPr>
            <w:r>
              <w:rPr>
                <w:sz w:val="16"/>
              </w:rPr>
              <w:t>Moderate rework, delay, or cost increase</w:t>
            </w:r>
          </w:p>
        </w:tc>
      </w:tr>
      <w:tr>
        <w:tc>
          <w:tcPr>
            <w:tcW w:type="dxa" w:w="1008"/>
            <w:vAlign w:val="center"/>
            <w:shd w:fill="EAF0F8"/>
          </w:tcPr>
          <w:p>
            <w:pPr>
              <w:spacing w:after="20"/>
            </w:pPr>
            <w:r>
              <w:rPr>
                <w:sz w:val="16"/>
              </w:rPr>
              <w:t>4</w:t>
            </w:r>
          </w:p>
        </w:tc>
        <w:tc>
          <w:tcPr>
            <w:tcW w:type="dxa" w:w="4464"/>
            <w:vAlign w:val="center"/>
            <w:shd w:fill="EAF0F8"/>
          </w:tcPr>
          <w:p>
            <w:pPr>
              <w:spacing w:after="20"/>
            </w:pPr>
            <w:r>
              <w:rPr>
                <w:sz w:val="16"/>
              </w:rPr>
              <w:t>Likely / recurring exposure</w:t>
            </w:r>
          </w:p>
        </w:tc>
        <w:tc>
          <w:tcPr>
            <w:tcW w:type="dxa" w:w="4968"/>
            <w:vAlign w:val="center"/>
            <w:shd w:fill="EAF0F8"/>
          </w:tcPr>
          <w:p>
            <w:pPr>
              <w:spacing w:after="20"/>
            </w:pPr>
            <w:r>
              <w:rPr>
                <w:sz w:val="16"/>
              </w:rPr>
              <w:t>Major milestone or budget impact</w:t>
            </w:r>
          </w:p>
        </w:tc>
      </w:tr>
      <w:tr>
        <w:tc>
          <w:tcPr>
            <w:tcW w:type="dxa" w:w="1008"/>
            <w:vAlign w:val="center"/>
          </w:tcPr>
          <w:p>
            <w:pPr>
              <w:spacing w:after="20"/>
            </w:pPr>
            <w:r>
              <w:rPr>
                <w:sz w:val="16"/>
              </w:rPr>
              <w:t>5</w:t>
            </w:r>
          </w:p>
        </w:tc>
        <w:tc>
          <w:tcPr>
            <w:tcW w:type="dxa" w:w="4464"/>
            <w:vAlign w:val="center"/>
          </w:tcPr>
          <w:p>
            <w:pPr>
              <w:spacing w:after="20"/>
            </w:pPr>
            <w:r>
              <w:rPr>
                <w:sz w:val="16"/>
              </w:rPr>
              <w:t>Almost certain / frequent</w:t>
            </w:r>
          </w:p>
        </w:tc>
        <w:tc>
          <w:tcPr>
            <w:tcW w:type="dxa" w:w="4968"/>
            <w:vAlign w:val="center"/>
          </w:tcPr>
          <w:p>
            <w:pPr>
              <w:spacing w:after="20"/>
            </w:pPr>
            <w:r>
              <w:rPr>
                <w:sz w:val="16"/>
              </w:rPr>
              <w:t>Critical safety, legal, financial, or delivery impact</w:t>
            </w:r>
          </w:p>
        </w:tc>
      </w:tr>
    </w:tbl>
    <w:p/>
    <w:p>
      <w:pPr>
        <w:pStyle w:val="Heading1"/>
      </w:pPr>
      <w:r>
        <w:t>3. Mitigation and Contingency Plans for Eight Key Risks</w:t>
      </w:r>
    </w:p>
    <w:p>
      <w:r>
        <w:t>Each plan separates prevention (before the event), response (during the event), and recovery (after containment). Record evidence of completed actions in the project risk register.</w:t>
      </w:r>
    </w:p>
    <w:p>
      <w:pPr>
        <w:pStyle w:val="Heading2"/>
      </w:pPr>
      <w:r>
        <w:t>R1. Cybersecurity incident or unauthorised access</w:t>
      </w:r>
    </w:p>
    <w:p>
      <w:r>
        <w:rPr>
          <w:b/>
        </w:rPr>
        <w:t xml:space="preserve">Inherent baseline score: 20 — Critical. </w:t>
      </w:r>
      <w:r>
        <w:t>Owner: IT / Cybersecurity Lead; Project Manager coordinates</w:t>
      </w:r>
    </w:p>
    <w:p>
      <w:pPr>
        <w:pStyle w:val="Heading3"/>
      </w:pPr>
      <w:r>
        <w:t>Risk statement and rationale</w:t>
      </w:r>
    </w:p>
    <w:p>
      <w:r>
        <w:t>Causes: Phishing, reused passwords, compromised supplier accounts, weak access controls, insecure devices, or exposed project links.</w:t>
      </w:r>
    </w:p>
    <w:p>
      <w:r>
        <w:t>Potential consequences: Confidential design/commercial data exposure, operational disruption, notification duties, reputational damage, and recovery costs.</w:t>
      </w:r>
    </w:p>
    <w:p>
      <w:pPr>
        <w:pStyle w:val="Heading3"/>
      </w:pPr>
      <w:r>
        <w:t>Prevention / proactive mitigation</w:t>
      </w:r>
    </w:p>
    <w:p>
      <w:pPr>
        <w:pStyle w:val="ListBullet"/>
        <w:spacing w:after="40"/>
      </w:pPr>
      <w:r>
        <w:t>Require MFA for email, CDE, VPN, and administrator accounts; prohibit shared accounts.</w:t>
      </w:r>
    </w:p>
    <w:p>
      <w:pPr>
        <w:pStyle w:val="ListBullet"/>
        <w:spacing w:after="40"/>
      </w:pPr>
      <w:r>
        <w:t>Use least-privilege role-based access; review external and privileged access monthly and at staff exit.</w:t>
      </w:r>
    </w:p>
    <w:p>
      <w:pPr>
        <w:pStyle w:val="ListBullet"/>
        <w:spacing w:after="40"/>
      </w:pPr>
      <w:r>
        <w:t>Patch endpoints and collaboration software; remove unsupported tools.</w:t>
      </w:r>
    </w:p>
    <w:p>
      <w:pPr>
        <w:pStyle w:val="ListBullet"/>
        <w:spacing w:after="40"/>
      </w:pPr>
      <w:r>
        <w:t>Train staff to report suspicious messages and unusual sign-in prompts.</w:t>
      </w:r>
    </w:p>
    <w:p>
      <w:pPr>
        <w:pStyle w:val="ListBullet"/>
        <w:spacing w:after="40"/>
      </w:pPr>
      <w:r>
        <w:t>Maintain immutable/offline backups, incident contacts, and a tested response plan.</w:t>
      </w:r>
    </w:p>
    <w:p>
      <w:pPr>
        <w:pStyle w:val="ListBullet"/>
        <w:spacing w:after="40"/>
      </w:pPr>
      <w:r>
        <w:t>Set vendor security-incident notification and access/deletion duties in contracts.</w:t>
      </w:r>
    </w:p>
    <w:p>
      <w:pPr>
        <w:pStyle w:val="Heading3"/>
      </w:pPr>
      <w:r>
        <w:t>Trigger indicators</w:t>
      </w:r>
    </w:p>
    <w:p>
      <w:pPr>
        <w:pStyle w:val="ListBullet"/>
        <w:spacing w:after="40"/>
      </w:pPr>
      <w:r>
        <w:t>Unexpected MFA prompts, suspicious sign-ins, unusual bulk downloads, encrypted files, security alerts, or vendor incident notice.</w:t>
      </w:r>
    </w:p>
    <w:p>
      <w:pPr>
        <w:pStyle w:val="Heading3"/>
      </w:pPr>
      <w:r>
        <w:t>Immediate response</w:t>
      </w:r>
    </w:p>
    <w:p>
      <w:pPr>
        <w:pStyle w:val="ListNumber"/>
        <w:spacing w:after="40"/>
      </w:pPr>
      <w:r>
        <w:t>Report to the incident lead and IT security contact; preserve evidence.</w:t>
      </w:r>
    </w:p>
    <w:p>
      <w:pPr>
        <w:pStyle w:val="ListNumber"/>
        <w:spacing w:after="40"/>
      </w:pPr>
      <w:r>
        <w:t>Isolate affected devices/accounts; revoke sessions and rotate compromised credentials.</w:t>
      </w:r>
    </w:p>
    <w:p>
      <w:pPr>
        <w:pStyle w:val="ListNumber"/>
        <w:spacing w:after="40"/>
      </w:pPr>
      <w:r>
        <w:t>Preserve logs and record times, affected systems, and observed actions.</w:t>
      </w:r>
    </w:p>
    <w:p>
      <w:pPr>
        <w:pStyle w:val="ListNumber"/>
        <w:spacing w:after="40"/>
      </w:pPr>
      <w:r>
        <w:t>Assess exposure and follow applicable legal, privacy, and contractual reporting processes.</w:t>
      </w:r>
    </w:p>
    <w:p>
      <w:pPr>
        <w:pStyle w:val="Heading3"/>
      </w:pPr>
      <w:r>
        <w:t>Recovery and return to normal</w:t>
      </w:r>
    </w:p>
    <w:p>
      <w:pPr>
        <w:pStyle w:val="ListBullet"/>
        <w:spacing w:after="40"/>
      </w:pPr>
      <w:r>
        <w:t>Restore only from verified clean backups after containment.</w:t>
      </w:r>
    </w:p>
    <w:p>
      <w:pPr>
        <w:pStyle w:val="ListBullet"/>
        <w:spacing w:after="40"/>
      </w:pPr>
      <w:r>
        <w:t>Rebuild affected devices if required; patch the exploited weakness and rotate secrets.</w:t>
      </w:r>
    </w:p>
    <w:p>
      <w:pPr>
        <w:pStyle w:val="ListBullet"/>
        <w:spacing w:after="40"/>
      </w:pPr>
      <w:r>
        <w:t>Validate model integrity, permissions, and integrations before restoring access.</w:t>
      </w:r>
    </w:p>
    <w:p>
      <w:pPr>
        <w:pStyle w:val="ListBullet"/>
        <w:spacing w:after="40"/>
      </w:pPr>
      <w:r>
        <w:t>Complete lessons learned and track corrective actions.</w:t>
      </w:r>
    </w:p>
    <w:p>
      <w:pPr>
        <w:pStyle w:val="Heading3"/>
      </w:pPr>
      <w:r>
        <w:t>Contingency / fallback</w:t>
      </w:r>
    </w:p>
    <w:p>
      <w:r>
        <w:t>Restrict sensitive sharing and use the approved incident communications channel and clean offline working pack until IT authorises restoration.</w:t>
      </w:r>
    </w:p>
    <w:p>
      <w:pPr>
        <w:pStyle w:val="Heading3"/>
      </w:pPr>
      <w:r>
        <w:t>Measures of effectiveness</w:t>
      </w:r>
    </w:p>
    <w:p>
      <w:pPr>
        <w:pStyle w:val="ListBullet"/>
        <w:spacing w:after="40"/>
      </w:pPr>
      <w:r>
        <w:t>100% MFA coverage for in-scope accounts.</w:t>
      </w:r>
    </w:p>
    <w:p>
      <w:pPr>
        <w:pStyle w:val="ListBullet"/>
        <w:spacing w:after="40"/>
      </w:pPr>
      <w:r>
        <w:t>Track detection-to-containment time by severity.</w:t>
      </w:r>
    </w:p>
    <w:p>
      <w:pPr>
        <w:pStyle w:val="ListBullet"/>
        <w:spacing w:after="40"/>
      </w:pPr>
      <w:r>
        <w:t>Monthly access review completion.</w:t>
      </w:r>
    </w:p>
    <w:p>
      <w:pPr>
        <w:pStyle w:val="ListBullet"/>
        <w:spacing w:after="40"/>
      </w:pPr>
      <w:r>
        <w:t>Backup restoration test success rate.</w:t>
      </w:r>
    </w:p>
    <w:p>
      <w:pPr>
        <w:pStyle w:val="Heading2"/>
      </w:pPr>
      <w:r>
        <w:t>R2. Data loss, corruption, or wrong-version use</w:t>
      </w:r>
    </w:p>
    <w:p>
      <w:r>
        <w:rPr>
          <w:b/>
        </w:rPr>
        <w:t xml:space="preserve">Inherent baseline score: 20 — Critical. </w:t>
      </w:r>
      <w:r>
        <w:t>Owner: Information Manager / CDE Administrator</w:t>
      </w:r>
    </w:p>
    <w:p>
      <w:pPr>
        <w:pStyle w:val="Heading3"/>
      </w:pPr>
      <w:r>
        <w:t>Risk statement and rationale</w:t>
      </w:r>
    </w:p>
    <w:p>
      <w:r>
        <w:t>Causes: Accidental deletion, sync conflicts, ransomware, incorrect file naming, overwritten models, or unapproved local copies.</w:t>
      </w:r>
    </w:p>
    <w:p>
      <w:r>
        <w:t>Potential consequences: Rework, inconsistent design, incorrect construction information, approval disputes, or inability to reconstruct project records.</w:t>
      </w:r>
    </w:p>
    <w:p>
      <w:pPr>
        <w:pStyle w:val="Heading3"/>
      </w:pPr>
      <w:r>
        <w:t>Prevention / proactive mitigation</w:t>
      </w:r>
    </w:p>
    <w:p>
      <w:pPr>
        <w:pStyle w:val="ListBullet"/>
        <w:spacing w:after="40"/>
      </w:pPr>
      <w:r>
        <w:t>Use a controlled CDE with agreed naming, status, revision, approval, and archive conventions.</w:t>
      </w:r>
    </w:p>
    <w:p>
      <w:pPr>
        <w:pStyle w:val="ListBullet"/>
        <w:spacing w:after="40"/>
      </w:pPr>
      <w:r>
        <w:t>Enable version history and retention; restrict deletion/overwrite rights.</w:t>
      </w:r>
    </w:p>
    <w:p>
      <w:pPr>
        <w:pStyle w:val="ListBullet"/>
        <w:spacing w:after="40"/>
      </w:pPr>
      <w:r>
        <w:t>Back up critical models, drawings, schedules, issue logs, and configuration data to agreed RPO/RTO.</w:t>
      </w:r>
    </w:p>
    <w:p>
      <w:pPr>
        <w:pStyle w:val="ListBullet"/>
        <w:spacing w:after="40"/>
      </w:pPr>
      <w:r>
        <w:t>Use a 3-2-1 backup approach where feasible: three copies, two media/types, one off-site or isolated.</w:t>
      </w:r>
    </w:p>
    <w:p>
      <w:pPr>
        <w:pStyle w:val="ListBullet"/>
        <w:spacing w:after="40"/>
      </w:pPr>
      <w:r>
        <w:t>Publish through controlled workflows rather than email attachments.</w:t>
      </w:r>
    </w:p>
    <w:p>
      <w:pPr>
        <w:pStyle w:val="ListBullet"/>
        <w:spacing w:after="40"/>
      </w:pPr>
      <w:r>
        <w:t>Run restore tests and maintain data-owner and recovery runbooks.</w:t>
      </w:r>
    </w:p>
    <w:p>
      <w:pPr>
        <w:pStyle w:val="Heading3"/>
      </w:pPr>
      <w:r>
        <w:t>Trigger indicators</w:t>
      </w:r>
    </w:p>
    <w:p>
      <w:pPr>
        <w:pStyle w:val="ListBullet"/>
        <w:spacing w:after="40"/>
      </w:pPr>
      <w:r>
        <w:t>Missing files, unexplained revisions, sync errors, failed backups, or a model that will not open.</w:t>
      </w:r>
    </w:p>
    <w:p>
      <w:pPr>
        <w:pStyle w:val="Heading3"/>
      </w:pPr>
      <w:r>
        <w:t>Immediate response</w:t>
      </w:r>
    </w:p>
    <w:p>
      <w:pPr>
        <w:pStyle w:val="ListNumber"/>
        <w:spacing w:after="40"/>
      </w:pPr>
      <w:r>
        <w:t>Stop use/distribution of the affected file and label it under investigation.</w:t>
      </w:r>
    </w:p>
    <w:p>
      <w:pPr>
        <w:pStyle w:val="ListNumber"/>
        <w:spacing w:after="40"/>
      </w:pPr>
      <w:r>
        <w:t>Preserve versions and logs; identify the last known-good approved revision.</w:t>
      </w:r>
    </w:p>
    <w:p>
      <w:pPr>
        <w:pStyle w:val="ListNumber"/>
        <w:spacing w:after="40"/>
      </w:pPr>
      <w:r>
        <w:t>Prevent further overwrites; verify backup integrity and data-loss scope.</w:t>
      </w:r>
    </w:p>
    <w:p>
      <w:pPr>
        <w:pStyle w:val="ListNumber"/>
        <w:spacing w:after="40"/>
      </w:pPr>
      <w:r>
        <w:t>Notify disciplines if a published package or construction decision may be affected.</w:t>
      </w:r>
    </w:p>
    <w:p>
      <w:pPr>
        <w:pStyle w:val="Heading3"/>
      </w:pPr>
      <w:r>
        <w:t>Recovery and return to normal</w:t>
      </w:r>
    </w:p>
    <w:p>
      <w:pPr>
        <w:pStyle w:val="ListBullet"/>
        <w:spacing w:after="40"/>
      </w:pPr>
      <w:r>
        <w:t>Restore last verified clean version and replay approved changes from issue logs where possible.</w:t>
      </w:r>
    </w:p>
    <w:p>
      <w:pPr>
        <w:pStyle w:val="ListBullet"/>
        <w:spacing w:after="40"/>
      </w:pPr>
      <w:r>
        <w:t>Compare restored data with the latest approved transmittal.</w:t>
      </w:r>
    </w:p>
    <w:p>
      <w:pPr>
        <w:pStyle w:val="ListBullet"/>
        <w:spacing w:after="40"/>
      </w:pPr>
      <w:r>
        <w:t>Reissue with a new revision and explicit superseded-version notice.</w:t>
      </w:r>
    </w:p>
    <w:p>
      <w:pPr>
        <w:pStyle w:val="ListBullet"/>
        <w:spacing w:after="40"/>
      </w:pPr>
      <w:r>
        <w:t>Record root cause, recovery time, data lost, and corrective action.</w:t>
      </w:r>
    </w:p>
    <w:p>
      <w:pPr>
        <w:pStyle w:val="Heading3"/>
      </w:pPr>
      <w:r>
        <w:t>Contingency / fallback</w:t>
      </w:r>
    </w:p>
    <w:p>
      <w:r>
        <w:t>Use the last approved, access-controlled offline export, stamped with export date/time; reconcile before treating it as current.</w:t>
      </w:r>
    </w:p>
    <w:p>
      <w:pPr>
        <w:pStyle w:val="Heading3"/>
      </w:pPr>
      <w:r>
        <w:t>Measures of effectiveness</w:t>
      </w:r>
    </w:p>
    <w:p>
      <w:pPr>
        <w:pStyle w:val="ListBullet"/>
        <w:spacing w:after="40"/>
      </w:pPr>
      <w:r>
        <w:t>Critical backup jobs completed at agreed frequency.</w:t>
      </w:r>
    </w:p>
    <w:p>
      <w:pPr>
        <w:pStyle w:val="ListBullet"/>
        <w:spacing w:after="40"/>
      </w:pPr>
      <w:r>
        <w:t>Scheduled restore tests pass.</w:t>
      </w:r>
    </w:p>
    <w:p>
      <w:pPr>
        <w:pStyle w:val="ListBullet"/>
        <w:spacing w:after="40"/>
      </w:pPr>
      <w:r>
        <w:t>Zero uncontrolled published revisions at stage gates.</w:t>
      </w:r>
    </w:p>
    <w:p>
      <w:pPr>
        <w:pStyle w:val="ListBullet"/>
        <w:spacing w:after="40"/>
      </w:pPr>
      <w:r>
        <w:t>RTO/RPO achievement.</w:t>
      </w:r>
    </w:p>
    <w:p>
      <w:pPr>
        <w:pStyle w:val="Heading2"/>
      </w:pPr>
      <w:r>
        <w:t>R3. BIM/model coordination error or missed clash</w:t>
      </w:r>
    </w:p>
    <w:p>
      <w:r>
        <w:rPr>
          <w:b/>
        </w:rPr>
        <w:t xml:space="preserve">Inherent baseline score: 16 — High. </w:t>
      </w:r>
      <w:r>
        <w:t>Owner: BIM Manager; discipline leads own corrections</w:t>
      </w:r>
    </w:p>
    <w:p>
      <w:pPr>
        <w:pStyle w:val="Heading3"/>
      </w:pPr>
      <w:r>
        <w:t>Risk statement and rationale</w:t>
      </w:r>
    </w:p>
    <w:p>
      <w:r>
        <w:t>Causes: Different coordinate systems, inconsistent model origins, outdated links, incompatible versions, unclear ownership, or inadequate review.</w:t>
      </w:r>
    </w:p>
    <w:p>
      <w:r>
        <w:t>Potential consequences: Clashes, incorrect quantities, site rework, cost growth, schedule delay, and unsafe assumptions based on misleading information.</w:t>
      </w:r>
    </w:p>
    <w:p>
      <w:pPr>
        <w:pStyle w:val="Heading3"/>
      </w:pPr>
      <w:r>
        <w:t>Prevention / proactive mitigation</w:t>
      </w:r>
    </w:p>
    <w:p>
      <w:pPr>
        <w:pStyle w:val="ListBullet"/>
        <w:spacing w:after="40"/>
      </w:pPr>
      <w:r>
        <w:t>Publish a BIM execution plan covering coordinate systems, units, model breakdown, information levels, file formats, and exchange frequency.</w:t>
      </w:r>
    </w:p>
    <w:p>
      <w:pPr>
        <w:pStyle w:val="ListBullet"/>
        <w:spacing w:after="40"/>
      </w:pPr>
      <w:r>
        <w:t>Use federated-model clash detection; assign every clash an owner, priority, due date, and closure evidence.</w:t>
      </w:r>
    </w:p>
    <w:p>
      <w:pPr>
        <w:pStyle w:val="ListBullet"/>
        <w:spacing w:after="40"/>
      </w:pPr>
      <w:r>
        <w:t>Set model exchange and approval gates; freeze controlled baselines for critical packages.</w:t>
      </w:r>
    </w:p>
    <w:p>
      <w:pPr>
        <w:pStyle w:val="ListBullet"/>
        <w:spacing w:after="40"/>
      </w:pPr>
      <w:r>
        <w:t>Automate checks for coordinates, naming, required attributes, revision metadata, and model integrity.</w:t>
      </w:r>
    </w:p>
    <w:p>
      <w:pPr>
        <w:pStyle w:val="ListBullet"/>
        <w:spacing w:after="40"/>
      </w:pPr>
      <w:r>
        <w:t>Have discipline leads review high-impact clashes and constructability, not only automated results.</w:t>
      </w:r>
    </w:p>
    <w:p>
      <w:pPr>
        <w:pStyle w:val="ListBullet"/>
        <w:spacing w:after="40"/>
      </w:pPr>
      <w:r>
        <w:t>Maintain a decision and change log.</w:t>
      </w:r>
    </w:p>
    <w:p>
      <w:pPr>
        <w:pStyle w:val="Heading3"/>
      </w:pPr>
      <w:r>
        <w:t>Trigger indicators</w:t>
      </w:r>
    </w:p>
    <w:p>
      <w:pPr>
        <w:pStyle w:val="ListBullet"/>
        <w:spacing w:after="40"/>
      </w:pPr>
      <w:r>
        <w:t>Clash count increases, a discipline model is missing, coordinate drift occurs, a critical issue is unassigned, or site queries contradict the published model.</w:t>
      </w:r>
    </w:p>
    <w:p>
      <w:pPr>
        <w:pStyle w:val="Heading3"/>
      </w:pPr>
      <w:r>
        <w:t>Immediate response</w:t>
      </w:r>
    </w:p>
    <w:p>
      <w:pPr>
        <w:pStyle w:val="ListNumber"/>
        <w:spacing w:after="40"/>
      </w:pPr>
      <w:r>
        <w:t>Hold the affected package and notify BIM and discipline leads.</w:t>
      </w:r>
    </w:p>
    <w:p>
      <w:pPr>
        <w:pStyle w:val="ListNumber"/>
        <w:spacing w:after="40"/>
      </w:pPr>
      <w:r>
        <w:t>Identify affected objects, drawings, quantities, and recipients; compare with the last approved model.</w:t>
      </w:r>
    </w:p>
    <w:p>
      <w:pPr>
        <w:pStyle w:val="ListNumber"/>
        <w:spacing w:after="40"/>
      </w:pPr>
      <w:r>
        <w:t>Prioritise safety-critical and construction-sequence conflicts; assign owners and deadlines.</w:t>
      </w:r>
    </w:p>
    <w:p>
      <w:pPr>
        <w:pStyle w:val="ListNumber"/>
        <w:spacing w:after="40"/>
      </w:pPr>
      <w:r>
        <w:t>Do not issue for construction until authorised review and reapproval.</w:t>
      </w:r>
    </w:p>
    <w:p>
      <w:pPr>
        <w:pStyle w:val="Heading3"/>
      </w:pPr>
      <w:r>
        <w:t>Recovery and return to normal</w:t>
      </w:r>
    </w:p>
    <w:p>
      <w:pPr>
        <w:pStyle w:val="ListBullet"/>
        <w:spacing w:after="40"/>
      </w:pPr>
      <w:r>
        <w:t>Correct the source model and rerun clash detection and validation.</w:t>
      </w:r>
    </w:p>
    <w:p>
      <w:pPr>
        <w:pStyle w:val="ListBullet"/>
        <w:spacing w:after="40"/>
      </w:pPr>
      <w:r>
        <w:t>Update drawings, quantities, and dependencies; obtain discipline sign-off.</w:t>
      </w:r>
    </w:p>
    <w:p>
      <w:pPr>
        <w:pStyle w:val="ListBullet"/>
        <w:spacing w:after="40"/>
      </w:pPr>
      <w:r>
        <w:t>Publish a controlled revision and notify affected users.</w:t>
      </w:r>
    </w:p>
    <w:p>
      <w:pPr>
        <w:pStyle w:val="ListBullet"/>
        <w:spacing w:after="40"/>
      </w:pPr>
      <w:r>
        <w:t>Update standards and training for recurring clash types.</w:t>
      </w:r>
    </w:p>
    <w:p>
      <w:pPr>
        <w:pStyle w:val="Heading3"/>
      </w:pPr>
      <w:r>
        <w:t>Contingency / fallback</w:t>
      </w:r>
    </w:p>
    <w:p>
      <w:r>
        <w:t>If the federated model is unavailable, use the last approved discipline exports with a clear status stamp and record decisions for later reconciliation.</w:t>
      </w:r>
    </w:p>
    <w:p>
      <w:pPr>
        <w:pStyle w:val="Heading3"/>
      </w:pPr>
      <w:r>
        <w:t>Measures of effectiveness</w:t>
      </w:r>
    </w:p>
    <w:p>
      <w:pPr>
        <w:pStyle w:val="ListBullet"/>
        <w:spacing w:after="40"/>
      </w:pPr>
      <w:r>
        <w:t>Critical clashes closed or formally accepted before issue gate.</w:t>
      </w:r>
    </w:p>
    <w:p>
      <w:pPr>
        <w:pStyle w:val="ListBullet"/>
        <w:spacing w:after="40"/>
      </w:pPr>
      <w:r>
        <w:t>Track high-severity clashes discovered after approval.</w:t>
      </w:r>
    </w:p>
    <w:p>
      <w:pPr>
        <w:pStyle w:val="ListBullet"/>
        <w:spacing w:after="40"/>
      </w:pPr>
      <w:r>
        <w:t>Model exchange compliance and validation pass rate.</w:t>
      </w:r>
    </w:p>
    <w:p>
      <w:pPr>
        <w:pStyle w:val="ListBullet"/>
        <w:spacing w:after="40"/>
      </w:pPr>
      <w:r>
        <w:t>Average time to assign/close coordination issues.</w:t>
      </w:r>
    </w:p>
    <w:p>
      <w:pPr>
        <w:pStyle w:val="Heading2"/>
      </w:pPr>
      <w:r>
        <w:t>R4. CDE, cloud, or key software outage</w:t>
      </w:r>
    </w:p>
    <w:p>
      <w:r>
        <w:rPr>
          <w:b/>
        </w:rPr>
        <w:t xml:space="preserve">Inherent baseline score: 15 — High. </w:t>
      </w:r>
      <w:r>
        <w:t>Owner: IT Service Owner / CDE Administrator; PM coordinates delivery</w:t>
      </w:r>
    </w:p>
    <w:p>
      <w:pPr>
        <w:pStyle w:val="Heading3"/>
      </w:pPr>
      <w:r>
        <w:t>Risk statement and rationale</w:t>
      </w:r>
    </w:p>
    <w:p>
      <w:r>
        <w:t>Causes: Cloud provider incident, internet failure, licence/authentication problem, software update, integration failure, or power disruption.</w:t>
      </w:r>
    </w:p>
    <w:p>
      <w:r>
        <w:t>Potential consequences: Remote teams lose access to approved information, reviews stall, deadlines slip, and uncontrolled copies may proliferate.</w:t>
      </w:r>
    </w:p>
    <w:p>
      <w:pPr>
        <w:pStyle w:val="Heading3"/>
      </w:pPr>
      <w:r>
        <w:t>Prevention / proactive mitigation</w:t>
      </w:r>
    </w:p>
    <w:p>
      <w:pPr>
        <w:pStyle w:val="ListBullet"/>
        <w:spacing w:after="40"/>
      </w:pPr>
      <w:r>
        <w:t>Agree vendor support contacts, service expectations, maintenance windows, and escalation routes.</w:t>
      </w:r>
    </w:p>
    <w:p>
      <w:pPr>
        <w:pStyle w:val="ListBullet"/>
        <w:spacing w:after="40"/>
      </w:pPr>
      <w:r>
        <w:t>Define business-approved RTO/RPO and avoid dependence on one administrator.</w:t>
      </w:r>
    </w:p>
    <w:p>
      <w:pPr>
        <w:pStyle w:val="ListBullet"/>
        <w:spacing w:after="40"/>
      </w:pPr>
      <w:r>
        <w:t>Maintain an offline pack of current approved drawings, contact lists, issue register, and near-term deliverables.</w:t>
      </w:r>
    </w:p>
    <w:p>
      <w:pPr>
        <w:pStyle w:val="ListBullet"/>
        <w:spacing w:after="40"/>
      </w:pPr>
      <w:r>
        <w:t>Test alternate communications and ensure staff know fallback locations.</w:t>
      </w:r>
    </w:p>
    <w:p>
      <w:pPr>
        <w:pStyle w:val="ListBullet"/>
        <w:spacing w:after="40"/>
      </w:pPr>
      <w:r>
        <w:t>Schedule updates outside critical review windows and test major changes in a sandbox.</w:t>
      </w:r>
    </w:p>
    <w:p>
      <w:pPr>
        <w:pStyle w:val="Heading3"/>
      </w:pPr>
      <w:r>
        <w:t>Trigger indicators</w:t>
      </w:r>
    </w:p>
    <w:p>
      <w:pPr>
        <w:pStyle w:val="ListBullet"/>
        <w:spacing w:after="40"/>
      </w:pPr>
      <w:r>
        <w:t>Provider alert, repeated login failures, widespread upload/download failures, or outage beyond agreed tolerance.</w:t>
      </w:r>
    </w:p>
    <w:p>
      <w:pPr>
        <w:pStyle w:val="Heading3"/>
      </w:pPr>
      <w:r>
        <w:t>Immediate response</w:t>
      </w:r>
    </w:p>
    <w:p>
      <w:pPr>
        <w:pStyle w:val="ListNumber"/>
        <w:spacing w:after="40"/>
      </w:pPr>
      <w:r>
        <w:t>Confirm whether issue is local, account-specific, or provider-wide; record start time and impact.</w:t>
      </w:r>
    </w:p>
    <w:p>
      <w:pPr>
        <w:pStyle w:val="ListNumber"/>
        <w:spacing w:after="40"/>
      </w:pPr>
      <w:r>
        <w:t>Notify users through backup channel and freeze nonessential publishing.</w:t>
      </w:r>
    </w:p>
    <w:p>
      <w:pPr>
        <w:pStyle w:val="ListNumber"/>
        <w:spacing w:after="40"/>
      </w:pPr>
      <w:r>
        <w:t>Activate offline workflow and prioritise safety-critical/milestone work.</w:t>
      </w:r>
    </w:p>
    <w:p>
      <w:pPr>
        <w:pStyle w:val="ListNumber"/>
        <w:spacing w:after="40"/>
      </w:pPr>
      <w:r>
        <w:t>Escalate to vendor support using the agreed ticket priority.</w:t>
      </w:r>
    </w:p>
    <w:p>
      <w:pPr>
        <w:pStyle w:val="Heading3"/>
      </w:pPr>
      <w:r>
        <w:t>Recovery and return to normal</w:t>
      </w:r>
    </w:p>
    <w:p>
      <w:pPr>
        <w:pStyle w:val="ListBullet"/>
        <w:spacing w:after="40"/>
      </w:pPr>
      <w:r>
        <w:t>Restore service after access and data-integrity checks.</w:t>
      </w:r>
    </w:p>
    <w:p>
      <w:pPr>
        <w:pStyle w:val="ListBullet"/>
        <w:spacing w:after="40"/>
      </w:pPr>
      <w:r>
        <w:t>Reconcile offline edits; one coordinator resolves conflicts before upload.</w:t>
      </w:r>
    </w:p>
    <w:p>
      <w:pPr>
        <w:pStyle w:val="ListBullet"/>
        <w:spacing w:after="40"/>
      </w:pPr>
      <w:r>
        <w:t>Verify versions, permissions, links, and integrations before resuming.</w:t>
      </w:r>
    </w:p>
    <w:p>
      <w:pPr>
        <w:pStyle w:val="ListBullet"/>
        <w:spacing w:after="40"/>
      </w:pPr>
      <w:r>
        <w:t>Record downtime and assess schedule impact.</w:t>
      </w:r>
    </w:p>
    <w:p>
      <w:pPr>
        <w:pStyle w:val="Heading3"/>
      </w:pPr>
      <w:r>
        <w:t>Contingency / fallback</w:t>
      </w:r>
    </w:p>
    <w:p>
      <w:r>
        <w:t>Use dated offline pack and pre-agreed phone/SMS or alternate meeting channel; information manager reconciles before republishing.</w:t>
      </w:r>
    </w:p>
    <w:p>
      <w:pPr>
        <w:pStyle w:val="Heading3"/>
      </w:pPr>
      <w:r>
        <w:t>Measures of effectiveness</w:t>
      </w:r>
    </w:p>
    <w:p>
      <w:pPr>
        <w:pStyle w:val="ListBullet"/>
        <w:spacing w:after="40"/>
      </w:pPr>
      <w:r>
        <w:t>Availability against agreed target.</w:t>
      </w:r>
    </w:p>
    <w:p>
      <w:pPr>
        <w:pStyle w:val="ListBullet"/>
        <w:spacing w:after="40"/>
      </w:pPr>
      <w:r>
        <w:t>Time to activate fallback.</w:t>
      </w:r>
    </w:p>
    <w:p>
      <w:pPr>
        <w:pStyle w:val="ListBullet"/>
        <w:spacing w:after="40"/>
      </w:pPr>
      <w:r>
        <w:t>Conflicting files created during outage.</w:t>
      </w:r>
    </w:p>
    <w:p>
      <w:pPr>
        <w:pStyle w:val="ListBullet"/>
        <w:spacing w:after="40"/>
      </w:pPr>
      <w:r>
        <w:t>RTO/RPO results in outage exercises.</w:t>
      </w:r>
    </w:p>
    <w:p>
      <w:pPr>
        <w:pStyle w:val="Heading2"/>
      </w:pPr>
      <w:r>
        <w:t>R5. Remote communication or approval breakdown</w:t>
      </w:r>
    </w:p>
    <w:p>
      <w:r>
        <w:rPr>
          <w:b/>
        </w:rPr>
        <w:t xml:space="preserve">Inherent baseline score: 16 — High. </w:t>
      </w:r>
      <w:r>
        <w:t>Owner: Project Manager; discipline leads own technical responses</w:t>
      </w:r>
    </w:p>
    <w:p>
      <w:pPr>
        <w:pStyle w:val="Heading3"/>
      </w:pPr>
      <w:r>
        <w:t>Risk statement and rationale</w:t>
      </w:r>
    </w:p>
    <w:p>
      <w:r>
        <w:t>Causes: Time-zone gaps, unclear decision rights, meeting overload, informal chat decisions, poor minutes, language barriers, or delayed reviews.</w:t>
      </w:r>
    </w:p>
    <w:p>
      <w:r>
        <w:t>Potential consequences: Rework, missed dependencies, inconsistent assumptions, stakeholder dissatisfaction, and late approvals.</w:t>
      </w:r>
    </w:p>
    <w:p>
      <w:pPr>
        <w:pStyle w:val="Heading3"/>
      </w:pPr>
      <w:r>
        <w:t>Prevention / proactive mitigation</w:t>
      </w:r>
    </w:p>
    <w:p>
      <w:pPr>
        <w:pStyle w:val="ListBullet"/>
        <w:spacing w:after="40"/>
      </w:pPr>
      <w:r>
        <w:t>Publish responsibility matrix, decision log, meeting cadence, response-time expectations, and escalation path.</w:t>
      </w:r>
    </w:p>
    <w:p>
      <w:pPr>
        <w:pStyle w:val="ListBullet"/>
        <w:spacing w:after="40"/>
      </w:pPr>
      <w:r>
        <w:t>Use one issue tracker and source of truth for questions and approvals.</w:t>
      </w:r>
    </w:p>
    <w:p>
      <w:pPr>
        <w:pStyle w:val="ListBullet"/>
        <w:spacing w:after="40"/>
      </w:pPr>
      <w:r>
        <w:t>Record decisions with date, approver, rationale, package, and downstream actions.</w:t>
      </w:r>
    </w:p>
    <w:p>
      <w:pPr>
        <w:pStyle w:val="ListBullet"/>
        <w:spacing w:after="40"/>
      </w:pPr>
      <w:r>
        <w:t>Use asynchronous updates for routine work and focused meetings for decisions.</w:t>
      </w:r>
    </w:p>
    <w:p>
      <w:pPr>
        <w:pStyle w:val="ListBullet"/>
        <w:spacing w:after="40"/>
      </w:pPr>
      <w:r>
        <w:t>Require formal sign-off for controlled changes; do not rely on unrecorded chats.</w:t>
      </w:r>
    </w:p>
    <w:p>
      <w:pPr>
        <w:pStyle w:val="Heading3"/>
      </w:pPr>
      <w:r>
        <w:t>Trigger indicators</w:t>
      </w:r>
    </w:p>
    <w:p>
      <w:pPr>
        <w:pStyle w:val="ListBullet"/>
        <w:spacing w:after="40"/>
      </w:pPr>
      <w:r>
        <w:t>Critical question exceeds response SLA, conflicting instructions appear, approval is missing at a gate, or repeated rework stems from misunderstanding.</w:t>
      </w:r>
    </w:p>
    <w:p>
      <w:pPr>
        <w:pStyle w:val="Heading3"/>
      </w:pPr>
      <w:r>
        <w:t>Immediate response</w:t>
      </w:r>
    </w:p>
    <w:p>
      <w:pPr>
        <w:pStyle w:val="ListNumber"/>
        <w:spacing w:after="40"/>
      </w:pPr>
      <w:r>
        <w:t>Log issue and identify decision owner; mark dependent work blocked.</w:t>
      </w:r>
    </w:p>
    <w:p>
      <w:pPr>
        <w:pStyle w:val="ListNumber"/>
        <w:spacing w:after="40"/>
      </w:pPr>
      <w:r>
        <w:t>Escalate according to response-time matrix; convene a focused meeting if needed.</w:t>
      </w:r>
    </w:p>
    <w:p>
      <w:pPr>
        <w:pStyle w:val="ListNumber"/>
        <w:spacing w:after="40"/>
      </w:pPr>
      <w:r>
        <w:t>Publish confirmed decision and update models, schedules, risks, and actions.</w:t>
      </w:r>
    </w:p>
    <w:p>
      <w:pPr>
        <w:pStyle w:val="Heading3"/>
      </w:pPr>
      <w:r>
        <w:t>Recovery and return to normal</w:t>
      </w:r>
    </w:p>
    <w:p>
      <w:pPr>
        <w:pStyle w:val="ListBullet"/>
        <w:spacing w:after="40"/>
      </w:pPr>
      <w:r>
        <w:t>Reconcile conflicting instructions against contract, approved documents, and decision record.</w:t>
      </w:r>
    </w:p>
    <w:p>
      <w:pPr>
        <w:pStyle w:val="ListBullet"/>
        <w:spacing w:after="40"/>
      </w:pPr>
      <w:r>
        <w:t>Rework affected deliverables under change control and notify impacted parties.</w:t>
      </w:r>
    </w:p>
    <w:p>
      <w:pPr>
        <w:pStyle w:val="ListBullet"/>
        <w:spacing w:after="40"/>
      </w:pPr>
      <w:r>
        <w:t>Review communication failures and update cadence/templates/authority.</w:t>
      </w:r>
    </w:p>
    <w:p>
      <w:pPr>
        <w:pStyle w:val="ListBullet"/>
        <w:spacing w:after="40"/>
      </w:pPr>
      <w:r>
        <w:t>Confirm actions close and milestone remains achievable.</w:t>
      </w:r>
    </w:p>
    <w:p>
      <w:pPr>
        <w:pStyle w:val="Heading3"/>
      </w:pPr>
      <w:r>
        <w:t>Contingency / fallback</w:t>
      </w:r>
    </w:p>
    <w:p>
      <w:r>
        <w:t>Use a designated escalation contact and structured question/options/recommendation template; avoid irreversible work on an unapproved assumption.</w:t>
      </w:r>
    </w:p>
    <w:p>
      <w:pPr>
        <w:pStyle w:val="Heading3"/>
      </w:pPr>
      <w:r>
        <w:t>Measures of effectiveness</w:t>
      </w:r>
    </w:p>
    <w:p>
      <w:pPr>
        <w:pStyle w:val="ListBullet"/>
        <w:spacing w:after="40"/>
      </w:pPr>
      <w:r>
        <w:t>Actions closed by due date.</w:t>
      </w:r>
    </w:p>
    <w:p>
      <w:pPr>
        <w:pStyle w:val="ListBullet"/>
        <w:spacing w:after="40"/>
      </w:pPr>
      <w:r>
        <w:t>Median time to resolve critical issues.</w:t>
      </w:r>
    </w:p>
    <w:p>
      <w:pPr>
        <w:pStyle w:val="ListBullet"/>
        <w:spacing w:after="40"/>
      </w:pPr>
      <w:r>
        <w:t>Key decisions captured in log.</w:t>
      </w:r>
    </w:p>
    <w:p>
      <w:pPr>
        <w:pStyle w:val="ListBullet"/>
        <w:spacing w:after="40"/>
      </w:pPr>
      <w:r>
        <w:t>Rework attributed to miscommunication.</w:t>
      </w:r>
    </w:p>
    <w:p>
      <w:pPr>
        <w:pStyle w:val="Heading2"/>
      </w:pPr>
      <w:r>
        <w:t>R6. Skills gap, low adoption, or human error</w:t>
      </w:r>
    </w:p>
    <w:p>
      <w:r>
        <w:rPr>
          <w:b/>
        </w:rPr>
        <w:t xml:space="preserve">Inherent baseline score: 12 — High. </w:t>
      </w:r>
      <w:r>
        <w:t>Owner: Discipline Leads and Training Coordinator</w:t>
      </w:r>
    </w:p>
    <w:p>
      <w:pPr>
        <w:pStyle w:val="Heading3"/>
      </w:pPr>
      <w:r>
        <w:t>Risk statement and rationale</w:t>
      </w:r>
    </w:p>
    <w:p>
      <w:r>
        <w:t>Causes: New tools, uneven BIM/digital skills, turnover, rushed onboarding, confusing workflows, or limited user support.</w:t>
      </w:r>
    </w:p>
    <w:p>
      <w:r>
        <w:t>Potential consequences: Incorrect edits, security mistakes, slow delivery, inconsistent data, and dependence on a few experts.</w:t>
      </w:r>
    </w:p>
    <w:p>
      <w:pPr>
        <w:pStyle w:val="Heading3"/>
      </w:pPr>
      <w:r>
        <w:t>Prevention / proactive mitigation</w:t>
      </w:r>
    </w:p>
    <w:p>
      <w:pPr>
        <w:pStyle w:val="ListBullet"/>
        <w:spacing w:after="40"/>
      </w:pPr>
      <w:r>
        <w:t>Assess role-based skills and train on CDE use, model publishing, issue tracking, cyber hygiene, and remote collaboration.</w:t>
      </w:r>
    </w:p>
    <w:p>
      <w:pPr>
        <w:pStyle w:val="ListBullet"/>
        <w:spacing w:after="40"/>
      </w:pPr>
      <w:r>
        <w:t>Provide quick guides, recorded demonstrations, sample files, and a help contact.</w:t>
      </w:r>
    </w:p>
    <w:p>
      <w:pPr>
        <w:pStyle w:val="ListBullet"/>
        <w:spacing w:after="40"/>
      </w:pPr>
      <w:r>
        <w:t>Use peer review for high-risk tasks and restrict permissions until competence is demonstrated.</w:t>
      </w:r>
    </w:p>
    <w:p>
      <w:pPr>
        <w:pStyle w:val="ListBullet"/>
        <w:spacing w:after="40"/>
      </w:pPr>
      <w:r>
        <w:t>Pair new users with trained colleagues and use onboarding/offboarding checklists.</w:t>
      </w:r>
    </w:p>
    <w:p>
      <w:pPr>
        <w:pStyle w:val="ListBullet"/>
        <w:spacing w:after="40"/>
      </w:pPr>
      <w:r>
        <w:t>Use feedback to simplify workflows where repeated errors indicate process issues.</w:t>
      </w:r>
    </w:p>
    <w:p>
      <w:pPr>
        <w:pStyle w:val="Heading3"/>
      </w:pPr>
      <w:r>
        <w:t>Trigger indicators</w:t>
      </w:r>
    </w:p>
    <w:p>
      <w:pPr>
        <w:pStyle w:val="ListBullet"/>
        <w:spacing w:after="40"/>
      </w:pPr>
      <w:r>
        <w:t>Repeated upload/version mistakes, low training completion, recurring validation failures, or tasks assigned beyond demonstrated competence.</w:t>
      </w:r>
    </w:p>
    <w:p>
      <w:pPr>
        <w:pStyle w:val="Heading3"/>
      </w:pPr>
      <w:r>
        <w:t>Immediate response</w:t>
      </w:r>
    </w:p>
    <w:p>
      <w:pPr>
        <w:pStyle w:val="ListNumber"/>
        <w:spacing w:after="40"/>
      </w:pPr>
      <w:r>
        <w:t>Pause affected workflow if an error could reach an approved deliverable.</w:t>
      </w:r>
    </w:p>
    <w:p>
      <w:pPr>
        <w:pStyle w:val="ListNumber"/>
        <w:spacing w:after="40"/>
      </w:pPr>
      <w:r>
        <w:t>Have a competent reviewer validate affected outputs and provide immediate coaching.</w:t>
      </w:r>
    </w:p>
    <w:p>
      <w:pPr>
        <w:pStyle w:val="ListNumber"/>
        <w:spacing w:after="40"/>
      </w:pPr>
      <w:r>
        <w:t>Determine whether root cause is training, usability, unclear instructions, workload, or permissions.</w:t>
      </w:r>
    </w:p>
    <w:p>
      <w:pPr>
        <w:pStyle w:val="Heading3"/>
      </w:pPr>
      <w:r>
        <w:t>Recovery and return to normal</w:t>
      </w:r>
    </w:p>
    <w:p>
      <w:pPr>
        <w:pStyle w:val="ListBullet"/>
        <w:spacing w:after="40"/>
      </w:pPr>
      <w:r>
        <w:t>Correct and revalidate work; provide targeted refresher training.</w:t>
      </w:r>
    </w:p>
    <w:p>
      <w:pPr>
        <w:pStyle w:val="ListBullet"/>
        <w:spacing w:after="40"/>
      </w:pPr>
      <w:r>
        <w:t>Update guidance and examples based on the failure.</w:t>
      </w:r>
    </w:p>
    <w:p>
      <w:pPr>
        <w:pStyle w:val="ListBullet"/>
        <w:spacing w:after="40"/>
      </w:pPr>
      <w:r>
        <w:t>Reassess competence and track recurrence.</w:t>
      </w:r>
    </w:p>
    <w:p>
      <w:pPr>
        <w:pStyle w:val="Heading3"/>
      </w:pPr>
      <w:r>
        <w:t>Contingency / fallback</w:t>
      </w:r>
    </w:p>
    <w:p>
      <w:r>
        <w:t>Assign a trained deputy or peer reviewer and use approved templates until the user is competent.</w:t>
      </w:r>
    </w:p>
    <w:p>
      <w:pPr>
        <w:pStyle w:val="Heading3"/>
      </w:pPr>
      <w:r>
        <w:t>Measures of effectiveness</w:t>
      </w:r>
    </w:p>
    <w:p>
      <w:pPr>
        <w:pStyle w:val="ListBullet"/>
        <w:spacing w:after="40"/>
      </w:pPr>
      <w:r>
        <w:t>Required training completion rate.</w:t>
      </w:r>
    </w:p>
    <w:p>
      <w:pPr>
        <w:pStyle w:val="ListBullet"/>
        <w:spacing w:after="40"/>
      </w:pPr>
      <w:r>
        <w:t>Error/rework rate by workflow.</w:t>
      </w:r>
    </w:p>
    <w:p>
      <w:pPr>
        <w:pStyle w:val="ListBullet"/>
        <w:spacing w:after="40"/>
      </w:pPr>
      <w:r>
        <w:t>Support-request resolution time.</w:t>
      </w:r>
    </w:p>
    <w:p>
      <w:pPr>
        <w:pStyle w:val="ListBullet"/>
        <w:spacing w:after="40"/>
      </w:pPr>
      <w:r>
        <w:t>Repeat error rate after training.</w:t>
      </w:r>
    </w:p>
    <w:p>
      <w:pPr>
        <w:pStyle w:val="Heading2"/>
      </w:pPr>
      <w:r>
        <w:t>R7. Schedule slippage or specialist-resource unavailability</w:t>
      </w:r>
    </w:p>
    <w:p>
      <w:r>
        <w:rPr>
          <w:b/>
        </w:rPr>
        <w:t xml:space="preserve">Inherent baseline score: 16 — High. </w:t>
      </w:r>
      <w:r>
        <w:t>Owner: Project Manager / Planner; workstream leads own forecasts</w:t>
      </w:r>
    </w:p>
    <w:p>
      <w:pPr>
        <w:pStyle w:val="Heading3"/>
      </w:pPr>
      <w:r>
        <w:t>Risk statement and rationale</w:t>
      </w:r>
    </w:p>
    <w:p>
      <w:r>
        <w:t>Causes: Optimistic estimates, hidden dependencies, approval delays, staff absence, competing priorities, or specialist bottlenecks.</w:t>
      </w:r>
    </w:p>
    <w:p>
      <w:r>
        <w:t>Potential consequences: Milestone delays, overtime, cost growth, compressed reviews, and rushed quality/safety checks.</w:t>
      </w:r>
    </w:p>
    <w:p>
      <w:pPr>
        <w:pStyle w:val="Heading3"/>
      </w:pPr>
      <w:r>
        <w:t>Prevention / proactive mitigation</w:t>
      </w:r>
    </w:p>
    <w:p>
      <w:pPr>
        <w:pStyle w:val="ListBullet"/>
        <w:spacing w:after="40"/>
      </w:pPr>
      <w:r>
        <w:t>Maintain integrated schedule with owners, dependencies, critical path, review durations, and resource assumptions.</w:t>
      </w:r>
    </w:p>
    <w:p>
      <w:pPr>
        <w:pStyle w:val="ListBullet"/>
        <w:spacing w:after="40"/>
      </w:pPr>
      <w:r>
        <w:t>Use rolling look-ahead planning and weekly variance review.</w:t>
      </w:r>
    </w:p>
    <w:p>
      <w:pPr>
        <w:pStyle w:val="ListBullet"/>
        <w:spacing w:after="40"/>
      </w:pPr>
      <w:r>
        <w:t>Name deputies for critical roles and document handovers.</w:t>
      </w:r>
    </w:p>
    <w:p>
      <w:pPr>
        <w:pStyle w:val="ListBullet"/>
        <w:spacing w:after="40"/>
      </w:pPr>
      <w:r>
        <w:t>Include realistic approval lead times and contingency allowance.</w:t>
      </w:r>
    </w:p>
    <w:p>
      <w:pPr>
        <w:pStyle w:val="ListBullet"/>
        <w:spacing w:after="40"/>
      </w:pPr>
      <w:r>
        <w:t>Use formal change control for scope or baseline changes.</w:t>
      </w:r>
    </w:p>
    <w:p>
      <w:pPr>
        <w:pStyle w:val="Heading3"/>
      </w:pPr>
      <w:r>
        <w:t>Trigger indicators</w:t>
      </w:r>
    </w:p>
    <w:p>
      <w:pPr>
        <w:pStyle w:val="ListBullet"/>
        <w:spacing w:after="40"/>
      </w:pPr>
      <w:r>
        <w:t>Critical task slips beyond tolerance, resource availability drops, commitments are missed, or float falls below threshold.</w:t>
      </w:r>
    </w:p>
    <w:p>
      <w:pPr>
        <w:pStyle w:val="Heading3"/>
      </w:pPr>
      <w:r>
        <w:t>Immediate response</w:t>
      </w:r>
    </w:p>
    <w:p>
      <w:pPr>
        <w:pStyle w:val="ListNumber"/>
        <w:spacing w:after="40"/>
      </w:pPr>
      <w:r>
        <w:t>Update forecast dates and notify PM/workstream owners.</w:t>
      </w:r>
    </w:p>
    <w:p>
      <w:pPr>
        <w:pStyle w:val="ListNumber"/>
        <w:spacing w:after="40"/>
      </w:pPr>
      <w:r>
        <w:t>Review root cause and dependencies; protect mandatory quality and safety checks.</w:t>
      </w:r>
    </w:p>
    <w:p>
      <w:pPr>
        <w:pStyle w:val="ListNumber"/>
        <w:spacing w:after="40"/>
      </w:pPr>
      <w:r>
        <w:t>Evaluate resequencing, approved capacity, scope deferral, or formal baseline change.</w:t>
      </w:r>
    </w:p>
    <w:p>
      <w:pPr>
        <w:pStyle w:val="Heading3"/>
      </w:pPr>
      <w:r>
        <w:t>Recovery and return to normal</w:t>
      </w:r>
    </w:p>
    <w:p>
      <w:pPr>
        <w:pStyle w:val="ListBullet"/>
        <w:spacing w:after="40"/>
      </w:pPr>
      <w:r>
        <w:t>Approve recovery schedule with owners, dependencies, resource commitments, and weekly checkpoints.</w:t>
      </w:r>
    </w:p>
    <w:p>
      <w:pPr>
        <w:pStyle w:val="ListBullet"/>
        <w:spacing w:after="40"/>
      </w:pPr>
      <w:r>
        <w:t>Check acceleration does not create model errors or unreviewed changes.</w:t>
      </w:r>
    </w:p>
    <w:p>
      <w:pPr>
        <w:pStyle w:val="ListBullet"/>
        <w:spacing w:after="40"/>
      </w:pPr>
      <w:r>
        <w:t>Reforecast cost/milestones and seek required approvals.</w:t>
      </w:r>
    </w:p>
    <w:p>
      <w:pPr>
        <w:pStyle w:val="ListBullet"/>
        <w:spacing w:after="40"/>
      </w:pPr>
      <w:r>
        <w:t>Close risk only when performance stabilises and cause is addressed.</w:t>
      </w:r>
    </w:p>
    <w:p>
      <w:pPr>
        <w:pStyle w:val="Heading3"/>
      </w:pPr>
      <w:r>
        <w:t>Contingency / fallback</w:t>
      </w:r>
    </w:p>
    <w:p>
      <w:r>
        <w:t>Protect safety-critical and approval-gated work first, defer agreed noncritical tasks, and escalate contractual milestone risks early.</w:t>
      </w:r>
    </w:p>
    <w:p>
      <w:pPr>
        <w:pStyle w:val="Heading3"/>
      </w:pPr>
      <w:r>
        <w:t>Measures of effectiveness</w:t>
      </w:r>
    </w:p>
    <w:p>
      <w:pPr>
        <w:pStyle w:val="ListBullet"/>
        <w:spacing w:after="40"/>
      </w:pPr>
      <w:r>
        <w:t>Schedule variance and milestone hit rate.</w:t>
      </w:r>
    </w:p>
    <w:p>
      <w:pPr>
        <w:pStyle w:val="ListBullet"/>
        <w:spacing w:after="40"/>
      </w:pPr>
      <w:r>
        <w:t>Critical-path float and overdue dependencies.</w:t>
      </w:r>
    </w:p>
    <w:p>
      <w:pPr>
        <w:pStyle w:val="ListBullet"/>
        <w:spacing w:after="40"/>
      </w:pPr>
      <w:r>
        <w:t>Near-term forecast accuracy.</w:t>
      </w:r>
    </w:p>
    <w:p>
      <w:pPr>
        <w:pStyle w:val="ListBullet"/>
        <w:spacing w:after="40"/>
      </w:pPr>
      <w:r>
        <w:t>Critical roles with trained deputies.</w:t>
      </w:r>
    </w:p>
    <w:p>
      <w:pPr>
        <w:pStyle w:val="Heading2"/>
      </w:pPr>
      <w:r>
        <w:t>R8. Third-party/vendor or integration failure</w:t>
      </w:r>
    </w:p>
    <w:p>
      <w:r>
        <w:rPr>
          <w:b/>
        </w:rPr>
        <w:t xml:space="preserve">Inherent baseline score: 12 — High. </w:t>
      </w:r>
      <w:r>
        <w:t>Owner: Commercial / Procurement Lead and Technical Integration Owner</w:t>
      </w:r>
    </w:p>
    <w:p>
      <w:pPr>
        <w:pStyle w:val="Heading3"/>
      </w:pPr>
      <w:r>
        <w:t>Risk statement and rationale</w:t>
      </w:r>
    </w:p>
    <w:p>
      <w:r>
        <w:t>Causes: Supplier failure, API changes, licence expiry, incompatible formats, weak support, unclear data ownership, or unannounced service changes.</w:t>
      </w:r>
    </w:p>
    <w:p>
      <w:r>
        <w:t>Potential consequences: Broken workflows, data access loss, integration errors, additional cost, or delays replacing a provider.</w:t>
      </w:r>
    </w:p>
    <w:p>
      <w:pPr>
        <w:pStyle w:val="Heading3"/>
      </w:pPr>
      <w:r>
        <w:t>Prevention / proactive mitigation</w:t>
      </w:r>
    </w:p>
    <w:p>
      <w:pPr>
        <w:pStyle w:val="ListBullet"/>
        <w:spacing w:after="40"/>
      </w:pPr>
      <w:r>
        <w:t>Assess vendor capability, support, security, continuity, exportability, and references.</w:t>
      </w:r>
    </w:p>
    <w:p>
      <w:pPr>
        <w:pStyle w:val="ListBullet"/>
        <w:spacing w:after="40"/>
      </w:pPr>
      <w:r>
        <w:t>Contract for data ownership, export formats, service levels, incident notice, exit assistance, and deletion/retention.</w:t>
      </w:r>
    </w:p>
    <w:p>
      <w:pPr>
        <w:pStyle w:val="ListBullet"/>
        <w:spacing w:after="40"/>
      </w:pPr>
      <w:r>
        <w:t>Map APIs, plugins, licences, and file formats; monitor expiry and vendor notices.</w:t>
      </w:r>
    </w:p>
    <w:p>
      <w:pPr>
        <w:pStyle w:val="ListBullet"/>
        <w:spacing w:after="40"/>
      </w:pPr>
      <w:r>
        <w:t>Test export/import into an alternative tool and prefer interoperable formats where practical.</w:t>
      </w:r>
    </w:p>
    <w:p>
      <w:pPr>
        <w:pStyle w:val="ListBullet"/>
        <w:spacing w:after="40"/>
      </w:pPr>
      <w:r>
        <w:t>Test major updates with representative project data before production.</w:t>
      </w:r>
    </w:p>
    <w:p>
      <w:pPr>
        <w:pStyle w:val="Heading3"/>
      </w:pPr>
      <w:r>
        <w:t>Trigger indicators</w:t>
      </w:r>
    </w:p>
    <w:p>
      <w:pPr>
        <w:pStyle w:val="ListBullet"/>
        <w:spacing w:after="40"/>
      </w:pPr>
      <w:r>
        <w:t>End-of-life notice, repeated missed SLA, API failure, licence renewal risk, or incomplete export.</w:t>
      </w:r>
    </w:p>
    <w:p>
      <w:pPr>
        <w:pStyle w:val="Heading3"/>
      </w:pPr>
      <w:r>
        <w:t>Immediate response</w:t>
      </w:r>
    </w:p>
    <w:p>
      <w:pPr>
        <w:pStyle w:val="ListNumber"/>
        <w:spacing w:after="40"/>
      </w:pPr>
      <w:r>
        <w:t>Notify commercial and technical owners; assess deliverable and contract impact.</w:t>
      </w:r>
    </w:p>
    <w:p>
      <w:pPr>
        <w:pStyle w:val="ListNumber"/>
        <w:spacing w:after="40"/>
      </w:pPr>
      <w:r>
        <w:t>Freeze nonessential integration changes and preserve logs, configuration, and exports.</w:t>
      </w:r>
    </w:p>
    <w:p>
      <w:pPr>
        <w:pStyle w:val="ListNumber"/>
        <w:spacing w:after="40"/>
      </w:pPr>
      <w:r>
        <w:t>Contact vendor support and assess workaround or alternative provider.</w:t>
      </w:r>
    </w:p>
    <w:p>
      <w:pPr>
        <w:pStyle w:val="Heading3"/>
      </w:pPr>
      <w:r>
        <w:t>Recovery and return to normal</w:t>
      </w:r>
    </w:p>
    <w:p>
      <w:pPr>
        <w:pStyle w:val="ListBullet"/>
        <w:spacing w:after="40"/>
      </w:pPr>
      <w:r>
        <w:t>Restore known-good configuration or switch to tested alternative workflow.</w:t>
      </w:r>
    </w:p>
    <w:p>
      <w:pPr>
        <w:pStyle w:val="ListBullet"/>
        <w:spacing w:after="40"/>
      </w:pPr>
      <w:r>
        <w:t>Validate data, permissions, metadata, links, and audit history.</w:t>
      </w:r>
    </w:p>
    <w:p>
      <w:pPr>
        <w:pStyle w:val="ListBullet"/>
        <w:spacing w:after="40"/>
      </w:pPr>
      <w:r>
        <w:t>Reconcile manual workaround outputs and communicate changes.</w:t>
      </w:r>
    </w:p>
    <w:p>
      <w:pPr>
        <w:pStyle w:val="ListBullet"/>
        <w:spacing w:after="40"/>
      </w:pPr>
      <w:r>
        <w:t>Review vendor performance and decide to remediate or replace.</w:t>
      </w:r>
    </w:p>
    <w:p>
      <w:pPr>
        <w:pStyle w:val="Heading3"/>
      </w:pPr>
      <w:r>
        <w:t>Contingency / fallback</w:t>
      </w:r>
    </w:p>
    <w:p>
      <w:r>
        <w:t>Use documented export format and controlled manual exchange, with a temporary coordinator validating transfers.</w:t>
      </w:r>
    </w:p>
    <w:p>
      <w:pPr>
        <w:pStyle w:val="Heading3"/>
      </w:pPr>
      <w:r>
        <w:t>Measures of effectiveness</w:t>
      </w:r>
    </w:p>
    <w:p>
      <w:pPr>
        <w:pStyle w:val="ListBullet"/>
        <w:spacing w:after="40"/>
      </w:pPr>
      <w:r>
        <w:t>Vendor SLA/support response performance.</w:t>
      </w:r>
    </w:p>
    <w:p>
      <w:pPr>
        <w:pStyle w:val="ListBullet"/>
        <w:spacing w:after="40"/>
      </w:pPr>
      <w:r>
        <w:t>Untested production changes.</w:t>
      </w:r>
    </w:p>
    <w:p>
      <w:pPr>
        <w:pStyle w:val="ListBullet"/>
        <w:spacing w:after="40"/>
      </w:pPr>
      <w:r>
        <w:t>Critical data export tests completed.</w:t>
      </w:r>
    </w:p>
    <w:p>
      <w:pPr>
        <w:pStyle w:val="ListBullet"/>
        <w:spacing w:after="40"/>
      </w:pPr>
      <w:r>
        <w:t>Renewals completed before expiry.</w:t>
      </w:r>
    </w:p>
    <w:p>
      <w:pPr>
        <w:pStyle w:val="Heading1"/>
      </w:pPr>
      <w:r>
        <w:t>4. Timeline-Based Implementation Plan</w:t>
      </w:r>
    </w:p>
    <w:p>
      <w:r>
        <w:t>Adapt this sequence to the project phase, contractual milestones, and the actual Week 2 risk scores.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440"/>
            <w:shd w:fill="17365D"/>
          </w:tcPr>
          <w:p>
            <w:r>
              <w:rPr>
                <w:b/>
                <w:color w:val="FFFFFF"/>
                <w:sz w:val="15"/>
              </w:rPr>
              <w:t>When</w:t>
            </w:r>
          </w:p>
        </w:tc>
        <w:tc>
          <w:tcPr>
            <w:tcW w:type="dxa" w:w="2160"/>
            <w:shd w:fill="17365D"/>
          </w:tcPr>
          <w:p>
            <w:r>
              <w:rPr>
                <w:b/>
                <w:color w:val="FFFFFF"/>
                <w:sz w:val="15"/>
              </w:rPr>
              <w:t>Lead roles</w:t>
            </w:r>
          </w:p>
        </w:tc>
        <w:tc>
          <w:tcPr>
            <w:tcW w:type="dxa" w:w="5112"/>
            <w:shd w:fill="17365D"/>
          </w:tcPr>
          <w:p>
            <w:r>
              <w:rPr>
                <w:b/>
                <w:color w:val="FFFFFF"/>
                <w:sz w:val="15"/>
              </w:rPr>
              <w:t>Required actions</w:t>
            </w:r>
          </w:p>
        </w:tc>
        <w:tc>
          <w:tcPr>
            <w:tcW w:type="dxa" w:w="2016"/>
            <w:shd w:fill="17365D"/>
          </w:tcPr>
          <w:p>
            <w:r>
              <w:rPr>
                <w:b/>
                <w:color w:val="FFFFFF"/>
                <w:sz w:val="15"/>
              </w:rPr>
              <w:t>Evidence / exit criteria</w:t>
            </w:r>
          </w:p>
        </w:tc>
      </w:tr>
      <w:tr>
        <w:tc>
          <w:tcPr>
            <w:tcW w:type="dxa" w:w="1440"/>
            <w:vAlign w:val="center"/>
          </w:tcPr>
          <w:p>
            <w:pPr>
              <w:spacing w:after="20"/>
            </w:pPr>
            <w:r>
              <w:rPr>
                <w:sz w:val="15"/>
              </w:rPr>
              <w:t>First 48 hours</w:t>
            </w:r>
          </w:p>
        </w:tc>
        <w:tc>
          <w:tcPr>
            <w:tcW w:type="dxa" w:w="2160"/>
            <w:vAlign w:val="center"/>
          </w:tcPr>
          <w:p>
            <w:pPr>
              <w:spacing w:after="20"/>
            </w:pPr>
            <w:r>
              <w:rPr>
                <w:sz w:val="15"/>
              </w:rPr>
              <w:t>PM + Risk Owners</w:t>
            </w:r>
          </w:p>
        </w:tc>
        <w:tc>
          <w:tcPr>
            <w:tcW w:type="dxa" w:w="5112"/>
            <w:vAlign w:val="center"/>
          </w:tcPr>
          <w:p>
            <w:pPr>
              <w:spacing w:after="20"/>
            </w:pPr>
            <w:r>
              <w:rPr>
                <w:sz w:val="15"/>
              </w:rPr>
              <w:t>Validate Week 2 scores; confirm owners/escalation contacts; identify critical deliverables; verify backups and offline pack.</w:t>
            </w:r>
          </w:p>
        </w:tc>
        <w:tc>
          <w:tcPr>
            <w:tcW w:type="dxa" w:w="2016"/>
            <w:vAlign w:val="center"/>
          </w:tcPr>
          <w:p>
            <w:pPr>
              <w:spacing w:after="20"/>
            </w:pPr>
            <w:r>
              <w:rPr>
                <w:sz w:val="15"/>
              </w:rPr>
              <w:t>Approved register; contacts confirmed; backup status known.</w:t>
            </w:r>
          </w:p>
        </w:tc>
      </w:tr>
      <w:tr>
        <w:tc>
          <w:tcPr>
            <w:tcW w:type="dxa" w:w="1440"/>
            <w:vAlign w:val="center"/>
            <w:shd w:fill="EAF0F8"/>
          </w:tcPr>
          <w:p>
            <w:pPr>
              <w:spacing w:after="20"/>
            </w:pPr>
            <w:r>
              <w:rPr>
                <w:sz w:val="15"/>
              </w:rPr>
              <w:t>Week 1</w:t>
            </w:r>
          </w:p>
        </w:tc>
        <w:tc>
          <w:tcPr>
            <w:tcW w:type="dxa" w:w="2160"/>
            <w:vAlign w:val="center"/>
            <w:shd w:fill="EAF0F8"/>
          </w:tcPr>
          <w:p>
            <w:pPr>
              <w:spacing w:after="20"/>
            </w:pPr>
            <w:r>
              <w:rPr>
                <w:sz w:val="15"/>
              </w:rPr>
              <w:t>IT/Cyber, Information Manager, BIM Manager</w:t>
            </w:r>
          </w:p>
        </w:tc>
        <w:tc>
          <w:tcPr>
            <w:tcW w:type="dxa" w:w="5112"/>
            <w:vAlign w:val="center"/>
            <w:shd w:fill="EAF0F8"/>
          </w:tcPr>
          <w:p>
            <w:pPr>
              <w:spacing w:after="20"/>
            </w:pPr>
            <w:r>
              <w:rPr>
                <w:sz w:val="15"/>
              </w:rPr>
              <w:t>Verify MFA/least privilege; confirm CDE version rules; run sample restore; inspect model exchange and approval gates.</w:t>
            </w:r>
          </w:p>
        </w:tc>
        <w:tc>
          <w:tcPr>
            <w:tcW w:type="dxa" w:w="2016"/>
            <w:vAlign w:val="center"/>
            <w:shd w:fill="EAF0F8"/>
          </w:tcPr>
          <w:p>
            <w:pPr>
              <w:spacing w:after="20"/>
            </w:pPr>
            <w:r>
              <w:rPr>
                <w:sz w:val="15"/>
              </w:rPr>
              <w:t>Access review complete; restore passes; validation checks defined.</w:t>
            </w:r>
          </w:p>
        </w:tc>
      </w:tr>
      <w:tr>
        <w:tc>
          <w:tcPr>
            <w:tcW w:type="dxa" w:w="1440"/>
            <w:vAlign w:val="center"/>
          </w:tcPr>
          <w:p>
            <w:pPr>
              <w:spacing w:after="20"/>
            </w:pPr>
            <w:r>
              <w:rPr>
                <w:sz w:val="15"/>
              </w:rPr>
              <w:t>Week 2</w:t>
            </w:r>
          </w:p>
        </w:tc>
        <w:tc>
          <w:tcPr>
            <w:tcW w:type="dxa" w:w="2160"/>
            <w:vAlign w:val="center"/>
          </w:tcPr>
          <w:p>
            <w:pPr>
              <w:spacing w:after="20"/>
            </w:pPr>
            <w:r>
              <w:rPr>
                <w:sz w:val="15"/>
              </w:rPr>
              <w:t>Discipline Leads + Planner</w:t>
            </w:r>
          </w:p>
        </w:tc>
        <w:tc>
          <w:tcPr>
            <w:tcW w:type="dxa" w:w="5112"/>
            <w:vAlign w:val="center"/>
          </w:tcPr>
          <w:p>
            <w:pPr>
              <w:spacing w:after="20"/>
            </w:pPr>
            <w:r>
              <w:rPr>
                <w:sz w:val="15"/>
              </w:rPr>
              <w:t>Run look-ahead dependency review; name deputies; train users on publishing, issue logging, and incident reporting.</w:t>
            </w:r>
          </w:p>
        </w:tc>
        <w:tc>
          <w:tcPr>
            <w:tcW w:type="dxa" w:w="2016"/>
            <w:vAlign w:val="center"/>
          </w:tcPr>
          <w:p>
            <w:pPr>
              <w:spacing w:after="20"/>
            </w:pPr>
            <w:r>
              <w:rPr>
                <w:sz w:val="15"/>
              </w:rPr>
              <w:t>Training roster; deputies named; critical issues assigned.</w:t>
            </w:r>
          </w:p>
        </w:tc>
      </w:tr>
      <w:tr>
        <w:tc>
          <w:tcPr>
            <w:tcW w:type="dxa" w:w="1440"/>
            <w:vAlign w:val="center"/>
            <w:shd w:fill="EAF0F8"/>
          </w:tcPr>
          <w:p>
            <w:pPr>
              <w:spacing w:after="20"/>
            </w:pPr>
            <w:r>
              <w:rPr>
                <w:sz w:val="15"/>
              </w:rPr>
              <w:t>Week 3</w:t>
            </w:r>
          </w:p>
        </w:tc>
        <w:tc>
          <w:tcPr>
            <w:tcW w:type="dxa" w:w="2160"/>
            <w:vAlign w:val="center"/>
            <w:shd w:fill="EAF0F8"/>
          </w:tcPr>
          <w:p>
            <w:pPr>
              <w:spacing w:after="20"/>
            </w:pPr>
            <w:r>
              <w:rPr>
                <w:sz w:val="15"/>
              </w:rPr>
              <w:t>PM + IT + vendor contacts</w:t>
            </w:r>
          </w:p>
        </w:tc>
        <w:tc>
          <w:tcPr>
            <w:tcW w:type="dxa" w:w="5112"/>
            <w:vAlign w:val="center"/>
            <w:shd w:fill="EAF0F8"/>
          </w:tcPr>
          <w:p>
            <w:pPr>
              <w:spacing w:after="20"/>
            </w:pPr>
            <w:r>
              <w:rPr>
                <w:sz w:val="15"/>
              </w:rPr>
              <w:t>Run tabletop exercises for cyber incident and outage/model corruption; assign corrective actions.</w:t>
            </w:r>
          </w:p>
        </w:tc>
        <w:tc>
          <w:tcPr>
            <w:tcW w:type="dxa" w:w="2016"/>
            <w:vAlign w:val="center"/>
            <w:shd w:fill="EAF0F8"/>
          </w:tcPr>
          <w:p>
            <w:pPr>
              <w:spacing w:after="20"/>
            </w:pPr>
            <w:r>
              <w:rPr>
                <w:sz w:val="15"/>
              </w:rPr>
              <w:t>Exercise completed; owners and due dates recorded.</w:t>
            </w:r>
          </w:p>
        </w:tc>
      </w:tr>
      <w:tr>
        <w:tc>
          <w:tcPr>
            <w:tcW w:type="dxa" w:w="1440"/>
            <w:vAlign w:val="center"/>
          </w:tcPr>
          <w:p>
            <w:pPr>
              <w:spacing w:after="20"/>
            </w:pPr>
            <w:r>
              <w:rPr>
                <w:sz w:val="15"/>
              </w:rPr>
              <w:t>Monthly / each milestone</w:t>
            </w:r>
          </w:p>
        </w:tc>
        <w:tc>
          <w:tcPr>
            <w:tcW w:type="dxa" w:w="2160"/>
            <w:vAlign w:val="center"/>
          </w:tcPr>
          <w:p>
            <w:pPr>
              <w:spacing w:after="20"/>
            </w:pPr>
            <w:r>
              <w:rPr>
                <w:sz w:val="15"/>
              </w:rPr>
              <w:t>Risk Owners + PM</w:t>
            </w:r>
          </w:p>
        </w:tc>
        <w:tc>
          <w:tcPr>
            <w:tcW w:type="dxa" w:w="5112"/>
            <w:vAlign w:val="center"/>
          </w:tcPr>
          <w:p>
            <w:pPr>
              <w:spacing w:after="20"/>
            </w:pPr>
            <w:r>
              <w:rPr>
                <w:sz w:val="15"/>
              </w:rPr>
              <w:t>Review residual risk, KPI trends, vendor changes, permissions, high-severity issues, and schedule/scope changes.</w:t>
            </w:r>
          </w:p>
        </w:tc>
        <w:tc>
          <w:tcPr>
            <w:tcW w:type="dxa" w:w="2016"/>
            <w:vAlign w:val="center"/>
          </w:tcPr>
          <w:p>
            <w:pPr>
              <w:spacing w:after="20"/>
            </w:pPr>
            <w:r>
              <w:rPr>
                <w:sz w:val="15"/>
              </w:rPr>
              <w:t>Register updated; decisions and residual scores recorded.</w:t>
            </w:r>
          </w:p>
        </w:tc>
      </w:tr>
      <w:tr>
        <w:tc>
          <w:tcPr>
            <w:tcW w:type="dxa" w:w="1440"/>
            <w:vAlign w:val="center"/>
            <w:shd w:fill="EAF0F8"/>
          </w:tcPr>
          <w:p>
            <w:pPr>
              <w:spacing w:after="20"/>
            </w:pPr>
            <w:r>
              <w:rPr>
                <w:sz w:val="15"/>
              </w:rPr>
              <w:t>After an incident</w:t>
            </w:r>
          </w:p>
        </w:tc>
        <w:tc>
          <w:tcPr>
            <w:tcW w:type="dxa" w:w="2160"/>
            <w:vAlign w:val="center"/>
            <w:shd w:fill="EAF0F8"/>
          </w:tcPr>
          <w:p>
            <w:pPr>
              <w:spacing w:after="20"/>
            </w:pPr>
            <w:r>
              <w:rPr>
                <w:sz w:val="15"/>
              </w:rPr>
              <w:t>Incident Lead + owners</w:t>
            </w:r>
          </w:p>
        </w:tc>
        <w:tc>
          <w:tcPr>
            <w:tcW w:type="dxa" w:w="5112"/>
            <w:vAlign w:val="center"/>
            <w:shd w:fill="EAF0F8"/>
          </w:tcPr>
          <w:p>
            <w:pPr>
              <w:spacing w:after="20"/>
            </w:pPr>
            <w:r>
              <w:rPr>
                <w:sz w:val="15"/>
              </w:rPr>
              <w:t>Contain, recover, verify, communicate, conduct lessons learned, and track actions.</w:t>
            </w:r>
          </w:p>
        </w:tc>
        <w:tc>
          <w:tcPr>
            <w:tcW w:type="dxa" w:w="2016"/>
            <w:vAlign w:val="center"/>
            <w:shd w:fill="EAF0F8"/>
          </w:tcPr>
          <w:p>
            <w:pPr>
              <w:spacing w:after="20"/>
            </w:pPr>
            <w:r>
              <w:rPr>
                <w:sz w:val="15"/>
              </w:rPr>
              <w:t>Recovery sign-off and corrective actions.</w:t>
            </w:r>
          </w:p>
        </w:tc>
      </w:tr>
    </w:tbl>
    <w:p/>
    <w:p>
      <w:pPr>
        <w:pStyle w:val="Heading1"/>
      </w:pPr>
      <w:r>
        <w:t>5. Roles and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2880"/>
            <w:shd w:fill="17365D"/>
          </w:tcPr>
          <w:p>
            <w:r>
              <w:rPr>
                <w:b/>
                <w:color w:val="FFFFFF"/>
                <w:sz w:val="16"/>
              </w:rPr>
              <w:t>Role</w:t>
            </w:r>
          </w:p>
        </w:tc>
        <w:tc>
          <w:tcPr>
            <w:tcW w:type="dxa" w:w="7848"/>
            <w:shd w:fill="17365D"/>
          </w:tcPr>
          <w:p>
            <w:r>
              <w:rPr>
                <w:b/>
                <w:color w:val="FFFFFF"/>
                <w:sz w:val="16"/>
              </w:rPr>
              <w:t>Accountability</w:t>
            </w:r>
          </w:p>
        </w:tc>
      </w:tr>
      <w:tr>
        <w:tc>
          <w:tcPr>
            <w:tcW w:type="dxa" w:w="2880"/>
            <w:vAlign w:val="center"/>
          </w:tcPr>
          <w:p>
            <w:pPr>
              <w:spacing w:after="20"/>
            </w:pPr>
            <w:r>
              <w:rPr>
                <w:sz w:val="16"/>
              </w:rPr>
              <w:t>Project Sponsor / Client Representative</w:t>
            </w:r>
          </w:p>
        </w:tc>
        <w:tc>
          <w:tcPr>
            <w:tcW w:type="dxa" w:w="7848"/>
            <w:vAlign w:val="center"/>
          </w:tcPr>
          <w:p>
            <w:pPr>
              <w:spacing w:after="20"/>
            </w:pPr>
            <w:r>
              <w:rPr>
                <w:sz w:val="16"/>
              </w:rPr>
              <w:t>Approves risk appetite, contingency budget, major scope/baseline changes, and high-impact escalation decisions.</w:t>
            </w:r>
          </w:p>
        </w:tc>
      </w:tr>
      <w:tr>
        <w:tc>
          <w:tcPr>
            <w:tcW w:type="dxa" w:w="2880"/>
            <w:vAlign w:val="center"/>
            <w:shd w:fill="EAF0F8"/>
          </w:tcPr>
          <w:p>
            <w:pPr>
              <w:spacing w:after="20"/>
            </w:pPr>
            <w:r>
              <w:rPr>
                <w:sz w:val="16"/>
              </w:rPr>
              <w:t>Project Manager</w:t>
            </w:r>
          </w:p>
        </w:tc>
        <w:tc>
          <w:tcPr>
            <w:tcW w:type="dxa" w:w="7848"/>
            <w:vAlign w:val="center"/>
            <w:shd w:fill="EAF0F8"/>
          </w:tcPr>
          <w:p>
            <w:pPr>
              <w:spacing w:after="20"/>
            </w:pPr>
            <w:r>
              <w:rPr>
                <w:sz w:val="16"/>
              </w:rPr>
              <w:t>Maintains risk register; confirms owners; coordinates escalation, communication, and recovery priorities.</w:t>
            </w:r>
          </w:p>
        </w:tc>
      </w:tr>
      <w:tr>
        <w:tc>
          <w:tcPr>
            <w:tcW w:type="dxa" w:w="2880"/>
            <w:vAlign w:val="center"/>
          </w:tcPr>
          <w:p>
            <w:pPr>
              <w:spacing w:after="20"/>
            </w:pPr>
            <w:r>
              <w:rPr>
                <w:sz w:val="16"/>
              </w:rPr>
              <w:t>IT / Cybersecurity Lead</w:t>
            </w:r>
          </w:p>
        </w:tc>
        <w:tc>
          <w:tcPr>
            <w:tcW w:type="dxa" w:w="7848"/>
            <w:vAlign w:val="center"/>
          </w:tcPr>
          <w:p>
            <w:pPr>
              <w:spacing w:after="20"/>
            </w:pPr>
            <w:r>
              <w:rPr>
                <w:sz w:val="16"/>
              </w:rPr>
              <w:t>Owns access control, endpoint security, incident containment, logs, awareness, and technical recovery.</w:t>
            </w:r>
          </w:p>
        </w:tc>
      </w:tr>
      <w:tr>
        <w:tc>
          <w:tcPr>
            <w:tcW w:type="dxa" w:w="2880"/>
            <w:vAlign w:val="center"/>
            <w:shd w:fill="EAF0F8"/>
          </w:tcPr>
          <w:p>
            <w:pPr>
              <w:spacing w:after="20"/>
            </w:pPr>
            <w:r>
              <w:rPr>
                <w:sz w:val="16"/>
              </w:rPr>
              <w:t>Information Manager / CDE Administrator</w:t>
            </w:r>
          </w:p>
        </w:tc>
        <w:tc>
          <w:tcPr>
            <w:tcW w:type="dxa" w:w="7848"/>
            <w:vAlign w:val="center"/>
            <w:shd w:fill="EAF0F8"/>
          </w:tcPr>
          <w:p>
            <w:pPr>
              <w:spacing w:after="20"/>
            </w:pPr>
            <w:r>
              <w:rPr>
                <w:sz w:val="16"/>
              </w:rPr>
              <w:t>Owns information standards, revision/status controls, permissions, backup coordination, and data reconciliation.</w:t>
            </w:r>
          </w:p>
        </w:tc>
      </w:tr>
      <w:tr>
        <w:tc>
          <w:tcPr>
            <w:tcW w:type="dxa" w:w="2880"/>
            <w:vAlign w:val="center"/>
          </w:tcPr>
          <w:p>
            <w:pPr>
              <w:spacing w:after="20"/>
            </w:pPr>
            <w:r>
              <w:rPr>
                <w:sz w:val="16"/>
              </w:rPr>
              <w:t>BIM Manager / Discipline Leads</w:t>
            </w:r>
          </w:p>
        </w:tc>
        <w:tc>
          <w:tcPr>
            <w:tcW w:type="dxa" w:w="7848"/>
            <w:vAlign w:val="center"/>
          </w:tcPr>
          <w:p>
            <w:pPr>
              <w:spacing w:after="20"/>
            </w:pPr>
            <w:r>
              <w:rPr>
                <w:sz w:val="16"/>
              </w:rPr>
              <w:t>Own model exchange standards, clash detection, discipline validation, technical issue closure, and model correction approval.</w:t>
            </w:r>
          </w:p>
        </w:tc>
      </w:tr>
      <w:tr>
        <w:tc>
          <w:tcPr>
            <w:tcW w:type="dxa" w:w="2880"/>
            <w:vAlign w:val="center"/>
            <w:shd w:fill="EAF0F8"/>
          </w:tcPr>
          <w:p>
            <w:pPr>
              <w:spacing w:after="20"/>
            </w:pPr>
            <w:r>
              <w:rPr>
                <w:sz w:val="16"/>
              </w:rPr>
              <w:t>Planner / Scheduler</w:t>
            </w:r>
          </w:p>
        </w:tc>
        <w:tc>
          <w:tcPr>
            <w:tcW w:type="dxa" w:w="7848"/>
            <w:vAlign w:val="center"/>
            <w:shd w:fill="EAF0F8"/>
          </w:tcPr>
          <w:p>
            <w:pPr>
              <w:spacing w:after="20"/>
            </w:pPr>
            <w:r>
              <w:rPr>
                <w:sz w:val="16"/>
              </w:rPr>
              <w:t>Tracks critical path, float, dependencies, forecast dates, and schedule recovery options.</w:t>
            </w:r>
          </w:p>
        </w:tc>
      </w:tr>
      <w:tr>
        <w:tc>
          <w:tcPr>
            <w:tcW w:type="dxa" w:w="2880"/>
            <w:vAlign w:val="center"/>
          </w:tcPr>
          <w:p>
            <w:pPr>
              <w:spacing w:after="20"/>
            </w:pPr>
            <w:r>
              <w:rPr>
                <w:sz w:val="16"/>
              </w:rPr>
              <w:t>Commercial / Procurement Lead</w:t>
            </w:r>
          </w:p>
        </w:tc>
        <w:tc>
          <w:tcPr>
            <w:tcW w:type="dxa" w:w="7848"/>
            <w:vAlign w:val="center"/>
          </w:tcPr>
          <w:p>
            <w:pPr>
              <w:spacing w:after="20"/>
            </w:pPr>
            <w:r>
              <w:rPr>
                <w:sz w:val="16"/>
              </w:rPr>
              <w:t>Manages vendor due diligence, service levels, licence renewals, data export rights, and supplier exit planning.</w:t>
            </w:r>
          </w:p>
        </w:tc>
      </w:tr>
      <w:tr>
        <w:tc>
          <w:tcPr>
            <w:tcW w:type="dxa" w:w="2880"/>
            <w:vAlign w:val="center"/>
            <w:shd w:fill="EAF0F8"/>
          </w:tcPr>
          <w:p>
            <w:pPr>
              <w:spacing w:after="20"/>
            </w:pPr>
            <w:r>
              <w:rPr>
                <w:sz w:val="16"/>
              </w:rPr>
              <w:t>All team members</w:t>
            </w:r>
          </w:p>
        </w:tc>
        <w:tc>
          <w:tcPr>
            <w:tcW w:type="dxa" w:w="7848"/>
            <w:vAlign w:val="center"/>
            <w:shd w:fill="EAF0F8"/>
          </w:tcPr>
          <w:p>
            <w:pPr>
              <w:spacing w:after="20"/>
            </w:pPr>
            <w:r>
              <w:rPr>
                <w:sz w:val="16"/>
              </w:rPr>
              <w:t>Follow controlled workflows, report incidents, use approved versions, complete training, and maintain records.</w:t>
            </w:r>
          </w:p>
        </w:tc>
      </w:tr>
    </w:tbl>
    <w:p/>
    <w:p>
      <w:pPr>
        <w:pStyle w:val="Heading2"/>
      </w:pPr>
      <w:r>
        <w:t>5.1 RACI summary</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2880"/>
            <w:shd w:fill="17365D"/>
          </w:tcPr>
          <w:p>
            <w:r>
              <w:rPr>
                <w:b/>
                <w:color w:val="FFFFFF"/>
                <w:sz w:val="14"/>
              </w:rPr>
              <w:t>Activity</w:t>
            </w:r>
          </w:p>
        </w:tc>
        <w:tc>
          <w:tcPr>
            <w:tcW w:type="dxa" w:w="792"/>
            <w:shd w:fill="17365D"/>
          </w:tcPr>
          <w:p>
            <w:r>
              <w:rPr>
                <w:b/>
                <w:color w:val="FFFFFF"/>
                <w:sz w:val="14"/>
              </w:rPr>
              <w:t>PM</w:t>
            </w:r>
          </w:p>
        </w:tc>
        <w:tc>
          <w:tcPr>
            <w:tcW w:type="dxa" w:w="1080"/>
            <w:shd w:fill="17365D"/>
          </w:tcPr>
          <w:p>
            <w:r>
              <w:rPr>
                <w:b/>
                <w:color w:val="FFFFFF"/>
                <w:sz w:val="14"/>
              </w:rPr>
              <w:t>IT/Cyber</w:t>
            </w:r>
          </w:p>
        </w:tc>
        <w:tc>
          <w:tcPr>
            <w:tcW w:type="dxa" w:w="1224"/>
            <w:shd w:fill="17365D"/>
          </w:tcPr>
          <w:p>
            <w:r>
              <w:rPr>
                <w:b/>
                <w:color w:val="FFFFFF"/>
                <w:sz w:val="14"/>
              </w:rPr>
              <w:t>Info/CDE</w:t>
            </w:r>
          </w:p>
        </w:tc>
        <w:tc>
          <w:tcPr>
            <w:tcW w:type="dxa" w:w="1656"/>
            <w:shd w:fill="17365D"/>
          </w:tcPr>
          <w:p>
            <w:r>
              <w:rPr>
                <w:b/>
                <w:color w:val="FFFFFF"/>
                <w:sz w:val="14"/>
              </w:rPr>
              <w:t>BIM/Discipline</w:t>
            </w:r>
          </w:p>
        </w:tc>
        <w:tc>
          <w:tcPr>
            <w:tcW w:type="dxa" w:w="1224"/>
            <w:shd w:fill="17365D"/>
          </w:tcPr>
          <w:p>
            <w:r>
              <w:rPr>
                <w:b/>
                <w:color w:val="FFFFFF"/>
                <w:sz w:val="14"/>
              </w:rPr>
              <w:t>Commercial</w:t>
            </w:r>
          </w:p>
        </w:tc>
        <w:tc>
          <w:tcPr>
            <w:tcW w:type="dxa" w:w="1008"/>
            <w:shd w:fill="17365D"/>
          </w:tcPr>
          <w:p>
            <w:r>
              <w:rPr>
                <w:b/>
                <w:color w:val="FFFFFF"/>
                <w:sz w:val="14"/>
              </w:rPr>
              <w:t>Sponsor</w:t>
            </w:r>
          </w:p>
        </w:tc>
      </w:tr>
      <w:tr>
        <w:tc>
          <w:tcPr>
            <w:tcW w:type="dxa" w:w="2880"/>
            <w:vAlign w:val="center"/>
          </w:tcPr>
          <w:p>
            <w:pPr>
              <w:spacing w:after="20"/>
            </w:pPr>
            <w:r>
              <w:rPr>
                <w:sz w:val="14"/>
              </w:rPr>
              <w:t>Risk register and escalation</w:t>
            </w:r>
          </w:p>
        </w:tc>
        <w:tc>
          <w:tcPr>
            <w:tcW w:type="dxa" w:w="792"/>
            <w:vAlign w:val="center"/>
          </w:tcPr>
          <w:p>
            <w:pPr>
              <w:spacing w:after="20"/>
            </w:pPr>
            <w:r>
              <w:rPr>
                <w:sz w:val="14"/>
              </w:rPr>
              <w:t>A/R</w:t>
            </w:r>
          </w:p>
        </w:tc>
        <w:tc>
          <w:tcPr>
            <w:tcW w:type="dxa" w:w="1080"/>
            <w:vAlign w:val="center"/>
          </w:tcPr>
          <w:p>
            <w:pPr>
              <w:spacing w:after="20"/>
            </w:pPr>
            <w:r>
              <w:rPr>
                <w:sz w:val="14"/>
              </w:rPr>
              <w:t>C</w:t>
            </w:r>
          </w:p>
        </w:tc>
        <w:tc>
          <w:tcPr>
            <w:tcW w:type="dxa" w:w="1224"/>
            <w:vAlign w:val="center"/>
          </w:tcPr>
          <w:p>
            <w:pPr>
              <w:spacing w:after="20"/>
            </w:pPr>
            <w:r>
              <w:rPr>
                <w:sz w:val="14"/>
              </w:rPr>
              <w:t>C</w:t>
            </w:r>
          </w:p>
        </w:tc>
        <w:tc>
          <w:tcPr>
            <w:tcW w:type="dxa" w:w="1656"/>
            <w:vAlign w:val="center"/>
          </w:tcPr>
          <w:p>
            <w:pPr>
              <w:spacing w:after="20"/>
            </w:pPr>
            <w:r>
              <w:rPr>
                <w:sz w:val="14"/>
              </w:rPr>
              <w:t>C</w:t>
            </w:r>
          </w:p>
        </w:tc>
        <w:tc>
          <w:tcPr>
            <w:tcW w:type="dxa" w:w="1224"/>
            <w:vAlign w:val="center"/>
          </w:tcPr>
          <w:p>
            <w:pPr>
              <w:spacing w:after="20"/>
            </w:pPr>
            <w:r>
              <w:rPr>
                <w:sz w:val="14"/>
              </w:rPr>
              <w:t>C</w:t>
            </w:r>
          </w:p>
        </w:tc>
        <w:tc>
          <w:tcPr>
            <w:tcW w:type="dxa" w:w="1008"/>
            <w:vAlign w:val="center"/>
          </w:tcPr>
          <w:p>
            <w:pPr>
              <w:spacing w:after="20"/>
            </w:pPr>
            <w:r>
              <w:rPr>
                <w:sz w:val="14"/>
              </w:rPr>
              <w:t>I</w:t>
            </w:r>
          </w:p>
        </w:tc>
      </w:tr>
      <w:tr>
        <w:tc>
          <w:tcPr>
            <w:tcW w:type="dxa" w:w="2880"/>
            <w:vAlign w:val="center"/>
            <w:shd w:fill="EAF0F8"/>
          </w:tcPr>
          <w:p>
            <w:pPr>
              <w:spacing w:after="20"/>
            </w:pPr>
            <w:r>
              <w:rPr>
                <w:sz w:val="14"/>
              </w:rPr>
              <w:t>Cyber incident containment</w:t>
            </w:r>
          </w:p>
        </w:tc>
        <w:tc>
          <w:tcPr>
            <w:tcW w:type="dxa" w:w="792"/>
            <w:vAlign w:val="center"/>
            <w:shd w:fill="EAF0F8"/>
          </w:tcPr>
          <w:p>
            <w:pPr>
              <w:spacing w:after="20"/>
            </w:pPr>
            <w:r>
              <w:rPr>
                <w:sz w:val="14"/>
              </w:rPr>
              <w:t>A</w:t>
            </w:r>
          </w:p>
        </w:tc>
        <w:tc>
          <w:tcPr>
            <w:tcW w:type="dxa" w:w="1080"/>
            <w:vAlign w:val="center"/>
            <w:shd w:fill="EAF0F8"/>
          </w:tcPr>
          <w:p>
            <w:pPr>
              <w:spacing w:after="20"/>
            </w:pPr>
            <w:r>
              <w:rPr>
                <w:sz w:val="14"/>
              </w:rPr>
              <w:t>R</w:t>
            </w:r>
          </w:p>
        </w:tc>
        <w:tc>
          <w:tcPr>
            <w:tcW w:type="dxa" w:w="1224"/>
            <w:vAlign w:val="center"/>
            <w:shd w:fill="EAF0F8"/>
          </w:tcPr>
          <w:p>
            <w:pPr>
              <w:spacing w:after="20"/>
            </w:pPr>
            <w:r>
              <w:rPr>
                <w:sz w:val="14"/>
              </w:rPr>
              <w:t>C</w:t>
            </w:r>
          </w:p>
        </w:tc>
        <w:tc>
          <w:tcPr>
            <w:tcW w:type="dxa" w:w="1656"/>
            <w:vAlign w:val="center"/>
            <w:shd w:fill="EAF0F8"/>
          </w:tcPr>
          <w:p>
            <w:pPr>
              <w:spacing w:after="20"/>
            </w:pPr>
            <w:r>
              <w:rPr>
                <w:sz w:val="14"/>
              </w:rPr>
              <w:t>I</w:t>
            </w:r>
          </w:p>
        </w:tc>
        <w:tc>
          <w:tcPr>
            <w:tcW w:type="dxa" w:w="1224"/>
            <w:vAlign w:val="center"/>
            <w:shd w:fill="EAF0F8"/>
          </w:tcPr>
          <w:p>
            <w:pPr>
              <w:spacing w:after="20"/>
            </w:pPr>
            <w:r>
              <w:rPr>
                <w:sz w:val="14"/>
              </w:rPr>
              <w:t>C</w:t>
            </w:r>
          </w:p>
        </w:tc>
        <w:tc>
          <w:tcPr>
            <w:tcW w:type="dxa" w:w="1008"/>
            <w:vAlign w:val="center"/>
            <w:shd w:fill="EAF0F8"/>
          </w:tcPr>
          <w:p>
            <w:pPr>
              <w:spacing w:after="20"/>
            </w:pPr>
            <w:r>
              <w:rPr>
                <w:sz w:val="14"/>
              </w:rPr>
              <w:t>I</w:t>
            </w:r>
          </w:p>
        </w:tc>
      </w:tr>
      <w:tr>
        <w:tc>
          <w:tcPr>
            <w:tcW w:type="dxa" w:w="2880"/>
            <w:vAlign w:val="center"/>
          </w:tcPr>
          <w:p>
            <w:pPr>
              <w:spacing w:after="20"/>
            </w:pPr>
            <w:r>
              <w:rPr>
                <w:sz w:val="14"/>
              </w:rPr>
              <w:t>Backup and data recovery</w:t>
            </w:r>
          </w:p>
        </w:tc>
        <w:tc>
          <w:tcPr>
            <w:tcW w:type="dxa" w:w="792"/>
            <w:vAlign w:val="center"/>
          </w:tcPr>
          <w:p>
            <w:pPr>
              <w:spacing w:after="20"/>
            </w:pPr>
            <w:r>
              <w:rPr>
                <w:sz w:val="14"/>
              </w:rPr>
              <w:t>A</w:t>
            </w:r>
          </w:p>
        </w:tc>
        <w:tc>
          <w:tcPr>
            <w:tcW w:type="dxa" w:w="1080"/>
            <w:vAlign w:val="center"/>
          </w:tcPr>
          <w:p>
            <w:pPr>
              <w:spacing w:after="20"/>
            </w:pPr>
            <w:r>
              <w:rPr>
                <w:sz w:val="14"/>
              </w:rPr>
              <w:t>C</w:t>
            </w:r>
          </w:p>
        </w:tc>
        <w:tc>
          <w:tcPr>
            <w:tcW w:type="dxa" w:w="1224"/>
            <w:vAlign w:val="center"/>
          </w:tcPr>
          <w:p>
            <w:pPr>
              <w:spacing w:after="20"/>
            </w:pPr>
            <w:r>
              <w:rPr>
                <w:sz w:val="14"/>
              </w:rPr>
              <w:t>R</w:t>
            </w:r>
          </w:p>
        </w:tc>
        <w:tc>
          <w:tcPr>
            <w:tcW w:type="dxa" w:w="1656"/>
            <w:vAlign w:val="center"/>
          </w:tcPr>
          <w:p>
            <w:pPr>
              <w:spacing w:after="20"/>
            </w:pPr>
            <w:r>
              <w:rPr>
                <w:sz w:val="14"/>
              </w:rPr>
              <w:t>C</w:t>
            </w:r>
          </w:p>
        </w:tc>
        <w:tc>
          <w:tcPr>
            <w:tcW w:type="dxa" w:w="1224"/>
            <w:vAlign w:val="center"/>
          </w:tcPr>
          <w:p>
            <w:pPr>
              <w:spacing w:after="20"/>
            </w:pPr>
            <w:r>
              <w:rPr>
                <w:sz w:val="14"/>
              </w:rPr>
              <w:t>I</w:t>
            </w:r>
          </w:p>
        </w:tc>
        <w:tc>
          <w:tcPr>
            <w:tcW w:type="dxa" w:w="1008"/>
            <w:vAlign w:val="center"/>
          </w:tcPr>
          <w:p>
            <w:pPr>
              <w:spacing w:after="20"/>
            </w:pPr>
            <w:r>
              <w:rPr>
                <w:sz w:val="14"/>
              </w:rPr>
              <w:t>I</w:t>
            </w:r>
          </w:p>
        </w:tc>
      </w:tr>
      <w:tr>
        <w:tc>
          <w:tcPr>
            <w:tcW w:type="dxa" w:w="2880"/>
            <w:vAlign w:val="center"/>
            <w:shd w:fill="EAF0F8"/>
          </w:tcPr>
          <w:p>
            <w:pPr>
              <w:spacing w:after="20"/>
            </w:pPr>
            <w:r>
              <w:rPr>
                <w:sz w:val="14"/>
              </w:rPr>
              <w:t>Model validation and clash closure</w:t>
            </w:r>
          </w:p>
        </w:tc>
        <w:tc>
          <w:tcPr>
            <w:tcW w:type="dxa" w:w="792"/>
            <w:vAlign w:val="center"/>
            <w:shd w:fill="EAF0F8"/>
          </w:tcPr>
          <w:p>
            <w:pPr>
              <w:spacing w:after="20"/>
            </w:pPr>
            <w:r>
              <w:rPr>
                <w:sz w:val="14"/>
              </w:rPr>
              <w:t>A</w:t>
            </w:r>
          </w:p>
        </w:tc>
        <w:tc>
          <w:tcPr>
            <w:tcW w:type="dxa" w:w="1080"/>
            <w:vAlign w:val="center"/>
            <w:shd w:fill="EAF0F8"/>
          </w:tcPr>
          <w:p>
            <w:pPr>
              <w:spacing w:after="20"/>
            </w:pPr>
            <w:r>
              <w:rPr>
                <w:sz w:val="14"/>
              </w:rPr>
              <w:t>I</w:t>
            </w:r>
          </w:p>
        </w:tc>
        <w:tc>
          <w:tcPr>
            <w:tcW w:type="dxa" w:w="1224"/>
            <w:vAlign w:val="center"/>
            <w:shd w:fill="EAF0F8"/>
          </w:tcPr>
          <w:p>
            <w:pPr>
              <w:spacing w:after="20"/>
            </w:pPr>
            <w:r>
              <w:rPr>
                <w:sz w:val="14"/>
              </w:rPr>
              <w:t>C</w:t>
            </w:r>
          </w:p>
        </w:tc>
        <w:tc>
          <w:tcPr>
            <w:tcW w:type="dxa" w:w="1656"/>
            <w:vAlign w:val="center"/>
            <w:shd w:fill="EAF0F8"/>
          </w:tcPr>
          <w:p>
            <w:pPr>
              <w:spacing w:after="20"/>
            </w:pPr>
            <w:r>
              <w:rPr>
                <w:sz w:val="14"/>
              </w:rPr>
              <w:t>R</w:t>
            </w:r>
          </w:p>
        </w:tc>
        <w:tc>
          <w:tcPr>
            <w:tcW w:type="dxa" w:w="1224"/>
            <w:vAlign w:val="center"/>
            <w:shd w:fill="EAF0F8"/>
          </w:tcPr>
          <w:p>
            <w:pPr>
              <w:spacing w:after="20"/>
            </w:pPr>
            <w:r>
              <w:rPr>
                <w:sz w:val="14"/>
              </w:rPr>
              <w:t>I</w:t>
            </w:r>
          </w:p>
        </w:tc>
        <w:tc>
          <w:tcPr>
            <w:tcW w:type="dxa" w:w="1008"/>
            <w:vAlign w:val="center"/>
            <w:shd w:fill="EAF0F8"/>
          </w:tcPr>
          <w:p>
            <w:pPr>
              <w:spacing w:after="20"/>
            </w:pPr>
            <w:r>
              <w:rPr>
                <w:sz w:val="14"/>
              </w:rPr>
              <w:t>I</w:t>
            </w:r>
          </w:p>
        </w:tc>
      </w:tr>
      <w:tr>
        <w:tc>
          <w:tcPr>
            <w:tcW w:type="dxa" w:w="2880"/>
            <w:vAlign w:val="center"/>
          </w:tcPr>
          <w:p>
            <w:pPr>
              <w:spacing w:after="20"/>
            </w:pPr>
            <w:r>
              <w:rPr>
                <w:sz w:val="14"/>
              </w:rPr>
              <w:t>Vendor replacement / contract action</w:t>
            </w:r>
          </w:p>
        </w:tc>
        <w:tc>
          <w:tcPr>
            <w:tcW w:type="dxa" w:w="792"/>
            <w:vAlign w:val="center"/>
          </w:tcPr>
          <w:p>
            <w:pPr>
              <w:spacing w:after="20"/>
            </w:pPr>
            <w:r>
              <w:rPr>
                <w:sz w:val="14"/>
              </w:rPr>
              <w:t>C</w:t>
            </w:r>
          </w:p>
        </w:tc>
        <w:tc>
          <w:tcPr>
            <w:tcW w:type="dxa" w:w="1080"/>
            <w:vAlign w:val="center"/>
          </w:tcPr>
          <w:p>
            <w:pPr>
              <w:spacing w:after="20"/>
            </w:pPr>
            <w:r>
              <w:rPr>
                <w:sz w:val="14"/>
              </w:rPr>
              <w:t>C</w:t>
            </w:r>
          </w:p>
        </w:tc>
        <w:tc>
          <w:tcPr>
            <w:tcW w:type="dxa" w:w="1224"/>
            <w:vAlign w:val="center"/>
          </w:tcPr>
          <w:p>
            <w:pPr>
              <w:spacing w:after="20"/>
            </w:pPr>
            <w:r>
              <w:rPr>
                <w:sz w:val="14"/>
              </w:rPr>
              <w:t>C</w:t>
            </w:r>
          </w:p>
        </w:tc>
        <w:tc>
          <w:tcPr>
            <w:tcW w:type="dxa" w:w="1656"/>
            <w:vAlign w:val="center"/>
          </w:tcPr>
          <w:p>
            <w:pPr>
              <w:spacing w:after="20"/>
            </w:pPr>
            <w:r>
              <w:rPr>
                <w:sz w:val="14"/>
              </w:rPr>
              <w:t>C</w:t>
            </w:r>
          </w:p>
        </w:tc>
        <w:tc>
          <w:tcPr>
            <w:tcW w:type="dxa" w:w="1224"/>
            <w:vAlign w:val="center"/>
          </w:tcPr>
          <w:p>
            <w:pPr>
              <w:spacing w:after="20"/>
            </w:pPr>
            <w:r>
              <w:rPr>
                <w:sz w:val="14"/>
              </w:rPr>
              <w:t>R</w:t>
            </w:r>
          </w:p>
        </w:tc>
        <w:tc>
          <w:tcPr>
            <w:tcW w:type="dxa" w:w="1008"/>
            <w:vAlign w:val="center"/>
          </w:tcPr>
          <w:p>
            <w:pPr>
              <w:spacing w:after="20"/>
            </w:pPr>
            <w:r>
              <w:rPr>
                <w:sz w:val="14"/>
              </w:rPr>
              <w:t>A</w:t>
            </w:r>
          </w:p>
        </w:tc>
      </w:tr>
      <w:tr>
        <w:tc>
          <w:tcPr>
            <w:tcW w:type="dxa" w:w="2880"/>
            <w:vAlign w:val="center"/>
            <w:shd w:fill="EAF0F8"/>
          </w:tcPr>
          <w:p>
            <w:pPr>
              <w:spacing w:after="20"/>
            </w:pPr>
            <w:r>
              <w:rPr>
                <w:sz w:val="14"/>
              </w:rPr>
              <w:t>Schedule recovery / baseline change</w:t>
            </w:r>
          </w:p>
        </w:tc>
        <w:tc>
          <w:tcPr>
            <w:tcW w:type="dxa" w:w="792"/>
            <w:vAlign w:val="center"/>
            <w:shd w:fill="EAF0F8"/>
          </w:tcPr>
          <w:p>
            <w:pPr>
              <w:spacing w:after="20"/>
            </w:pPr>
            <w:r>
              <w:rPr>
                <w:sz w:val="14"/>
              </w:rPr>
              <w:t>R</w:t>
            </w:r>
          </w:p>
        </w:tc>
        <w:tc>
          <w:tcPr>
            <w:tcW w:type="dxa" w:w="1080"/>
            <w:vAlign w:val="center"/>
            <w:shd w:fill="EAF0F8"/>
          </w:tcPr>
          <w:p>
            <w:pPr>
              <w:spacing w:after="20"/>
            </w:pPr>
            <w:r>
              <w:rPr>
                <w:sz w:val="14"/>
              </w:rPr>
              <w:t>I</w:t>
            </w:r>
          </w:p>
        </w:tc>
        <w:tc>
          <w:tcPr>
            <w:tcW w:type="dxa" w:w="1224"/>
            <w:vAlign w:val="center"/>
            <w:shd w:fill="EAF0F8"/>
          </w:tcPr>
          <w:p>
            <w:pPr>
              <w:spacing w:after="20"/>
            </w:pPr>
            <w:r>
              <w:rPr>
                <w:sz w:val="14"/>
              </w:rPr>
              <w:t>C</w:t>
            </w:r>
          </w:p>
        </w:tc>
        <w:tc>
          <w:tcPr>
            <w:tcW w:type="dxa" w:w="1656"/>
            <w:vAlign w:val="center"/>
            <w:shd w:fill="EAF0F8"/>
          </w:tcPr>
          <w:p>
            <w:pPr>
              <w:spacing w:after="20"/>
            </w:pPr>
            <w:r>
              <w:rPr>
                <w:sz w:val="14"/>
              </w:rPr>
              <w:t>C</w:t>
            </w:r>
          </w:p>
        </w:tc>
        <w:tc>
          <w:tcPr>
            <w:tcW w:type="dxa" w:w="1224"/>
            <w:vAlign w:val="center"/>
            <w:shd w:fill="EAF0F8"/>
          </w:tcPr>
          <w:p>
            <w:pPr>
              <w:spacing w:after="20"/>
            </w:pPr>
            <w:r>
              <w:rPr>
                <w:sz w:val="14"/>
              </w:rPr>
              <w:t>C</w:t>
            </w:r>
          </w:p>
        </w:tc>
        <w:tc>
          <w:tcPr>
            <w:tcW w:type="dxa" w:w="1008"/>
            <w:vAlign w:val="center"/>
            <w:shd w:fill="EAF0F8"/>
          </w:tcPr>
          <w:p>
            <w:pPr>
              <w:spacing w:after="20"/>
            </w:pPr>
            <w:r>
              <w:rPr>
                <w:sz w:val="14"/>
              </w:rPr>
              <w:t>A</w:t>
            </w:r>
          </w:p>
        </w:tc>
      </w:tr>
    </w:tbl>
    <w:p/>
    <w:p>
      <w:r>
        <w:t>R = Responsible; A = Accountable; C = Consulted; I = Informed. Confirm one accountable role per activity in the project governance plan.</w:t>
      </w:r>
    </w:p>
    <w:p>
      <w:pPr>
        <w:pStyle w:val="Heading1"/>
      </w:pPr>
      <w:r>
        <w:t>6. Key Performance Indicators (KPIs)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1440"/>
            <w:shd w:fill="17365D"/>
          </w:tcPr>
          <w:p>
            <w:r>
              <w:rPr>
                <w:b/>
                <w:color w:val="FFFFFF"/>
                <w:sz w:val="14"/>
              </w:rPr>
              <w:t>Area</w:t>
            </w:r>
          </w:p>
        </w:tc>
        <w:tc>
          <w:tcPr>
            <w:tcW w:type="dxa" w:w="2088"/>
            <w:shd w:fill="17365D"/>
          </w:tcPr>
          <w:p>
            <w:r>
              <w:rPr>
                <w:b/>
                <w:color w:val="FFFFFF"/>
                <w:sz w:val="14"/>
              </w:rPr>
              <w:t>KPI</w:t>
            </w:r>
          </w:p>
        </w:tc>
        <w:tc>
          <w:tcPr>
            <w:tcW w:type="dxa" w:w="4032"/>
            <w:shd w:fill="17365D"/>
          </w:tcPr>
          <w:p>
            <w:r>
              <w:rPr>
                <w:b/>
                <w:color w:val="FFFFFF"/>
                <w:sz w:val="14"/>
              </w:rPr>
              <w:t>Suggested target / threshold</w:t>
            </w:r>
          </w:p>
        </w:tc>
        <w:tc>
          <w:tcPr>
            <w:tcW w:type="dxa" w:w="1584"/>
            <w:shd w:fill="17365D"/>
          </w:tcPr>
          <w:p>
            <w:r>
              <w:rPr>
                <w:b/>
                <w:color w:val="FFFFFF"/>
                <w:sz w:val="14"/>
              </w:rPr>
              <w:t>Frequency</w:t>
            </w:r>
          </w:p>
        </w:tc>
        <w:tc>
          <w:tcPr>
            <w:tcW w:type="dxa" w:w="1584"/>
            <w:shd w:fill="17365D"/>
          </w:tcPr>
          <w:p>
            <w:r>
              <w:rPr>
                <w:b/>
                <w:color w:val="FFFFFF"/>
                <w:sz w:val="14"/>
              </w:rPr>
              <w:t>Owner</w:t>
            </w:r>
          </w:p>
        </w:tc>
      </w:tr>
      <w:tr>
        <w:tc>
          <w:tcPr>
            <w:tcW w:type="dxa" w:w="1440"/>
            <w:vAlign w:val="center"/>
          </w:tcPr>
          <w:p>
            <w:pPr>
              <w:spacing w:after="20"/>
            </w:pPr>
            <w:r>
              <w:rPr>
                <w:sz w:val="14"/>
              </w:rPr>
              <w:t>Security</w:t>
            </w:r>
          </w:p>
        </w:tc>
        <w:tc>
          <w:tcPr>
            <w:tcW w:type="dxa" w:w="2088"/>
            <w:vAlign w:val="center"/>
          </w:tcPr>
          <w:p>
            <w:pPr>
              <w:spacing w:after="20"/>
            </w:pPr>
            <w:r>
              <w:rPr>
                <w:sz w:val="14"/>
              </w:rPr>
              <w:t>MFA coverage</w:t>
            </w:r>
          </w:p>
        </w:tc>
        <w:tc>
          <w:tcPr>
            <w:tcW w:type="dxa" w:w="4032"/>
            <w:vAlign w:val="center"/>
          </w:tcPr>
          <w:p>
            <w:pPr>
              <w:spacing w:after="20"/>
            </w:pPr>
            <w:r>
              <w:rPr>
                <w:sz w:val="14"/>
              </w:rPr>
              <w:t>100% of in-scope accounts</w:t>
            </w:r>
          </w:p>
        </w:tc>
        <w:tc>
          <w:tcPr>
            <w:tcW w:type="dxa" w:w="1584"/>
            <w:vAlign w:val="center"/>
          </w:tcPr>
          <w:p>
            <w:pPr>
              <w:spacing w:after="20"/>
            </w:pPr>
            <w:r>
              <w:rPr>
                <w:sz w:val="14"/>
              </w:rPr>
              <w:t>Monthly</w:t>
            </w:r>
          </w:p>
        </w:tc>
        <w:tc>
          <w:tcPr>
            <w:tcW w:type="dxa" w:w="1584"/>
            <w:vAlign w:val="center"/>
          </w:tcPr>
          <w:p>
            <w:pPr>
              <w:spacing w:after="20"/>
            </w:pPr>
            <w:r>
              <w:rPr>
                <w:sz w:val="14"/>
              </w:rPr>
              <w:t>IT/Cyber</w:t>
            </w:r>
          </w:p>
        </w:tc>
      </w:tr>
      <w:tr>
        <w:tc>
          <w:tcPr>
            <w:tcW w:type="dxa" w:w="1440"/>
            <w:vAlign w:val="center"/>
            <w:shd w:fill="EAF0F8"/>
          </w:tcPr>
          <w:p>
            <w:pPr>
              <w:spacing w:after="20"/>
            </w:pPr>
            <w:r>
              <w:rPr>
                <w:sz w:val="14"/>
              </w:rPr>
              <w:t>Security</w:t>
            </w:r>
          </w:p>
        </w:tc>
        <w:tc>
          <w:tcPr>
            <w:tcW w:type="dxa" w:w="2088"/>
            <w:vAlign w:val="center"/>
            <w:shd w:fill="EAF0F8"/>
          </w:tcPr>
          <w:p>
            <w:pPr>
              <w:spacing w:after="20"/>
            </w:pPr>
            <w:r>
              <w:rPr>
                <w:sz w:val="14"/>
              </w:rPr>
              <w:t>Detection-to-containment time</w:t>
            </w:r>
          </w:p>
        </w:tc>
        <w:tc>
          <w:tcPr>
            <w:tcW w:type="dxa" w:w="4032"/>
            <w:vAlign w:val="center"/>
            <w:shd w:fill="EAF0F8"/>
          </w:tcPr>
          <w:p>
            <w:pPr>
              <w:spacing w:after="20"/>
            </w:pPr>
            <w:r>
              <w:rPr>
                <w:sz w:val="14"/>
              </w:rPr>
              <w:t>Set severity-based target; investigate misses</w:t>
            </w:r>
          </w:p>
        </w:tc>
        <w:tc>
          <w:tcPr>
            <w:tcW w:type="dxa" w:w="1584"/>
            <w:vAlign w:val="center"/>
            <w:shd w:fill="EAF0F8"/>
          </w:tcPr>
          <w:p>
            <w:pPr>
              <w:spacing w:after="20"/>
            </w:pPr>
            <w:r>
              <w:rPr>
                <w:sz w:val="14"/>
              </w:rPr>
              <w:t>Per incident / quarterly</w:t>
            </w:r>
          </w:p>
        </w:tc>
        <w:tc>
          <w:tcPr>
            <w:tcW w:type="dxa" w:w="1584"/>
            <w:vAlign w:val="center"/>
            <w:shd w:fill="EAF0F8"/>
          </w:tcPr>
          <w:p>
            <w:pPr>
              <w:spacing w:after="20"/>
            </w:pPr>
            <w:r>
              <w:rPr>
                <w:sz w:val="14"/>
              </w:rPr>
              <w:t>IT/Cyber</w:t>
            </w:r>
          </w:p>
        </w:tc>
      </w:tr>
      <w:tr>
        <w:tc>
          <w:tcPr>
            <w:tcW w:type="dxa" w:w="1440"/>
            <w:vAlign w:val="center"/>
          </w:tcPr>
          <w:p>
            <w:pPr>
              <w:spacing w:after="20"/>
            </w:pPr>
            <w:r>
              <w:rPr>
                <w:sz w:val="14"/>
              </w:rPr>
              <w:t>Data resilience</w:t>
            </w:r>
          </w:p>
        </w:tc>
        <w:tc>
          <w:tcPr>
            <w:tcW w:type="dxa" w:w="2088"/>
            <w:vAlign w:val="center"/>
          </w:tcPr>
          <w:p>
            <w:pPr>
              <w:spacing w:after="20"/>
            </w:pPr>
            <w:r>
              <w:rPr>
                <w:sz w:val="14"/>
              </w:rPr>
              <w:t>Backup job success</w:t>
            </w:r>
          </w:p>
        </w:tc>
        <w:tc>
          <w:tcPr>
            <w:tcW w:type="dxa" w:w="4032"/>
            <w:vAlign w:val="center"/>
          </w:tcPr>
          <w:p>
            <w:pPr>
              <w:spacing w:after="20"/>
            </w:pPr>
            <w:r>
              <w:rPr>
                <w:sz w:val="14"/>
              </w:rPr>
              <w:t>Target ≥98%; investigate every failure</w:t>
            </w:r>
          </w:p>
        </w:tc>
        <w:tc>
          <w:tcPr>
            <w:tcW w:type="dxa" w:w="1584"/>
            <w:vAlign w:val="center"/>
          </w:tcPr>
          <w:p>
            <w:pPr>
              <w:spacing w:after="20"/>
            </w:pPr>
            <w:r>
              <w:rPr>
                <w:sz w:val="14"/>
              </w:rPr>
              <w:t>Weekly</w:t>
            </w:r>
          </w:p>
        </w:tc>
        <w:tc>
          <w:tcPr>
            <w:tcW w:type="dxa" w:w="1584"/>
            <w:vAlign w:val="center"/>
          </w:tcPr>
          <w:p>
            <w:pPr>
              <w:spacing w:after="20"/>
            </w:pPr>
            <w:r>
              <w:rPr>
                <w:sz w:val="14"/>
              </w:rPr>
              <w:t>Information Manager</w:t>
            </w:r>
          </w:p>
        </w:tc>
      </w:tr>
      <w:tr>
        <w:tc>
          <w:tcPr>
            <w:tcW w:type="dxa" w:w="1440"/>
            <w:vAlign w:val="center"/>
            <w:shd w:fill="EAF0F8"/>
          </w:tcPr>
          <w:p>
            <w:pPr>
              <w:spacing w:after="20"/>
            </w:pPr>
            <w:r>
              <w:rPr>
                <w:sz w:val="14"/>
              </w:rPr>
              <w:t>Data resilience</w:t>
            </w:r>
          </w:p>
        </w:tc>
        <w:tc>
          <w:tcPr>
            <w:tcW w:type="dxa" w:w="2088"/>
            <w:vAlign w:val="center"/>
            <w:shd w:fill="EAF0F8"/>
          </w:tcPr>
          <w:p>
            <w:pPr>
              <w:spacing w:after="20"/>
            </w:pPr>
            <w:r>
              <w:rPr>
                <w:sz w:val="14"/>
              </w:rPr>
              <w:t>Restore test pass rate</w:t>
            </w:r>
          </w:p>
        </w:tc>
        <w:tc>
          <w:tcPr>
            <w:tcW w:type="dxa" w:w="4032"/>
            <w:vAlign w:val="center"/>
            <w:shd w:fill="EAF0F8"/>
          </w:tcPr>
          <w:p>
            <w:pPr>
              <w:spacing w:after="20"/>
            </w:pPr>
            <w:r>
              <w:rPr>
                <w:sz w:val="14"/>
              </w:rPr>
              <w:t>100% of scheduled critical tests; retest failures</w:t>
            </w:r>
          </w:p>
        </w:tc>
        <w:tc>
          <w:tcPr>
            <w:tcW w:type="dxa" w:w="1584"/>
            <w:vAlign w:val="center"/>
            <w:shd w:fill="EAF0F8"/>
          </w:tcPr>
          <w:p>
            <w:pPr>
              <w:spacing w:after="20"/>
            </w:pPr>
            <w:r>
              <w:rPr>
                <w:sz w:val="14"/>
              </w:rPr>
              <w:t>Quarterly / milestone</w:t>
            </w:r>
          </w:p>
        </w:tc>
        <w:tc>
          <w:tcPr>
            <w:tcW w:type="dxa" w:w="1584"/>
            <w:vAlign w:val="center"/>
            <w:shd w:fill="EAF0F8"/>
          </w:tcPr>
          <w:p>
            <w:pPr>
              <w:spacing w:after="20"/>
            </w:pPr>
            <w:r>
              <w:rPr>
                <w:sz w:val="14"/>
              </w:rPr>
              <w:t>Information Manager</w:t>
            </w:r>
          </w:p>
        </w:tc>
      </w:tr>
      <w:tr>
        <w:tc>
          <w:tcPr>
            <w:tcW w:type="dxa" w:w="1440"/>
            <w:vAlign w:val="center"/>
          </w:tcPr>
          <w:p>
            <w:pPr>
              <w:spacing w:after="20"/>
            </w:pPr>
            <w:r>
              <w:rPr>
                <w:sz w:val="14"/>
              </w:rPr>
              <w:t>Model quality</w:t>
            </w:r>
          </w:p>
        </w:tc>
        <w:tc>
          <w:tcPr>
            <w:tcW w:type="dxa" w:w="2088"/>
            <w:vAlign w:val="center"/>
          </w:tcPr>
          <w:p>
            <w:pPr>
              <w:spacing w:after="20"/>
            </w:pPr>
            <w:r>
              <w:rPr>
                <w:sz w:val="14"/>
              </w:rPr>
              <w:t>Critical clash closure</w:t>
            </w:r>
          </w:p>
        </w:tc>
        <w:tc>
          <w:tcPr>
            <w:tcW w:type="dxa" w:w="4032"/>
            <w:vAlign w:val="center"/>
          </w:tcPr>
          <w:p>
            <w:pPr>
              <w:spacing w:after="20"/>
            </w:pPr>
            <w:r>
              <w:rPr>
                <w:sz w:val="14"/>
              </w:rPr>
              <w:t>100% closed or formally accepted before issue gate</w:t>
            </w:r>
          </w:p>
        </w:tc>
        <w:tc>
          <w:tcPr>
            <w:tcW w:type="dxa" w:w="1584"/>
            <w:vAlign w:val="center"/>
          </w:tcPr>
          <w:p>
            <w:pPr>
              <w:spacing w:after="20"/>
            </w:pPr>
            <w:r>
              <w:rPr>
                <w:sz w:val="14"/>
              </w:rPr>
              <w:t>Each model gate</w:t>
            </w:r>
          </w:p>
        </w:tc>
        <w:tc>
          <w:tcPr>
            <w:tcW w:type="dxa" w:w="1584"/>
            <w:vAlign w:val="center"/>
          </w:tcPr>
          <w:p>
            <w:pPr>
              <w:spacing w:after="20"/>
            </w:pPr>
            <w:r>
              <w:rPr>
                <w:sz w:val="14"/>
              </w:rPr>
              <w:t>BIM Manager</w:t>
            </w:r>
          </w:p>
        </w:tc>
      </w:tr>
      <w:tr>
        <w:tc>
          <w:tcPr>
            <w:tcW w:type="dxa" w:w="1440"/>
            <w:vAlign w:val="center"/>
            <w:shd w:fill="EAF0F8"/>
          </w:tcPr>
          <w:p>
            <w:pPr>
              <w:spacing w:after="20"/>
            </w:pPr>
            <w:r>
              <w:rPr>
                <w:sz w:val="14"/>
              </w:rPr>
              <w:t>Model quality</w:t>
            </w:r>
          </w:p>
        </w:tc>
        <w:tc>
          <w:tcPr>
            <w:tcW w:type="dxa" w:w="2088"/>
            <w:vAlign w:val="center"/>
            <w:shd w:fill="EAF0F8"/>
          </w:tcPr>
          <w:p>
            <w:pPr>
              <w:spacing w:after="20"/>
            </w:pPr>
            <w:r>
              <w:rPr>
                <w:sz w:val="14"/>
              </w:rPr>
              <w:t>High-severity clashes after approval</w:t>
            </w:r>
          </w:p>
        </w:tc>
        <w:tc>
          <w:tcPr>
            <w:tcW w:type="dxa" w:w="4032"/>
            <w:vAlign w:val="center"/>
            <w:shd w:fill="EAF0F8"/>
          </w:tcPr>
          <w:p>
            <w:pPr>
              <w:spacing w:after="20"/>
            </w:pPr>
            <w:r>
              <w:rPr>
                <w:sz w:val="14"/>
              </w:rPr>
              <w:t>Downward trend; investigate every occurrence</w:t>
            </w:r>
          </w:p>
        </w:tc>
        <w:tc>
          <w:tcPr>
            <w:tcW w:type="dxa" w:w="1584"/>
            <w:vAlign w:val="center"/>
            <w:shd w:fill="EAF0F8"/>
          </w:tcPr>
          <w:p>
            <w:pPr>
              <w:spacing w:after="20"/>
            </w:pPr>
            <w:r>
              <w:rPr>
                <w:sz w:val="14"/>
              </w:rPr>
              <w:t>Monthly</w:t>
            </w:r>
          </w:p>
        </w:tc>
        <w:tc>
          <w:tcPr>
            <w:tcW w:type="dxa" w:w="1584"/>
            <w:vAlign w:val="center"/>
            <w:shd w:fill="EAF0F8"/>
          </w:tcPr>
          <w:p>
            <w:pPr>
              <w:spacing w:after="20"/>
            </w:pPr>
            <w:r>
              <w:rPr>
                <w:sz w:val="14"/>
              </w:rPr>
              <w:t>BIM Manager</w:t>
            </w:r>
          </w:p>
        </w:tc>
      </w:tr>
      <w:tr>
        <w:tc>
          <w:tcPr>
            <w:tcW w:type="dxa" w:w="1440"/>
            <w:vAlign w:val="center"/>
          </w:tcPr>
          <w:p>
            <w:pPr>
              <w:spacing w:after="20"/>
            </w:pPr>
            <w:r>
              <w:rPr>
                <w:sz w:val="14"/>
              </w:rPr>
              <w:t>Communication</w:t>
            </w:r>
          </w:p>
        </w:tc>
        <w:tc>
          <w:tcPr>
            <w:tcW w:type="dxa" w:w="2088"/>
            <w:vAlign w:val="center"/>
          </w:tcPr>
          <w:p>
            <w:pPr>
              <w:spacing w:after="20"/>
            </w:pPr>
            <w:r>
              <w:rPr>
                <w:sz w:val="14"/>
              </w:rPr>
              <w:t>Actions closed by due date</w:t>
            </w:r>
          </w:p>
        </w:tc>
        <w:tc>
          <w:tcPr>
            <w:tcW w:type="dxa" w:w="4032"/>
            <w:vAlign w:val="center"/>
          </w:tcPr>
          <w:p>
            <w:pPr>
              <w:spacing w:after="20"/>
            </w:pPr>
            <w:r>
              <w:rPr>
                <w:sz w:val="14"/>
              </w:rPr>
              <w:t>Target ≥90%; escalate overdue critical actions immediately</w:t>
            </w:r>
          </w:p>
        </w:tc>
        <w:tc>
          <w:tcPr>
            <w:tcW w:type="dxa" w:w="1584"/>
            <w:vAlign w:val="center"/>
          </w:tcPr>
          <w:p>
            <w:pPr>
              <w:spacing w:after="20"/>
            </w:pPr>
            <w:r>
              <w:rPr>
                <w:sz w:val="14"/>
              </w:rPr>
              <w:t>Weekly</w:t>
            </w:r>
          </w:p>
        </w:tc>
        <w:tc>
          <w:tcPr>
            <w:tcW w:type="dxa" w:w="1584"/>
            <w:vAlign w:val="center"/>
          </w:tcPr>
          <w:p>
            <w:pPr>
              <w:spacing w:after="20"/>
            </w:pPr>
            <w:r>
              <w:rPr>
                <w:sz w:val="14"/>
              </w:rPr>
              <w:t>PM</w:t>
            </w:r>
          </w:p>
        </w:tc>
      </w:tr>
      <w:tr>
        <w:tc>
          <w:tcPr>
            <w:tcW w:type="dxa" w:w="1440"/>
            <w:vAlign w:val="center"/>
            <w:shd w:fill="EAF0F8"/>
          </w:tcPr>
          <w:p>
            <w:pPr>
              <w:spacing w:after="20"/>
            </w:pPr>
            <w:r>
              <w:rPr>
                <w:sz w:val="14"/>
              </w:rPr>
              <w:t>Delivery</w:t>
            </w:r>
          </w:p>
        </w:tc>
        <w:tc>
          <w:tcPr>
            <w:tcW w:type="dxa" w:w="2088"/>
            <w:vAlign w:val="center"/>
            <w:shd w:fill="EAF0F8"/>
          </w:tcPr>
          <w:p>
            <w:pPr>
              <w:spacing w:after="20"/>
            </w:pPr>
            <w:r>
              <w:rPr>
                <w:sz w:val="14"/>
              </w:rPr>
              <w:t>Milestone hit rate</w:t>
            </w:r>
          </w:p>
        </w:tc>
        <w:tc>
          <w:tcPr>
            <w:tcW w:type="dxa" w:w="4032"/>
            <w:vAlign w:val="center"/>
            <w:shd w:fill="EAF0F8"/>
          </w:tcPr>
          <w:p>
            <w:pPr>
              <w:spacing w:after="20"/>
            </w:pPr>
            <w:r>
              <w:rPr>
                <w:sz w:val="14"/>
              </w:rPr>
              <w:t>Target agreed at baseline; analyse variance</w:t>
            </w:r>
          </w:p>
        </w:tc>
        <w:tc>
          <w:tcPr>
            <w:tcW w:type="dxa" w:w="1584"/>
            <w:vAlign w:val="center"/>
            <w:shd w:fill="EAF0F8"/>
          </w:tcPr>
          <w:p>
            <w:pPr>
              <w:spacing w:after="20"/>
            </w:pPr>
            <w:r>
              <w:rPr>
                <w:sz w:val="14"/>
              </w:rPr>
              <w:t>Weekly / monthly</w:t>
            </w:r>
          </w:p>
        </w:tc>
        <w:tc>
          <w:tcPr>
            <w:tcW w:type="dxa" w:w="1584"/>
            <w:vAlign w:val="center"/>
            <w:shd w:fill="EAF0F8"/>
          </w:tcPr>
          <w:p>
            <w:pPr>
              <w:spacing w:after="20"/>
            </w:pPr>
            <w:r>
              <w:rPr>
                <w:sz w:val="14"/>
              </w:rPr>
              <w:t>Planner</w:t>
            </w:r>
          </w:p>
        </w:tc>
      </w:tr>
      <w:tr>
        <w:tc>
          <w:tcPr>
            <w:tcW w:type="dxa" w:w="1440"/>
            <w:vAlign w:val="center"/>
          </w:tcPr>
          <w:p>
            <w:pPr>
              <w:spacing w:after="20"/>
            </w:pPr>
            <w:r>
              <w:rPr>
                <w:sz w:val="14"/>
              </w:rPr>
              <w:t>Capability</w:t>
            </w:r>
          </w:p>
        </w:tc>
        <w:tc>
          <w:tcPr>
            <w:tcW w:type="dxa" w:w="2088"/>
            <w:vAlign w:val="center"/>
          </w:tcPr>
          <w:p>
            <w:pPr>
              <w:spacing w:after="20"/>
            </w:pPr>
            <w:r>
              <w:rPr>
                <w:sz w:val="14"/>
              </w:rPr>
              <w:t>Required training completion</w:t>
            </w:r>
          </w:p>
        </w:tc>
        <w:tc>
          <w:tcPr>
            <w:tcW w:type="dxa" w:w="4032"/>
            <w:vAlign w:val="center"/>
          </w:tcPr>
          <w:p>
            <w:pPr>
              <w:spacing w:after="20"/>
            </w:pPr>
            <w:r>
              <w:rPr>
                <w:sz w:val="14"/>
              </w:rPr>
              <w:t>100% before independent high-risk workflow access</w:t>
            </w:r>
          </w:p>
        </w:tc>
        <w:tc>
          <w:tcPr>
            <w:tcW w:type="dxa" w:w="1584"/>
            <w:vAlign w:val="center"/>
          </w:tcPr>
          <w:p>
            <w:pPr>
              <w:spacing w:after="20"/>
            </w:pPr>
            <w:r>
              <w:rPr>
                <w:sz w:val="14"/>
              </w:rPr>
              <w:t>Monthly</w:t>
            </w:r>
          </w:p>
        </w:tc>
        <w:tc>
          <w:tcPr>
            <w:tcW w:type="dxa" w:w="1584"/>
            <w:vAlign w:val="center"/>
          </w:tcPr>
          <w:p>
            <w:pPr>
              <w:spacing w:after="20"/>
            </w:pPr>
            <w:r>
              <w:rPr>
                <w:sz w:val="14"/>
              </w:rPr>
              <w:t>Training Coordinator</w:t>
            </w:r>
          </w:p>
        </w:tc>
      </w:tr>
      <w:tr>
        <w:tc>
          <w:tcPr>
            <w:tcW w:type="dxa" w:w="1440"/>
            <w:vAlign w:val="center"/>
            <w:shd w:fill="EAF0F8"/>
          </w:tcPr>
          <w:p>
            <w:pPr>
              <w:spacing w:after="20"/>
            </w:pPr>
            <w:r>
              <w:rPr>
                <w:sz w:val="14"/>
              </w:rPr>
              <w:t>Supplier resilience</w:t>
            </w:r>
          </w:p>
        </w:tc>
        <w:tc>
          <w:tcPr>
            <w:tcW w:type="dxa" w:w="2088"/>
            <w:vAlign w:val="center"/>
            <w:shd w:fill="EAF0F8"/>
          </w:tcPr>
          <w:p>
            <w:pPr>
              <w:spacing w:after="20"/>
            </w:pPr>
            <w:r>
              <w:rPr>
                <w:sz w:val="14"/>
              </w:rPr>
              <w:t>Critical data export test</w:t>
            </w:r>
          </w:p>
        </w:tc>
        <w:tc>
          <w:tcPr>
            <w:tcW w:type="dxa" w:w="4032"/>
            <w:vAlign w:val="center"/>
            <w:shd w:fill="EAF0F8"/>
          </w:tcPr>
          <w:p>
            <w:pPr>
              <w:spacing w:after="20"/>
            </w:pPr>
            <w:r>
              <w:rPr>
                <w:sz w:val="14"/>
              </w:rPr>
              <w:t>100% of critical systems tested at agreed interval</w:t>
            </w:r>
          </w:p>
        </w:tc>
        <w:tc>
          <w:tcPr>
            <w:tcW w:type="dxa" w:w="1584"/>
            <w:vAlign w:val="center"/>
            <w:shd w:fill="EAF0F8"/>
          </w:tcPr>
          <w:p>
            <w:pPr>
              <w:spacing w:after="20"/>
            </w:pPr>
            <w:r>
              <w:rPr>
                <w:sz w:val="14"/>
              </w:rPr>
              <w:t>Quarterly / renewal</w:t>
            </w:r>
          </w:p>
        </w:tc>
        <w:tc>
          <w:tcPr>
            <w:tcW w:type="dxa" w:w="1584"/>
            <w:vAlign w:val="center"/>
            <w:shd w:fill="EAF0F8"/>
          </w:tcPr>
          <w:p>
            <w:pPr>
              <w:spacing w:after="20"/>
            </w:pPr>
            <w:r>
              <w:rPr>
                <w:sz w:val="14"/>
              </w:rPr>
              <w:t>Commercial + Technical</w:t>
            </w:r>
          </w:p>
        </w:tc>
      </w:tr>
    </w:tbl>
    <w:p/>
    <w:p>
      <w:r>
        <w:t>These are proposed management thresholds, not universal industry benchmarks. Approve targets at project start, record a baseline, and adjust only through documented governance.</w:t>
      </w:r>
    </w:p>
    <w:p>
      <w:pPr>
        <w:pStyle w:val="Heading1"/>
      </w:pPr>
      <w:r>
        <w:t>7. Incident Response and Recovery Workflow</w:t>
      </w:r>
    </w:p>
    <w:p>
      <w:r>
        <w:t>Apply this common workflow to technology, information, coordination, and delivery incidents. The risk-specific plan determines detailed technical actions.</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2088"/>
            <w:shd w:fill="17365D"/>
          </w:tcPr>
          <w:p>
            <w:r>
              <w:rPr>
                <w:b/>
                <w:color w:val="FFFFFF"/>
                <w:sz w:val="16"/>
              </w:rPr>
              <w:t>Stage</w:t>
            </w:r>
          </w:p>
        </w:tc>
        <w:tc>
          <w:tcPr>
            <w:tcW w:type="dxa" w:w="8568"/>
            <w:shd w:fill="17365D"/>
          </w:tcPr>
          <w:p>
            <w:r>
              <w:rPr>
                <w:b/>
                <w:color w:val="FFFFFF"/>
                <w:sz w:val="16"/>
              </w:rPr>
              <w:t>Required action</w:t>
            </w:r>
          </w:p>
        </w:tc>
      </w:tr>
      <w:tr>
        <w:tc>
          <w:tcPr>
            <w:tcW w:type="dxa" w:w="2088"/>
            <w:vAlign w:val="center"/>
          </w:tcPr>
          <w:p>
            <w:pPr>
              <w:spacing w:after="20"/>
            </w:pPr>
            <w:r>
              <w:rPr>
                <w:sz w:val="16"/>
              </w:rPr>
              <w:t>1. DETECT</w:t>
            </w:r>
          </w:p>
        </w:tc>
        <w:tc>
          <w:tcPr>
            <w:tcW w:type="dxa" w:w="8568"/>
            <w:vAlign w:val="center"/>
          </w:tcPr>
          <w:p>
            <w:pPr>
              <w:spacing w:after="20"/>
            </w:pPr>
            <w:r>
              <w:rPr>
                <w:sz w:val="16"/>
              </w:rPr>
              <w:t>Identify abnormal event or trigger; record time, system/package, impact, and reporter.</w:t>
            </w:r>
          </w:p>
        </w:tc>
      </w:tr>
      <w:tr>
        <w:tc>
          <w:tcPr>
            <w:tcW w:type="dxa" w:w="2088"/>
            <w:vAlign w:val="center"/>
            <w:shd w:fill="EAF0F8"/>
          </w:tcPr>
          <w:p>
            <w:pPr>
              <w:spacing w:after="20"/>
            </w:pPr>
            <w:r>
              <w:rPr>
                <w:sz w:val="16"/>
              </w:rPr>
              <w:t>2. TRIAGE</w:t>
            </w:r>
          </w:p>
        </w:tc>
        <w:tc>
          <w:tcPr>
            <w:tcW w:type="dxa" w:w="8568"/>
            <w:vAlign w:val="center"/>
            <w:shd w:fill="EAF0F8"/>
          </w:tcPr>
          <w:p>
            <w:pPr>
              <w:spacing w:after="20"/>
            </w:pPr>
            <w:r>
              <w:rPr>
                <w:sz w:val="16"/>
              </w:rPr>
              <w:t>Rate severity, appoint owner, and identify immediate safety/data/delivery implications.</w:t>
            </w:r>
          </w:p>
        </w:tc>
      </w:tr>
      <w:tr>
        <w:tc>
          <w:tcPr>
            <w:tcW w:type="dxa" w:w="2088"/>
            <w:vAlign w:val="center"/>
          </w:tcPr>
          <w:p>
            <w:pPr>
              <w:spacing w:after="20"/>
            </w:pPr>
            <w:r>
              <w:rPr>
                <w:sz w:val="16"/>
              </w:rPr>
              <w:t>3. CONTAIN</w:t>
            </w:r>
          </w:p>
        </w:tc>
        <w:tc>
          <w:tcPr>
            <w:tcW w:type="dxa" w:w="8568"/>
            <w:vAlign w:val="center"/>
          </w:tcPr>
          <w:p>
            <w:pPr>
              <w:spacing w:after="20"/>
            </w:pPr>
            <w:r>
              <w:rPr>
                <w:sz w:val="16"/>
              </w:rPr>
              <w:t>Stop spread or further use: isolate account/device, freeze publishing, hold affected package, or switch channel.</w:t>
            </w:r>
          </w:p>
        </w:tc>
      </w:tr>
      <w:tr>
        <w:tc>
          <w:tcPr>
            <w:tcW w:type="dxa" w:w="2088"/>
            <w:vAlign w:val="center"/>
            <w:shd w:fill="EAF0F8"/>
          </w:tcPr>
          <w:p>
            <w:pPr>
              <w:spacing w:after="20"/>
            </w:pPr>
            <w:r>
              <w:rPr>
                <w:sz w:val="16"/>
              </w:rPr>
              <w:t>4. COMMUNICATE</w:t>
            </w:r>
          </w:p>
        </w:tc>
        <w:tc>
          <w:tcPr>
            <w:tcW w:type="dxa" w:w="8568"/>
            <w:vAlign w:val="center"/>
            <w:shd w:fill="EAF0F8"/>
          </w:tcPr>
          <w:p>
            <w:pPr>
              <w:spacing w:after="20"/>
            </w:pPr>
            <w:r>
              <w:rPr>
                <w:sz w:val="16"/>
              </w:rPr>
              <w:t>Notify PM and impacted parties through approved channels; keep one status owner.</w:t>
            </w:r>
          </w:p>
        </w:tc>
      </w:tr>
      <w:tr>
        <w:tc>
          <w:tcPr>
            <w:tcW w:type="dxa" w:w="2088"/>
            <w:vAlign w:val="center"/>
          </w:tcPr>
          <w:p>
            <w:pPr>
              <w:spacing w:after="20"/>
            </w:pPr>
            <w:r>
              <w:rPr>
                <w:sz w:val="16"/>
              </w:rPr>
              <w:t>5. RECOVER</w:t>
            </w:r>
          </w:p>
        </w:tc>
        <w:tc>
          <w:tcPr>
            <w:tcW w:type="dxa" w:w="8568"/>
            <w:vAlign w:val="center"/>
          </w:tcPr>
          <w:p>
            <w:pPr>
              <w:spacing w:after="20"/>
            </w:pPr>
            <w:r>
              <w:rPr>
                <w:sz w:val="16"/>
              </w:rPr>
              <w:t>Restore clean data/service, correct model/workflow, or execute approved schedule workaround.</w:t>
            </w:r>
          </w:p>
        </w:tc>
      </w:tr>
      <w:tr>
        <w:tc>
          <w:tcPr>
            <w:tcW w:type="dxa" w:w="2088"/>
            <w:vAlign w:val="center"/>
            <w:shd w:fill="EAF0F8"/>
          </w:tcPr>
          <w:p>
            <w:pPr>
              <w:spacing w:after="20"/>
            </w:pPr>
            <w:r>
              <w:rPr>
                <w:sz w:val="16"/>
              </w:rPr>
              <w:t>6. VERIFY</w:t>
            </w:r>
          </w:p>
        </w:tc>
        <w:tc>
          <w:tcPr>
            <w:tcW w:type="dxa" w:w="8568"/>
            <w:vAlign w:val="center"/>
            <w:shd w:fill="EAF0F8"/>
          </w:tcPr>
          <w:p>
            <w:pPr>
              <w:spacing w:after="20"/>
            </w:pPr>
            <w:r>
              <w:rPr>
                <w:sz w:val="16"/>
              </w:rPr>
              <w:t>Test data integrity, model quality, permissions, approvals, and downstream dependencies.</w:t>
            </w:r>
          </w:p>
        </w:tc>
      </w:tr>
      <w:tr>
        <w:tc>
          <w:tcPr>
            <w:tcW w:type="dxa" w:w="2088"/>
            <w:vAlign w:val="center"/>
          </w:tcPr>
          <w:p>
            <w:pPr>
              <w:spacing w:after="20"/>
            </w:pPr>
            <w:r>
              <w:rPr>
                <w:sz w:val="16"/>
              </w:rPr>
              <w:t>7. CLOSE &amp; LEARN</w:t>
            </w:r>
          </w:p>
        </w:tc>
        <w:tc>
          <w:tcPr>
            <w:tcW w:type="dxa" w:w="8568"/>
            <w:vAlign w:val="center"/>
          </w:tcPr>
          <w:p>
            <w:pPr>
              <w:spacing w:after="20"/>
            </w:pPr>
            <w:r>
              <w:rPr>
                <w:sz w:val="16"/>
              </w:rPr>
              <w:t>Obtain sign-off; document root cause, KPI impact, lessons, and corrective actions.</w:t>
            </w:r>
          </w:p>
        </w:tc>
      </w:tr>
    </w:tbl>
    <w:p/>
    <w:p>
      <w:pPr>
        <w:pStyle w:val="Heading2"/>
      </w:pPr>
      <w:r>
        <w:t>7.1 Escalation principles</w:t>
      </w:r>
    </w:p>
    <w:p>
      <w:pPr>
        <w:pStyle w:val="ListBullet"/>
        <w:spacing w:after="40"/>
      </w:pPr>
      <w:r>
        <w:t>Escalate immediately if safety-critical information may be wrong, confidential data may be exposed, a critical milestone is threatened, or tolerance is exceeded.</w:t>
      </w:r>
    </w:p>
    <w:p>
      <w:pPr>
        <w:pStyle w:val="ListBullet"/>
        <w:spacing w:after="40"/>
      </w:pPr>
      <w:r>
        <w:t>Preserve evidence; avoid unapproved deletion/restoration or external communications during security incidents.</w:t>
      </w:r>
    </w:p>
    <w:p>
      <w:pPr>
        <w:pStyle w:val="ListBullet"/>
        <w:spacing w:after="40"/>
      </w:pPr>
      <w:r>
        <w:t>Use a single incident log and status owner to reduce conflicting messages.</w:t>
      </w:r>
    </w:p>
    <w:p>
      <w:pPr>
        <w:pStyle w:val="ListBullet"/>
        <w:spacing w:after="40"/>
      </w:pPr>
      <w:r>
        <w:t>Resume normal work only after the designated owner verifies integrity and the authorised decision-maker approves release.</w:t>
      </w:r>
    </w:p>
    <w:p>
      <w:pPr>
        <w:pStyle w:val="Heading2"/>
      </w:pPr>
      <w:r>
        <w:t>7.2 Recovery objectives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2088"/>
            <w:shd w:fill="17365D"/>
          </w:tcPr>
          <w:p>
            <w:r>
              <w:rPr>
                <w:b/>
                <w:color w:val="FFFFFF"/>
                <w:sz w:val="16"/>
              </w:rPr>
              <w:t>Term</w:t>
            </w:r>
          </w:p>
        </w:tc>
        <w:tc>
          <w:tcPr>
            <w:tcW w:type="dxa" w:w="3888"/>
            <w:shd w:fill="17365D"/>
          </w:tcPr>
          <w:p>
            <w:r>
              <w:rPr>
                <w:b/>
                <w:color w:val="FFFFFF"/>
                <w:sz w:val="16"/>
              </w:rPr>
              <w:t>Definition</w:t>
            </w:r>
          </w:p>
        </w:tc>
        <w:tc>
          <w:tcPr>
            <w:tcW w:type="dxa" w:w="4680"/>
            <w:shd w:fill="17365D"/>
          </w:tcPr>
          <w:p>
            <w:r>
              <w:rPr>
                <w:b/>
                <w:color w:val="FFFFFF"/>
                <w:sz w:val="16"/>
              </w:rPr>
              <w:t>Action required</w:t>
            </w:r>
          </w:p>
        </w:tc>
      </w:tr>
      <w:tr>
        <w:tc>
          <w:tcPr>
            <w:tcW w:type="dxa" w:w="2088"/>
            <w:vAlign w:val="center"/>
          </w:tcPr>
          <w:p>
            <w:pPr>
              <w:spacing w:after="20"/>
            </w:pPr>
            <w:r>
              <w:rPr>
                <w:sz w:val="16"/>
              </w:rPr>
              <w:t>RTO — Recovery Time Objective</w:t>
            </w:r>
          </w:p>
        </w:tc>
        <w:tc>
          <w:tcPr>
            <w:tcW w:type="dxa" w:w="3888"/>
            <w:vAlign w:val="center"/>
          </w:tcPr>
          <w:p>
            <w:pPr>
              <w:spacing w:after="20"/>
            </w:pPr>
            <w:r>
              <w:rPr>
                <w:sz w:val="16"/>
              </w:rPr>
              <w:t>Maximum acceptable time to restore a service/workflow.</w:t>
            </w:r>
          </w:p>
        </w:tc>
        <w:tc>
          <w:tcPr>
            <w:tcW w:type="dxa" w:w="4680"/>
            <w:vAlign w:val="center"/>
          </w:tcPr>
          <w:p>
            <w:pPr>
              <w:spacing w:after="20"/>
            </w:pPr>
            <w:r>
              <w:rPr>
                <w:sz w:val="16"/>
              </w:rPr>
              <w:t>Set per critical service with sponsor and business owner.</w:t>
            </w:r>
          </w:p>
        </w:tc>
      </w:tr>
      <w:tr>
        <w:tc>
          <w:tcPr>
            <w:tcW w:type="dxa" w:w="2088"/>
            <w:vAlign w:val="center"/>
            <w:shd w:fill="EAF0F8"/>
          </w:tcPr>
          <w:p>
            <w:pPr>
              <w:spacing w:after="20"/>
            </w:pPr>
            <w:r>
              <w:rPr>
                <w:sz w:val="16"/>
              </w:rPr>
              <w:t>RPO — Recovery Point Objective</w:t>
            </w:r>
          </w:p>
        </w:tc>
        <w:tc>
          <w:tcPr>
            <w:tcW w:type="dxa" w:w="3888"/>
            <w:vAlign w:val="center"/>
            <w:shd w:fill="EAF0F8"/>
          </w:tcPr>
          <w:p>
            <w:pPr>
              <w:spacing w:after="20"/>
            </w:pPr>
            <w:r>
              <w:rPr>
                <w:sz w:val="16"/>
              </w:rPr>
              <w:t>Maximum acceptable data loss measured in time.</w:t>
            </w:r>
          </w:p>
        </w:tc>
        <w:tc>
          <w:tcPr>
            <w:tcW w:type="dxa" w:w="4680"/>
            <w:vAlign w:val="center"/>
            <w:shd w:fill="EAF0F8"/>
          </w:tcPr>
          <w:p>
            <w:pPr>
              <w:spacing w:after="20"/>
            </w:pPr>
            <w:r>
              <w:rPr>
                <w:sz w:val="16"/>
              </w:rPr>
              <w:t>Set backup frequency/replication to meet the agreed limit.</w:t>
            </w:r>
          </w:p>
        </w:tc>
      </w:tr>
      <w:tr>
        <w:tc>
          <w:tcPr>
            <w:tcW w:type="dxa" w:w="2088"/>
            <w:vAlign w:val="center"/>
          </w:tcPr>
          <w:p>
            <w:pPr>
              <w:spacing w:after="20"/>
            </w:pPr>
            <w:r>
              <w:rPr>
                <w:sz w:val="16"/>
              </w:rPr>
              <w:t>Workaround duration</w:t>
            </w:r>
          </w:p>
        </w:tc>
        <w:tc>
          <w:tcPr>
            <w:tcW w:type="dxa" w:w="3888"/>
            <w:vAlign w:val="center"/>
          </w:tcPr>
          <w:p>
            <w:pPr>
              <w:spacing w:after="20"/>
            </w:pPr>
            <w:r>
              <w:rPr>
                <w:sz w:val="16"/>
              </w:rPr>
              <w:t>How long a manual/offline method can safely operate.</w:t>
            </w:r>
          </w:p>
        </w:tc>
        <w:tc>
          <w:tcPr>
            <w:tcW w:type="dxa" w:w="4680"/>
            <w:vAlign w:val="center"/>
          </w:tcPr>
          <w:p>
            <w:pPr>
              <w:spacing w:after="20"/>
            </w:pPr>
            <w:r>
              <w:rPr>
                <w:sz w:val="16"/>
              </w:rPr>
              <w:t>Define owner, reconciliation method, and end condition.</w:t>
            </w:r>
          </w:p>
        </w:tc>
      </w:tr>
      <w:tr>
        <w:tc>
          <w:tcPr>
            <w:tcW w:type="dxa" w:w="2088"/>
            <w:vAlign w:val="center"/>
            <w:shd w:fill="EAF0F8"/>
          </w:tcPr>
          <w:p>
            <w:pPr>
              <w:spacing w:after="20"/>
            </w:pPr>
            <w:r>
              <w:rPr>
                <w:sz w:val="16"/>
              </w:rPr>
              <w:t>Recovery sign-off</w:t>
            </w:r>
          </w:p>
        </w:tc>
        <w:tc>
          <w:tcPr>
            <w:tcW w:type="dxa" w:w="3888"/>
            <w:vAlign w:val="center"/>
            <w:shd w:fill="EAF0F8"/>
          </w:tcPr>
          <w:p>
            <w:pPr>
              <w:spacing w:after="20"/>
            </w:pPr>
            <w:r>
              <w:rPr>
                <w:sz w:val="16"/>
              </w:rPr>
              <w:t>Confirmation that service/data/model is reliable to use.</w:t>
            </w:r>
          </w:p>
        </w:tc>
        <w:tc>
          <w:tcPr>
            <w:tcW w:type="dxa" w:w="4680"/>
            <w:vAlign w:val="center"/>
            <w:shd w:fill="EAF0F8"/>
          </w:tcPr>
          <w:p>
            <w:pPr>
              <w:spacing w:after="20"/>
            </w:pPr>
            <w:r>
              <w:rPr>
                <w:sz w:val="16"/>
              </w:rPr>
              <w:t>Require technical owner and project authority where impact is material.</w:t>
            </w:r>
          </w:p>
        </w:tc>
      </w:tr>
    </w:tbl>
    <w:p/>
    <w:p>
      <w:pPr>
        <w:pStyle w:val="Heading1"/>
      </w:pPr>
      <w:r>
        <w:t>8. Monitoring, Review, and Assurance</w:t>
      </w:r>
    </w:p>
    <w:p>
      <w:pPr>
        <w:pStyle w:val="ListBullet"/>
        <w:spacing w:after="40"/>
      </w:pPr>
      <w:r>
        <w:t>Review the risk register weekly during active coordination and at major model/delivery gates.</w:t>
      </w:r>
    </w:p>
    <w:p>
      <w:pPr>
        <w:pStyle w:val="ListBullet"/>
        <w:spacing w:after="40"/>
      </w:pPr>
      <w:r>
        <w:t>Re-score risks after a significant incident, scope change, new supplier, major software change, or repeated KPI miss.</w:t>
      </w:r>
    </w:p>
    <w:p>
      <w:pPr>
        <w:pStyle w:val="ListBullet"/>
        <w:spacing w:after="40"/>
      </w:pPr>
      <w:r>
        <w:t>Track inherent risk, existing controls, residual risk, contingency actions, trigger status, owner, and next review date separately.</w:t>
      </w:r>
    </w:p>
    <w:p>
      <w:pPr>
        <w:pStyle w:val="ListBullet"/>
        <w:spacing w:after="40"/>
      </w:pPr>
      <w:r>
        <w:t>Run a realistic scenario exercise at least quarterly or before a high-risk milestone; record response times and gaps.</w:t>
      </w:r>
    </w:p>
    <w:p>
      <w:pPr>
        <w:pStyle w:val="ListBullet"/>
        <w:spacing w:after="40"/>
      </w:pPr>
      <w:r>
        <w:t>Audit CDE permissions, model revisions, backup logs, issue closure evidence, and vendor dependencies on a risk-based schedule.</w:t>
      </w:r>
    </w:p>
    <w:p>
      <w:pPr>
        <w:pStyle w:val="ListBullet"/>
        <w:spacing w:after="40"/>
      </w:pPr>
      <w:r>
        <w:t>Close a risk only when exposure is removed or reduced to an accepted level and evidence is recorded.</w:t>
      </w:r>
    </w:p>
    <w:p>
      <w:pPr>
        <w:pStyle w:val="Heading1"/>
      </w:pPr>
      <w:r>
        <w:t>9. Conclusion</w:t>
      </w:r>
    </w:p>
    <w:p>
      <w:r>
        <w:t>A virtual construction project is resilient when its people, information, tools, and decision processes remain usable during disruption. These eight plans connect preventive controls with clear triggers, immediate response, recovery, accountability, and measurable outcomes. The next step is to replace the illustrative baseline with the actual Week 2 matrix, agree project-specific RTO/RPO and escalation thresholds, and test the plans before a critical deliverable or milestone.</w:t>
      </w:r>
    </w:p>
    <w:p>
      <w:pPr>
        <w:pStyle w:val="Heading1"/>
      </w:pPr>
      <w:r>
        <w:t>References</w:t>
      </w:r>
    </w:p>
    <w:p>
      <w:pPr>
        <w:pStyle w:val="ListNumber"/>
      </w:pPr>
      <w:r>
        <w:rPr>
          <w:b/>
        </w:rPr>
        <w:t xml:space="preserve">ISO. (2018). ISO 31000:2018 Risk management — Guidelines. </w:t>
      </w:r>
      <w:r>
        <w:t>https://www.iso.org/standard/65694.html</w:t>
        <w:br/>
        <w:t>Relevance: General framework for risk identification, assessment, treatment, monitoring, and communication.</w:t>
      </w:r>
    </w:p>
    <w:p>
      <w:pPr>
        <w:pStyle w:val="ListNumber"/>
      </w:pPr>
      <w:r>
        <w:rPr>
          <w:b/>
        </w:rPr>
        <w:t xml:space="preserve">National Institute of Standards and Technology (NIST). (2024). The NIST Cybersecurity Framework (CSF) 2.0. </w:t>
      </w:r>
      <w:r>
        <w:t>https://www.nist.gov/cyberframework</w:t>
        <w:br/>
        <w:t>Relevance: Cybersecurity governance, protection, detection, response, and recovery.</w:t>
      </w:r>
    </w:p>
    <w:p>
      <w:pPr>
        <w:pStyle w:val="ListNumber"/>
      </w:pPr>
      <w:r>
        <w:rPr>
          <w:b/>
        </w:rPr>
        <w:t xml:space="preserve">NIST. (2012). Computer Security Incident Handling Guide (SP 800-61 Rev. 2). </w:t>
      </w:r>
      <w:r>
        <w:t>https://csrc.nist.gov/pubs/sp/800/61/r2/final</w:t>
        <w:br/>
        <w:t>Relevance: Incident preparation, detection, containment, and recovery.</w:t>
      </w:r>
    </w:p>
    <w:p>
      <w:pPr>
        <w:pStyle w:val="ListNumber"/>
      </w:pPr>
      <w:r>
        <w:rPr>
          <w:b/>
        </w:rPr>
        <w:t xml:space="preserve">NIST. (2020). Security and Privacy Controls (SP 800-53 Rev. 5). </w:t>
      </w:r>
      <w:r>
        <w:t>https://csrc.nist.gov/pubs/sp/800/53/r5/upd1/final</w:t>
        <w:br/>
        <w:t>Relevance: Access control, audit, contingency planning, and system protection.</w:t>
      </w:r>
    </w:p>
    <w:p>
      <w:pPr>
        <w:pStyle w:val="ListNumber"/>
      </w:pPr>
      <w:r>
        <w:rPr>
          <w:b/>
        </w:rPr>
        <w:t xml:space="preserve">UK Government. Government Functional Standard GovS 002: Project Delivery. </w:t>
      </w:r>
      <w:r>
        <w:t>https://www.gov.uk/government/publications/project-delivery-functional-standard</w:t>
        <w:br/>
        <w:t>Relevance: Project governance, risk management, planning, and assurance.</w:t>
      </w:r>
    </w:p>
    <w:p>
      <w:pPr>
        <w:pStyle w:val="ListNumber"/>
      </w:pPr>
      <w:r>
        <w:rPr>
          <w:b/>
        </w:rPr>
        <w:t xml:space="preserve">UK BIM Framework. Guidance and resources for implementing ISO 19650. </w:t>
      </w:r>
      <w:r>
        <w:t>https://ukbimframework.org/</w:t>
        <w:br/>
        <w:t>Relevance: Information management, CDE workflows, and controlled information exchange.</w:t>
      </w:r>
    </w:p>
    <w:p>
      <w:pPr>
        <w:pStyle w:val="ListNumber"/>
      </w:pPr>
      <w:r>
        <w:rPr>
          <w:b/>
        </w:rPr>
        <w:t xml:space="preserve">Autodesk. BIM and construction coordination resources. </w:t>
      </w:r>
      <w:r>
        <w:t>https://www.autodesk.com/solutions/bim</w:t>
        <w:br/>
        <w:t>Relevance: Industry background on BIM coordination and digital construction workflows.</w:t>
      </w:r>
    </w:p>
    <w:p>
      <w:pPr>
        <w:pStyle w:val="ListNumber"/>
      </w:pPr>
      <w:r>
        <w:rPr>
          <w:b/>
        </w:rPr>
        <w:t xml:space="preserve">NIST. (2010). Contingency Planning Guide for Federal Information Systems (SP 800-34 Rev. 1). </w:t>
      </w:r>
      <w:r>
        <w:t>https://csrc.nist.gov/pubs/sp/800/34/r1/upd1/final</w:t>
        <w:br/>
        <w:t>Relevance: Business impact analysis, recovery strategies, contingency planning, and testing.</w:t>
      </w:r>
    </w:p>
    <w:p>
      <w:pPr>
        <w:pStyle w:val="Heading1"/>
      </w:pPr>
      <w:r>
        <w:t>Appendix A: Quick Incident Checklist</w:t>
      </w:r>
    </w:p>
    <w:p>
      <w:pPr>
        <w:pStyle w:val="ListBullet"/>
        <w:spacing w:after="40"/>
      </w:pPr>
      <w:r>
        <w:t>☐ Record what happened, when it began, who reported it, and which service/model/deliverable is affected.</w:t>
      </w:r>
    </w:p>
    <w:p>
      <w:pPr>
        <w:pStyle w:val="ListBullet"/>
        <w:spacing w:after="40"/>
      </w:pPr>
      <w:r>
        <w:t>☐ Classify severity and name an incident lead and technical owner.</w:t>
      </w:r>
    </w:p>
    <w:p>
      <w:pPr>
        <w:pStyle w:val="ListBullet"/>
        <w:spacing w:after="40"/>
      </w:pPr>
      <w:r>
        <w:t>☐ Contain the issue and stop unsafe/uncontrolled use of affected data or systems.</w:t>
      </w:r>
    </w:p>
    <w:p>
      <w:pPr>
        <w:pStyle w:val="ListBullet"/>
        <w:spacing w:after="40"/>
      </w:pPr>
      <w:r>
        <w:t>☐ Notify the project manager and relevant stakeholders through the approved channel.</w:t>
      </w:r>
    </w:p>
    <w:p>
      <w:pPr>
        <w:pStyle w:val="ListBullet"/>
        <w:spacing w:after="40"/>
      </w:pPr>
      <w:r>
        <w:t>☐ Preserve logs, file versions, screenshots, tickets, and decision records as appropriate.</w:t>
      </w:r>
    </w:p>
    <w:p>
      <w:pPr>
        <w:pStyle w:val="ListBullet"/>
        <w:spacing w:after="40"/>
      </w:pPr>
      <w:r>
        <w:t>☐ Activate the contingency plan and document workarounds.</w:t>
      </w:r>
    </w:p>
    <w:p>
      <w:pPr>
        <w:pStyle w:val="ListBullet"/>
        <w:spacing w:after="40"/>
      </w:pPr>
      <w:r>
        <w:t>☐ Recover from a verified source or approved alternative workflow.</w:t>
      </w:r>
    </w:p>
    <w:p>
      <w:pPr>
        <w:pStyle w:val="ListBullet"/>
        <w:spacing w:after="40"/>
      </w:pPr>
      <w:r>
        <w:t>☐ Validate integrity, permissions, model quality, approvals, and downstream impacts.</w:t>
      </w:r>
    </w:p>
    <w:p>
      <w:pPr>
        <w:pStyle w:val="ListBullet"/>
        <w:spacing w:after="40"/>
      </w:pPr>
      <w:r>
        <w:t>☐ Obtain recovery sign-off and communicate return to normal.</w:t>
      </w:r>
    </w:p>
    <w:p>
      <w:pPr>
        <w:pStyle w:val="ListBullet"/>
        <w:spacing w:after="40"/>
      </w:pPr>
      <w:r>
        <w:t>☐ Complete lessons learned and assign corrective actions with due dates.</w:t>
      </w:r>
    </w:p>
    <w:p>
      <w:pPr>
        <w:pStyle w:val="Heading1"/>
      </w:pPr>
      <w:r>
        <w:t>Appendix B: Risk Register Template</w:t>
      </w:r>
    </w:p>
    <w:tbl>
      <w:tblPr>
        <w:tblStyle w:val="TableGrid"/>
        <w:tblW w:type="auto" w:w="0"/>
        <w:jc w:val="center"/>
        <w:tblLayout w:type="fixed"/>
        <w:tblLook w:firstColumn="1" w:firstRow="1" w:lastColumn="0" w:lastRow="0" w:noHBand="0" w:noVBand="1" w:val="04A0"/>
      </w:tblPr>
      <w:tblGrid>
        <w:gridCol w:w="5040"/>
        <w:gridCol w:w="5040"/>
      </w:tblGrid>
      <w:tr>
        <w:trPr>
          <w:tblHeader/>
        </w:trPr>
        <w:tc>
          <w:tcPr>
            <w:tcW w:type="dxa" w:w="3168"/>
            <w:shd w:fill="17365D"/>
          </w:tcPr>
          <w:p>
            <w:r>
              <w:rPr>
                <w:b/>
                <w:color w:val="FFFFFF"/>
                <w:sz w:val="16"/>
              </w:rPr>
              <w:t>Field</w:t>
            </w:r>
          </w:p>
        </w:tc>
        <w:tc>
          <w:tcPr>
            <w:tcW w:type="dxa" w:w="7488"/>
            <w:shd w:fill="17365D"/>
          </w:tcPr>
          <w:p>
            <w:r>
              <w:rPr>
                <w:b/>
                <w:color w:val="FFFFFF"/>
                <w:sz w:val="16"/>
              </w:rPr>
              <w:t>Entry / prompt</w:t>
            </w:r>
          </w:p>
        </w:tc>
      </w:tr>
      <w:tr>
        <w:tc>
          <w:tcPr>
            <w:tcW w:type="dxa" w:w="3168"/>
            <w:vAlign w:val="center"/>
          </w:tcPr>
          <w:p>
            <w:pPr>
              <w:spacing w:after="20"/>
            </w:pPr>
            <w:r>
              <w:rPr>
                <w:sz w:val="16"/>
              </w:rPr>
              <w:t>Risk ID and title</w:t>
            </w:r>
          </w:p>
        </w:tc>
        <w:tc>
          <w:tcPr>
            <w:tcW w:type="dxa" w:w="7488"/>
            <w:vAlign w:val="center"/>
          </w:tcPr>
          <w:p>
            <w:pPr>
              <w:spacing w:after="20"/>
            </w:pPr>
            <w:r>
              <w:rPr>
                <w:sz w:val="16"/>
              </w:rPr>
              <w:t>Unique ID and concise risk event.</w:t>
            </w:r>
          </w:p>
        </w:tc>
      </w:tr>
      <w:tr>
        <w:tc>
          <w:tcPr>
            <w:tcW w:type="dxa" w:w="3168"/>
            <w:vAlign w:val="center"/>
            <w:shd w:fill="EAF0F8"/>
          </w:tcPr>
          <w:p>
            <w:pPr>
              <w:spacing w:after="20"/>
            </w:pPr>
            <w:r>
              <w:rPr>
                <w:sz w:val="16"/>
              </w:rPr>
              <w:t>Cause → event → consequence</w:t>
            </w:r>
          </w:p>
        </w:tc>
        <w:tc>
          <w:tcPr>
            <w:tcW w:type="dxa" w:w="7488"/>
            <w:vAlign w:val="center"/>
            <w:shd w:fill="EAF0F8"/>
          </w:tcPr>
          <w:p>
            <w:pPr>
              <w:spacing w:after="20"/>
            </w:pPr>
            <w:r>
              <w:rPr>
                <w:sz w:val="16"/>
              </w:rPr>
              <w:t>What could happen, why, and with what effect?</w:t>
            </w:r>
          </w:p>
        </w:tc>
      </w:tr>
      <w:tr>
        <w:tc>
          <w:tcPr>
            <w:tcW w:type="dxa" w:w="3168"/>
            <w:vAlign w:val="center"/>
          </w:tcPr>
          <w:p>
            <w:pPr>
              <w:spacing w:after="20"/>
            </w:pPr>
            <w:r>
              <w:rPr>
                <w:sz w:val="16"/>
              </w:rPr>
              <w:t>Inherent likelihood / impact / score</w:t>
            </w:r>
          </w:p>
        </w:tc>
        <w:tc>
          <w:tcPr>
            <w:tcW w:type="dxa" w:w="7488"/>
            <w:vAlign w:val="center"/>
          </w:tcPr>
          <w:p>
            <w:pPr>
              <w:spacing w:after="20"/>
            </w:pPr>
            <w:r>
              <w:rPr>
                <w:sz w:val="16"/>
              </w:rPr>
              <w:t>Before additional controls; use agreed scale.</w:t>
            </w:r>
          </w:p>
        </w:tc>
      </w:tr>
      <w:tr>
        <w:tc>
          <w:tcPr>
            <w:tcW w:type="dxa" w:w="3168"/>
            <w:vAlign w:val="center"/>
            <w:shd w:fill="EAF0F8"/>
          </w:tcPr>
          <w:p>
            <w:pPr>
              <w:spacing w:after="20"/>
            </w:pPr>
            <w:r>
              <w:rPr>
                <w:sz w:val="16"/>
              </w:rPr>
              <w:t>Existing controls</w:t>
            </w:r>
          </w:p>
        </w:tc>
        <w:tc>
          <w:tcPr>
            <w:tcW w:type="dxa" w:w="7488"/>
            <w:vAlign w:val="center"/>
            <w:shd w:fill="EAF0F8"/>
          </w:tcPr>
          <w:p>
            <w:pPr>
              <w:spacing w:after="20"/>
            </w:pPr>
            <w:r>
              <w:rPr>
                <w:sz w:val="16"/>
              </w:rPr>
              <w:t>Controls already in place and evidence.</w:t>
            </w:r>
          </w:p>
        </w:tc>
      </w:tr>
      <w:tr>
        <w:tc>
          <w:tcPr>
            <w:tcW w:type="dxa" w:w="3168"/>
            <w:vAlign w:val="center"/>
          </w:tcPr>
          <w:p>
            <w:pPr>
              <w:spacing w:after="20"/>
            </w:pPr>
            <w:r>
              <w:rPr>
                <w:sz w:val="16"/>
              </w:rPr>
              <w:t>Preventive actions</w:t>
            </w:r>
          </w:p>
        </w:tc>
        <w:tc>
          <w:tcPr>
            <w:tcW w:type="dxa" w:w="7488"/>
            <w:vAlign w:val="center"/>
          </w:tcPr>
          <w:p>
            <w:pPr>
              <w:spacing w:after="20"/>
            </w:pPr>
            <w:r>
              <w:rPr>
                <w:sz w:val="16"/>
              </w:rPr>
              <w:t>Action, owner, due date, completion evidence.</w:t>
            </w:r>
          </w:p>
        </w:tc>
      </w:tr>
      <w:tr>
        <w:tc>
          <w:tcPr>
            <w:tcW w:type="dxa" w:w="3168"/>
            <w:vAlign w:val="center"/>
            <w:shd w:fill="EAF0F8"/>
          </w:tcPr>
          <w:p>
            <w:pPr>
              <w:spacing w:after="20"/>
            </w:pPr>
            <w:r>
              <w:rPr>
                <w:sz w:val="16"/>
              </w:rPr>
              <w:t>Trigger / early warning</w:t>
            </w:r>
          </w:p>
        </w:tc>
        <w:tc>
          <w:tcPr>
            <w:tcW w:type="dxa" w:w="7488"/>
            <w:vAlign w:val="center"/>
            <w:shd w:fill="EAF0F8"/>
          </w:tcPr>
          <w:p>
            <w:pPr>
              <w:spacing w:after="20"/>
            </w:pPr>
            <w:r>
              <w:rPr>
                <w:sz w:val="16"/>
              </w:rPr>
              <w:t>Observable condition that starts response.</w:t>
            </w:r>
          </w:p>
        </w:tc>
      </w:tr>
      <w:tr>
        <w:tc>
          <w:tcPr>
            <w:tcW w:type="dxa" w:w="3168"/>
            <w:vAlign w:val="center"/>
          </w:tcPr>
          <w:p>
            <w:pPr>
              <w:spacing w:after="20"/>
            </w:pPr>
            <w:r>
              <w:rPr>
                <w:sz w:val="16"/>
              </w:rPr>
              <w:t>Response and contingency</w:t>
            </w:r>
          </w:p>
        </w:tc>
        <w:tc>
          <w:tcPr>
            <w:tcW w:type="dxa" w:w="7488"/>
            <w:vAlign w:val="center"/>
          </w:tcPr>
          <w:p>
            <w:pPr>
              <w:spacing w:after="20"/>
            </w:pPr>
            <w:r>
              <w:rPr>
                <w:sz w:val="16"/>
              </w:rPr>
              <w:t>Immediate action, decision authority, communications.</w:t>
            </w:r>
          </w:p>
        </w:tc>
      </w:tr>
      <w:tr>
        <w:tc>
          <w:tcPr>
            <w:tcW w:type="dxa" w:w="3168"/>
            <w:vAlign w:val="center"/>
            <w:shd w:fill="EAF0F8"/>
          </w:tcPr>
          <w:p>
            <w:pPr>
              <w:spacing w:after="20"/>
            </w:pPr>
            <w:r>
              <w:rPr>
                <w:sz w:val="16"/>
              </w:rPr>
              <w:t>Recovery and validation</w:t>
            </w:r>
          </w:p>
        </w:tc>
        <w:tc>
          <w:tcPr>
            <w:tcW w:type="dxa" w:w="7488"/>
            <w:vAlign w:val="center"/>
            <w:shd w:fill="EAF0F8"/>
          </w:tcPr>
          <w:p>
            <w:pPr>
              <w:spacing w:after="20"/>
            </w:pPr>
            <w:r>
              <w:rPr>
                <w:sz w:val="16"/>
              </w:rPr>
              <w:t>Restore/correct, validate, obtain sign-off.</w:t>
            </w:r>
          </w:p>
        </w:tc>
      </w:tr>
      <w:tr>
        <w:tc>
          <w:tcPr>
            <w:tcW w:type="dxa" w:w="3168"/>
            <w:vAlign w:val="center"/>
          </w:tcPr>
          <w:p>
            <w:pPr>
              <w:spacing w:after="20"/>
            </w:pPr>
            <w:r>
              <w:rPr>
                <w:sz w:val="16"/>
              </w:rPr>
              <w:t>Residual likelihood / impact / score</w:t>
            </w:r>
          </w:p>
        </w:tc>
        <w:tc>
          <w:tcPr>
            <w:tcW w:type="dxa" w:w="7488"/>
            <w:vAlign w:val="center"/>
          </w:tcPr>
          <w:p>
            <w:pPr>
              <w:spacing w:after="20"/>
            </w:pPr>
            <w:r>
              <w:rPr>
                <w:sz w:val="16"/>
              </w:rPr>
              <w:t>After controls; explain acceptance or further treatment.</w:t>
            </w:r>
          </w:p>
        </w:tc>
      </w:tr>
      <w:tr>
        <w:tc>
          <w:tcPr>
            <w:tcW w:type="dxa" w:w="3168"/>
            <w:vAlign w:val="center"/>
            <w:shd w:fill="EAF0F8"/>
          </w:tcPr>
          <w:p>
            <w:pPr>
              <w:spacing w:after="20"/>
            </w:pPr>
            <w:r>
              <w:rPr>
                <w:sz w:val="16"/>
              </w:rPr>
              <w:t>Owner / next review</w:t>
            </w:r>
          </w:p>
        </w:tc>
        <w:tc>
          <w:tcPr>
            <w:tcW w:type="dxa" w:w="7488"/>
            <w:vAlign w:val="center"/>
            <w:shd w:fill="EAF0F8"/>
          </w:tcPr>
          <w:p>
            <w:pPr>
              <w:spacing w:after="20"/>
            </w:pPr>
            <w:r>
              <w:rPr>
                <w:sz w:val="16"/>
              </w:rPr>
              <w:t>One accountable owner and next review date.</w:t>
            </w:r>
          </w:p>
        </w:tc>
      </w:tr>
      <w:tr>
        <w:tc>
          <w:tcPr>
            <w:tcW w:type="dxa" w:w="3168"/>
            <w:vAlign w:val="center"/>
          </w:tcPr>
          <w:p>
            <w:pPr>
              <w:spacing w:after="20"/>
            </w:pPr>
            <w:r>
              <w:rPr>
                <w:sz w:val="16"/>
              </w:rPr>
              <w:t>KPI / status</w:t>
            </w:r>
          </w:p>
        </w:tc>
        <w:tc>
          <w:tcPr>
            <w:tcW w:type="dxa" w:w="7488"/>
            <w:vAlign w:val="center"/>
          </w:tcPr>
          <w:p>
            <w:pPr>
              <w:spacing w:after="20"/>
            </w:pPr>
            <w:r>
              <w:rPr>
                <w:sz w:val="16"/>
              </w:rPr>
              <w:t>Measure, target, current value, status, open actions.</w:t>
            </w:r>
          </w:p>
        </w:tc>
      </w:tr>
    </w:tbl>
    <w:p/>
    <w:p>
      <w:pPr>
        <w:pStyle w:val="Heading1"/>
      </w:pPr>
      <w:r>
        <w:t>Appendix C: Bow-Tie Style Risk Flow — CDE/Data Incident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2088"/>
            <w:shd w:fill="17365D"/>
          </w:tcPr>
          <w:p>
            <w:r>
              <w:rPr>
                <w:b/>
                <w:color w:val="FFFFFF"/>
                <w:sz w:val="14"/>
              </w:rPr>
              <w:t>Threats</w:t>
            </w:r>
          </w:p>
        </w:tc>
        <w:tc>
          <w:tcPr>
            <w:tcW w:type="dxa" w:w="2376"/>
            <w:shd w:fill="17365D"/>
          </w:tcPr>
          <w:p>
            <w:r>
              <w:rPr>
                <w:b/>
                <w:color w:val="FFFFFF"/>
                <w:sz w:val="14"/>
              </w:rPr>
              <w:t>Preventive barriers</w:t>
            </w:r>
          </w:p>
        </w:tc>
        <w:tc>
          <w:tcPr>
            <w:tcW w:type="dxa" w:w="2088"/>
            <w:shd w:fill="17365D"/>
          </w:tcPr>
          <w:p>
            <w:r>
              <w:rPr>
                <w:b/>
                <w:color w:val="FFFFFF"/>
                <w:sz w:val="14"/>
              </w:rPr>
              <w:t>Top event</w:t>
            </w:r>
          </w:p>
        </w:tc>
        <w:tc>
          <w:tcPr>
            <w:tcW w:type="dxa" w:w="2520"/>
            <w:shd w:fill="17365D"/>
          </w:tcPr>
          <w:p>
            <w:r>
              <w:rPr>
                <w:b/>
                <w:color w:val="FFFFFF"/>
                <w:sz w:val="14"/>
              </w:rPr>
              <w:t>Impact-limiting barriers</w:t>
            </w:r>
          </w:p>
        </w:tc>
        <w:tc>
          <w:tcPr>
            <w:tcW w:type="dxa" w:w="2016"/>
            <w:shd w:fill="17365D"/>
          </w:tcPr>
          <w:p>
            <w:r>
              <w:rPr>
                <w:b/>
                <w:color w:val="FFFFFF"/>
                <w:sz w:val="14"/>
              </w:rPr>
              <w:t>Recovery outcome</w:t>
            </w:r>
          </w:p>
        </w:tc>
      </w:tr>
      <w:tr>
        <w:tc>
          <w:tcPr>
            <w:tcW w:type="dxa" w:w="2088"/>
            <w:vAlign w:val="center"/>
          </w:tcPr>
          <w:p>
            <w:pPr>
              <w:spacing w:after="20"/>
            </w:pPr>
            <w:r>
              <w:rPr>
                <w:sz w:val="14"/>
              </w:rPr>
              <w:t>Phishing; accidental deletion; sync failure; vendor outage</w:t>
            </w:r>
          </w:p>
        </w:tc>
        <w:tc>
          <w:tcPr>
            <w:tcW w:type="dxa" w:w="2376"/>
            <w:vAlign w:val="center"/>
          </w:tcPr>
          <w:p>
            <w:pPr>
              <w:spacing w:after="20"/>
            </w:pPr>
            <w:r>
              <w:rPr>
                <w:sz w:val="14"/>
              </w:rPr>
              <w:t>MFA; least privilege; versioning; backups; publishing controls</w:t>
            </w:r>
          </w:p>
        </w:tc>
        <w:tc>
          <w:tcPr>
            <w:tcW w:type="dxa" w:w="2088"/>
            <w:vAlign w:val="center"/>
          </w:tcPr>
          <w:p>
            <w:pPr>
              <w:spacing w:after="20"/>
            </w:pPr>
            <w:r>
              <w:rPr>
                <w:sz w:val="14"/>
              </w:rPr>
              <w:t>Team cannot trust or access current approved data</w:t>
            </w:r>
          </w:p>
        </w:tc>
        <w:tc>
          <w:tcPr>
            <w:tcW w:type="dxa" w:w="2520"/>
            <w:vAlign w:val="center"/>
          </w:tcPr>
          <w:p>
            <w:pPr>
              <w:spacing w:after="20"/>
            </w:pPr>
            <w:r>
              <w:rPr>
                <w:sz w:val="14"/>
              </w:rPr>
              <w:t>Incident lead; freeze publishing; offline pack; verified backup; issue log</w:t>
            </w:r>
          </w:p>
        </w:tc>
        <w:tc>
          <w:tcPr>
            <w:tcW w:type="dxa" w:w="2016"/>
            <w:vAlign w:val="center"/>
          </w:tcPr>
          <w:p>
            <w:pPr>
              <w:spacing w:after="20"/>
            </w:pPr>
            <w:r>
              <w:rPr>
                <w:sz w:val="14"/>
              </w:rPr>
              <w:t>Integrity checked; corrected revision approved; users notified; lessons tracked</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RISK MITIGATION &amp; CONTINGENCY PLANNING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