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4.  IMPLEMENTATION</w:t>
      </w:r>
    </w:p>
    <w:p>
      <w:pPr>
        <w:spacing w:after="12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This chapter presents the complete implementation of ZERO-DAY MARKET, covering the project structure, the technology stack, and a detailed walkthrough of each module. The application is built as a full-stack Next.js 16 project using the App Router paradigm, which co-locates the frontend pages, server-side API routes, and shared business logic within a single repository. All source code resides in the frontend/ sub-directory of the repository.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4.1  Project Structure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repository is organised into a top-level directory (ZERO-DAY/) that contains the Next.js frontend application and a set of experimental Python scripts used for AI model research. The following directory tree represents the canonical structure of the project: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ZERO-DAY/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├── frontend/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├── app/                   ← Next.js App Router (pages + API routes)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│   ├── page.tsx           ← Landing / Splash page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│   ├── layout.tsx         ← Root layout with fonts and providers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│   ├── globals.css        ← Global stylesheet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│   ├── signup/            ← Authentication page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│   ├── welcome/           ← Post-signup onboarding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│   ├── onboarding/        ← Knowledge-level selection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│   ├── ledger/            ← Scenario library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│   ├── sim/[id]/          ← Dynamic simulation routes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│   │   ├── prep/          ← Pre-trade briefing room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│   │   └── live/          ← Real-time trading simulation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│   └── api/               ← Server-side API endpoints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│       ├── copilot/       ← AI trading coach (streaming)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│       ├── feedback/      ← Post-trade AI feedback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│       ├── tutor/         ← Prep Room AI analyst (ORUS)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│       ├── sentiment/     ← News headline sentiment scorer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│       └── portfolio-feedback/ ← Portfolio run debrief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├── components/            ← Reusable React components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│   ├── layout/            ← Sidebar and dashboard shell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│   ├── prep/              ← 24 Prep Room components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│   ├── live/              ← 11 Live Trading components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│   ├── portfolio/         ← 16 Portfolio Game components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│   ├── ledger/            ←  9 Scenario Library components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│   ├── gameplay/          ← Shared cross-mode components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│   └── ui/                ← Design-system primitives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├── lib/                   ← Shared business logic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│   ├── data/              ← Static historical data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│   │   ├── scenarios.ts   ← 10 scenario definitions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│   │   └── scenarios/cov-20/ ← Full intraday data (COV-20)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│   ├── contexts/          ← React global state providers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│   ├── hooks/             ← Custom game-logic hooks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│   ├── utils/             ← Pure utility functions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│   └── ai/                ← Groq API client wrapper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├── types/                 ← TypeScript type definitions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├── middleware.ts          ← Supabase auth middleware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│   └── next.config.ts        ← Framework configuration</w:t>
      </w:r>
    </w:p>
    <w:p>
      <w:pPr>
        <w:spacing w:before="0" w:after="0"/>
        <w:ind w:left="720"/>
      </w:pPr>
      <w:r>
        <w:rPr>
          <w:rFonts w:ascii="Courier New" w:hAnsi="Courier New"/>
          <w:color w:val="000000"/>
          <w:sz w:val="18"/>
        </w:rPr>
        <w:t>└── [Python research scripts]  ← AI model experiments</w:t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separation of concerns follows the convention established by the Next.js App Router: pages are co-located with their routes, server-side logic lives exclusively in app/api/ handlers, and all reusable business logic is extracted into lib/. This structure ensures that no server-side secrets (API keys) are ever bundled into the client-side JavaScript.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Table 4.1 – Top-Level Directory Descriptions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1"/>
        <w:gridCol w:w="4501"/>
      </w:tblGrid>
      <w:tr>
        <w:tc>
          <w:tcPr>
            <w:tcW w:type="dxa" w:w="3118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Directory / File</w:t>
            </w:r>
          </w:p>
        </w:tc>
        <w:tc>
          <w:tcPr>
            <w:tcW w:type="dxa" w:w="5953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Purpose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frontend/app/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All Next.js pages and server API route handlers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frontend/components/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Reusable React UI components grouped by feature area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frontend/lib/data/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Static historical market data (scenarios, OHLCV, news events)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frontend/lib/contexts/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React Context providers supplying global application state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frontend/lib/hooks/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Custom hooks encapsulating game engine logic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frontend/lib/utils/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Pure utility functions: scoring, maths, audio, telemetry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frontend/lib/ai/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Groq API client with automatic key-rotation fallback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frontend/types/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Shared TypeScript interfaces for domain objects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middleware.ts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Next.js edge middleware enforcing authentication</w:t>
            </w:r>
          </w:p>
        </w:tc>
      </w:tr>
    </w:tbl>
    <w:p/>
    <w:p>
      <w:pPr>
        <w:spacing w:after="20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Table 4.1: Description of major project directories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4.2  Modules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application is decomposed into eight discrete modules. Each module corresponds to a cohesive concern—authentication, scenario data, game simulation, AI coaching, scoring, telemetry, audio, and the frontend presentation layer. The sub-sections below describe each module in detail.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4.2.1  Authentication Module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authentication module uses Supabase Auth with the @supabase/ssr adapter, enabling secure, cookie-based sessions that are accessible to both the server and the browser. The module consists of three components:</w:t>
      </w:r>
    </w:p>
    <w:p>
      <w:pPr>
        <w:pStyle w:val="ListBullet"/>
        <w:spacing w:after="60"/>
        <w:ind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Signup / Login page (app/signup/page.tsx) – Collects user credentials and calls Supabase's signUp / signInWithPassword methods. On success, a session cookie is written by the SSR adapter.</w:t>
      </w:r>
    </w:p>
    <w:p>
      <w:pPr>
        <w:pStyle w:val="ListBullet"/>
        <w:spacing w:after="60"/>
        <w:ind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OAuth callback handler (app/auth/callback/) – Exchanges the authorisation code returned by Supabase's OAuth flow for a live session.</w:t>
      </w:r>
    </w:p>
    <w:p>
      <w:pPr>
        <w:pStyle w:val="ListBullet"/>
        <w:spacing w:after="60"/>
        <w:ind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Edge Middleware (middleware.ts) – Intercepts every incoming HTTP request, verifies the session token with Supabase, and enforces route protection rules. Protected routes redirect unauthenticated users to /signup; authenticated users visiting auth routes are redirected to /dashboard.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graceful degradation strategy is implemented: if the Supabase environment variables (NEXT_PUBLIC_SUPABASE_URL and NEXT_PUBLIC_SUPABASE_ANON_KEY) are absent, the middleware skips all checks and passes requests through unchanged. This allows the application to run in a local development environment without requiring a Supabase project.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4.2.2  Scenario Data Module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scenario data module is the single source of truth for all historical market events and the price data that drives the simulation. It is implemented as a set of TypeScript data files under lib/data/.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Scenario Metadata (lib/data/scenarios.ts)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Ten historical scenarios are defined, each conforming to a strongly-typed Scenario interface. The interface captures the scenario identifier, the ticker symbol, the historical date and market time, a difficulty rating (1–5), estimated play time, community solve-rate statistics, a sparkline dataset for visual preview, and a briefingText field containing pre-formatted HTML-like markup for the dossier overlay.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1"/>
        <w:gridCol w:w="2251"/>
        <w:gridCol w:w="2251"/>
        <w:gridCol w:w="2251"/>
      </w:tblGrid>
      <w:tr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Scenario ID</w:t>
            </w:r>
          </w:p>
        </w:tc>
        <w:tc>
          <w:tcPr>
            <w:tcW w:type="dxa" w:w="3118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Event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Category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Difficulty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lehman-2008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Lehman Brothers Collapse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Crash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4 – Hard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covid-crash-2020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COVID Market Panic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Crash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3 – Medium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gamestop-2021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GameStop Short Squeeze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Social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 – Expert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apple-earnings-2020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Apple Surprise Quarter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Earnings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 – Easy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tesla-earnings-2019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Tesla Shocks the Bears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Earnings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3 – Medium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netflix-miss-2019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Netflix Subscriber Shock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Earnings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3 – Medium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brexit-2016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Brexit Referendum Shock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Economic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4 – Hard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flash-crash-2010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The Flash Crash of 2010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Technical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4 – Hard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crypto-winter-2018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Crypto Winter 2018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Black Swan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 – Expert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india-demonetization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India Demonetization 2016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Economic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3 – Medium</w:t>
            </w:r>
          </w:p>
        </w:tc>
      </w:tr>
    </w:tbl>
    <w:p/>
    <w:p>
      <w:pPr>
        <w:spacing w:after="20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Table 4.2: Historical scenarios available in the Scenario Library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Intraday Price Data — COV-20 (lib/data/scenarios/cov-20/)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COVID-19 crash scenario (March 9, 2020) is the first fully-implemented live scenario, comprising six sub-files:</w:t>
      </w:r>
    </w:p>
    <w:p>
      <w:pPr>
        <w:pStyle w:val="ListBullet"/>
        <w:spacing w:after="60"/>
        <w:ind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timeline.ts – Generates 75 five-minute OHLCV (Open-High-Low-Close-Volume) bars for six Indian stocks (INDIGO, SUNPHARMA, RELIANCE, HDFCBANK, TITAN, TCS) using a deterministic pseudo-random number generator (mulberry32). Historical targets for the open percentage, intraday low percentage, and closing percentage are encoded for each stock; the PRNG adds realistic micro-noise while keeping the chart identical across page reloads.</w:t>
      </w:r>
    </w:p>
    <w:p>
      <w:pPr>
        <w:pStyle w:val="ListBullet"/>
        <w:spacing w:after="60"/>
        <w:ind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live-events.ts – Defines twenty time-stamped news events, eleven ORUS coaching whispers, and one circuit-breaker halt event. Each news event carries a severity rating and a classification of either signal (actionable market information) or noise (distracting but irrelevant information), training users to distinguish between the two.</w:t>
      </w:r>
    </w:p>
    <w:p>
      <w:pPr>
        <w:pStyle w:val="ListBullet"/>
        <w:spacing w:after="60"/>
        <w:ind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companies.ts and stocks.ts – Static fundamental data used in the Prep Room dossier cards.</w:t>
      </w:r>
    </w:p>
    <w:p>
      <w:pPr>
        <w:pStyle w:val="ListBullet"/>
        <w:spacing w:after="60"/>
        <w:ind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macro.ts – Macro-economic backdrop data (global indices, commodity prices) displayed in the macro-intelligence rail.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4.2.3  Game Engine Module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game engine module contains all real-time simulation logic. It is split into two engines serving the two game modes.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A.  Live Trading Engine (lib/contexts/live-session-context.tsx)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live trading engine is implemented as a React Context backed by a useReducer state machine. The full session state is represented as a single immutable object updated exclusively through dispatched actions, ensuring predictable state transitions.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1"/>
        <w:gridCol w:w="4501"/>
      </w:tblGrid>
      <w:tr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Action Type</w:t>
            </w:r>
          </w:p>
        </w:tc>
        <w:tc>
          <w:tcPr>
            <w:tcW w:type="dxa" w:w="6803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Effect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START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Transitions status from PRE_OPEN to LIVE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TICK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Advances currentMinute, fires circuit breakers, matches orders, records equity point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PLACE_ORDER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Validates funds/position, appends order; MARKET orders fill immediately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CANCEL_ORDER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Sets order status to CANCELLED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SET_STOP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Attaches a stop-loss price to an open position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PAUSE / RESUME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Toggles session between LIVE and PAUSED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SKIP_HALT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Jumps time to end of circuit-breaker halt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END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Closes the session; triggers auto square-off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SET_SPEED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Changes tick rate: 1× (1500 ms), 5× (300 ms), 10× (150 ms)</w:t>
            </w:r>
          </w:p>
        </w:tc>
      </w:tr>
    </w:tbl>
    <w:p/>
    <w:p>
      <w:pPr>
        <w:spacing w:after="20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Table 4.3: Live Trading Engine reducer actions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tick loop fires at an interval determined by the selected speed multiplier. On every tick, the reducer: (1) advances the simulated clock; (2) checks for circuit-breaker triggers and halts the session if required; (3) calls matchOrders() to fill any pending LIMIT, SL, or SL-M orders whose trigger price has been crossed; and (4) appends a data point to the running equity curve. At session end (minute 375, representing 15:30 IST), all open positions are automatically squared off at the prevailing market price.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B.  Portfolio Construction Engine (lib/hooks/use-portfolio-game.ts)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portfolio game engine is implemented as a custom React hook (usePortfolioGame) that manages an eight-state machine: intro → allocating → running → rebalance → flash_crash → running → closed → results. Users allocate virtual capital (₹1,00,000) across six stocks at the start. During the running phase, four scripted news events pause the game and open fifteen-second rebalance windows, forcing the user to make portfolio adjustment decisions under time pressure. A flash-crash event presents a binary decision: panic-sell all positions at distressed prices, or hold through the volatility. At game end, the engine computes:</w:t>
      </w:r>
    </w:p>
    <w:p>
      <w:pPr>
        <w:pStyle w:val="ListBullet"/>
        <w:spacing w:after="60"/>
        <w:ind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Final P&amp;L in rupees and percentage</w:t>
      </w:r>
    </w:p>
    <w:p>
      <w:pPr>
        <w:pStyle w:val="ListBullet"/>
        <w:spacing w:after="60"/>
        <w:ind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Diversification score using the Herfindahl-Hirschman Index (HHI), scaled 0–5</w:t>
      </w:r>
    </w:p>
    <w:p>
      <w:pPr>
        <w:pStyle w:val="ListBullet"/>
        <w:spacing w:after="60"/>
        <w:ind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A do-nothing benchmark (performance if initial allocation was held unchanged)</w:t>
      </w:r>
    </w:p>
    <w:p>
      <w:pPr>
        <w:pStyle w:val="ListBullet"/>
        <w:spacing w:after="60"/>
        <w:ind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A perfect-play benchmark (performance of the optimal sector-rotation strategy)</w:t>
      </w:r>
    </w:p>
    <w:p>
      <w:pPr>
        <w:pStyle w:val="ListBullet"/>
        <w:spacing w:after="60"/>
        <w:ind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A list of detected mistakes (panic sell, over-concentration, wrong sector hold)</w:t>
      </w:r>
    </w:p>
    <w:p>
      <w:pPr>
        <w:pStyle w:val="ListBullet"/>
        <w:spacing w:after="60"/>
        <w:ind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Causal rules unlocked by the user's observed behaviour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4.2.4  Artificial Intelligence Module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AI module provides five server-side API endpoints, all powered by the Groq inference API running the llama-3.1-8b-instant large language model. Groq is selected for its sub-500 ms response latency, which is essential for a real-time trading environment. A key-rotation fallback wrapper (lib/ai/groq-client.ts) distributes requests across up to four API keys; if a key returns HTTP 429 (rate-limited), the next key is tried automatically.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1"/>
        <w:gridCol w:w="2251"/>
        <w:gridCol w:w="2251"/>
        <w:gridCol w:w="2251"/>
      </w:tblGrid>
      <w:tr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Endpoint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Mode</w:t>
            </w:r>
          </w:p>
        </w:tc>
        <w:tc>
          <w:tcPr>
            <w:tcW w:type="dxa" w:w="3685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Persona / Purpose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Output Format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/api/copilot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Streaming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Expert quant teacher; answers live trading questions with injected market context (price, RSI, MACD, current news)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Plain text stream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/api/copilot (portfolio)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Non-streaming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Portfolio whisper coach; names cognitive biases in ≤20 words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Plain text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/api/feedback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Streaming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Grades the user's prediction; returns assessment, insight, and a historical trading quote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Streaming JSON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/api/tutor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Non-streaming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ORUS — a clinical, sarcastic mentor; applies a trading concept to specific visible data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Plain text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/api/sentiment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Non-streaming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Quantitative NLP model; scores a news headline as bullish / bearish / neutral (0–100)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JSON {score, type}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/api/portfolio-feedback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Non-streaming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Trading coach; cites specific ₹ decisions and names one cognitive bias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JSON {headline, winMoment, costMoment, bias, proTip}</w:t>
            </w:r>
          </w:p>
        </w:tc>
      </w:tr>
    </w:tbl>
    <w:p/>
    <w:p>
      <w:pPr>
        <w:spacing w:after="20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Table 4.4: AI API endpoints, modes, and output formats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Each endpoint constructs a carefully engineered system prompt that constrains the model's persona, output length, and format. For the portfolio feedback endpoint, a buildSummary() function first converts the PortfolioRunResult object into a plain-English narrative (allocation snapshots, detected mistakes, diversification score, rules unlocked) before passing it to the model, ensuring the AI feedback is grounded in the user's actual decisions.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4.2.5  Scoring and Progression Module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scoring and progression module persists all user statistics to the browser's localStorage under the key zdm_user_v2. The stored structure tracks XP, level, daily streak, completed scenarios, accuracy history, and unlocked badges.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XP Calculation (lib/utils/scoring.ts)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Each scenario prediction is scored across three dimensions:</w:t>
      </w:r>
    </w:p>
    <w:p>
      <w:pPr>
        <w:pStyle w:val="ListBullet"/>
        <w:spacing w:after="60"/>
        <w:ind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Direction Score: 50 points if the predicted price direction (up / down / flat) matches the historical outcome, otherwise 0.</w:t>
      </w:r>
    </w:p>
    <w:p>
      <w:pPr>
        <w:pStyle w:val="ListBullet"/>
        <w:spacing w:after="60"/>
        <w:ind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Magnitude Score: Up to 50 points based on proximity of the predicted percentage magnitude to the actual outcome. A perfect magnitude prediction earns 50 points; the score decays linearly.</w:t>
      </w:r>
    </w:p>
    <w:p>
      <w:pPr>
        <w:pStyle w:val="ListBullet"/>
        <w:spacing w:after="60"/>
        <w:ind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Confidence Bonus: A multiplier based on the user's stated confidence (1–5 stars). High confidence on a correct call earns +20 points; high confidence on a wrong call incurs a −10 penalty.</w:t>
      </w:r>
    </w:p>
    <w:p>
      <w:pPr>
        <w:pStyle w:val="ListBullet"/>
        <w:spacing w:after="60"/>
        <w:ind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Total XP = max(0, direction + magnitude + confidence) × 1.5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Levelling System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Seven XP thresholds define the level ladder: 0, 500, 1500, 3000, 6000, 10,000, and 20,000 XP. Separately, a rank title (Novice Trader → Master Trader) is awarded based on the number of completed scenarios. Five badge types are checked after every session: first-trade, first-correct, streak-7, 10-scenarios, and crash-direction.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4.2.6  Telemetry Module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telemetry module (lib/utils/telemetry.ts) silently records user behaviour during the Prep Room session to enable data-driven post-game coaching. Events are time-stamped relative to the session start and persisted to localStorage under zdm_prep_telemetry_{scenarioId}. The following event types are captured: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1"/>
        <w:gridCol w:w="4501"/>
      </w:tblGrid>
      <w:tr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Event Type</w:t>
            </w:r>
          </w:p>
        </w:tc>
        <w:tc>
          <w:tcPr>
            <w:tcW w:type="dxa" w:w="652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Data Captured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artifact-view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Stock symbol, artifact name, time spent viewing (ms)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tutor-open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Stock symbol and artifact that triggered the AI query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tutor-marked-studied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Confirmation that user acknowledged the AI explanation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tab-blur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Timestamp when user switched away from the application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allocation-change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Stock symbol and new rupee allocation value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deploy-clicked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Elapsed seconds from session start to deploy action</w:t>
            </w:r>
          </w:p>
        </w:tc>
      </w:tr>
    </w:tbl>
    <w:p/>
    <w:p>
      <w:pPr>
        <w:spacing w:after="20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Table 4.5: Telemetry event types recorded during the Prep Room session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summarizeSession() function aggregates the raw event log into derived metrics: total session duration, time spent per artifact, tutor open count, list of artifacts skipped before deploying, number of allocation changes, and time-to-deploy. These metrics feed the post-session ORUS debrief.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4.2.7  Audio Module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audio module (lib/utils/sound.ts) synthesises all in-game sound effects using the browser's Web Audio API with no external library dependency. Eight named sounds are defined: opening-bell, closing-bell, breaking-news, flash-crash, tick-soft, rule-unlock, buy, and sell. Each sound is synthesised by scheduling one or more oscillator nodes (sine, triangle, square, or sawtooth waveform) with gain envelopes that produce realistic attack and decay characteristics. A throttle mechanism prevents high-frequency sounds (such as tick-soft) from firing more than once every four seconds. A global mute flag allows users to silence all audio without disrupting the game state.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4.2.8  Frontend Presentation Module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frontend presentation module encompasses all React components and the design system that governs the visual language of the application.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Design System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application uses a cinematic terminal aesthetic inspired by professional trading terminals and espionage film interfaces. The colour palette is built on a near-black background (#050505), a primary accent of red (#dc2626), and off-white text (#e8e8e8). Monetary gains are rendered in green (#22c55e) and losses in red (#ef4444). Typography uses Anton for large display headlines, Geist Sans for interface labels, and Geist Mono for all numeric values with tabular-nums enabled to prevent layout shift during live price updates. Animation is handled by Framer Motion throughout, with staggered entry transitions on all page loads.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Component Organisation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Components are grouped into seven directories, each scoped to a specific feature area. Shared design-system primitives (Button, Card, Badge, Input, Logo) live in components/ui/ and enforce consistent styling. Feature-specific components are never imported across feature boundaries; all cross-feature sharing passes through the ui/ primitives or the lib/ utilities.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Component Directory</w:t>
            </w:r>
          </w:p>
        </w:tc>
        <w:tc>
          <w:tcPr>
            <w:tcW w:type="dxa" w:w="85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Count</w:t>
            </w:r>
          </w:p>
        </w:tc>
        <w:tc>
          <w:tcPr>
            <w:tcW w:type="dxa" w:w="56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Key Components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components/prep/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24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DossierWorkbench, StockCardGrid, Artifacts, TutorDrawer, MacroIntelRail, AllocPanel, PrepHUD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components/live/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LiveChart, LiveHUD, BottomDock, RightRail, Overlays, LiveTutorial, LiveCoachPrompts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components/portfolio/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16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TradingFloor, StockCard, RebalanceModal, FlashCrashOverlay, CausalPulseOverlay, Results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components/ledger/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9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BookFrame, BriefingOverlay, BookmarkShelf, LedgerHUD, MarketChronicleTicker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components/gameplay/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6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AiTutor, CandlestickChart, MarketDrawer, NewsDrawer, ScenarioChart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components/layout/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2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Sidebar, DashboardContent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components/ui/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Button, Card, Badge, Input, Logo, ParticleTextEffect, SpookySmokeAnimation</w:t>
            </w:r>
          </w:p>
        </w:tc>
      </w:tr>
    </w:tbl>
    <w:p/>
    <w:p>
      <w:pPr>
        <w:spacing w:after="20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Table 4.6: Component directories, counts, and representative components</w:t>
      </w:r>
    </w:p>
    <w:sectPr w:rsidR="00FC693F" w:rsidRPr="0006063C" w:rsidSect="00034616">
      <w:pgSz w:w="12240" w:h="15840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