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b/>
          <w:i w:val="0"/>
          <w:color w:val="000000"/>
          <w:sz w:val="28"/>
        </w:rPr>
        <w:t>5.  RESULTS AND DISCUSSION</w:t>
      </w:r>
    </w:p>
    <w:p>
      <w:pPr>
        <w:spacing w:after="120"/>
        <w:ind w:firstLine="720"/>
        <w:jc w:val="both"/>
      </w:pPr>
      <w:r>
        <w:rPr>
          <w:rFonts w:ascii="Times New Roman" w:hAnsi="Times New Roman"/>
          <w:b w:val="0"/>
          <w:i w:val="0"/>
          <w:color w:val="000000"/>
          <w:sz w:val="24"/>
        </w:rPr>
        <w:t>This chapter presents the results obtained from the implementation and testing of ZERO-DAY MARKET. It covers the visual output of each major screen, a performance analysis of the system under realistic usage conditions, and a comprehensive evaluation of the project outcomes against the original objectives.</w:t>
      </w:r>
    </w:p>
    <w:p>
      <w:pPr>
        <w:spacing w:before="240" w:after="120"/>
      </w:pPr>
      <w:r>
        <w:rPr>
          <w:rFonts w:ascii="Times New Roman" w:hAnsi="Times New Roman"/>
          <w:b/>
          <w:i w:val="0"/>
          <w:color w:val="000000"/>
          <w:sz w:val="26"/>
        </w:rPr>
        <w:t>5.1  Output Screens</w:t>
      </w:r>
    </w:p>
    <w:p>
      <w:pPr>
        <w:spacing w:after="120"/>
        <w:ind w:firstLine="720"/>
        <w:jc w:val="both"/>
      </w:pPr>
      <w:r>
        <w:rPr>
          <w:rFonts w:ascii="Times New Roman" w:hAnsi="Times New Roman"/>
          <w:b w:val="0"/>
          <w:i w:val="0"/>
          <w:color w:val="000000"/>
          <w:sz w:val="24"/>
        </w:rPr>
        <w:t>The following sub-sections present annotated screenshots of every major screen in the application, accompanied by a description of the UI/UX flow and a walkthrough of the complete user interaction sequence.</w:t>
      </w:r>
    </w:p>
    <w:p>
      <w:pPr>
        <w:spacing w:before="240" w:after="120"/>
      </w:pPr>
      <w:r>
        <w:rPr>
          <w:rFonts w:ascii="Times New Roman" w:hAnsi="Times New Roman"/>
          <w:b/>
          <w:i w:val="0"/>
          <w:color w:val="000000"/>
          <w:sz w:val="24"/>
        </w:rPr>
        <w:t>5.1.1  Landing Page — Cinematic Splash Screen</w:t>
      </w:r>
    </w:p>
    <w:p>
      <w:pPr>
        <w:jc w:val="center"/>
      </w:pPr>
      <w:r>
        <w:drawing>
          <wp:inline xmlns:a="http://schemas.openxmlformats.org/drawingml/2006/main" xmlns:pic="http://schemas.openxmlformats.org/drawingml/2006/picture">
            <wp:extent cx="5400000" cy="2981502"/>
            <wp:docPr id="1" name="Picture 1"/>
            <wp:cNvGraphicFramePr>
              <a:graphicFrameLocks noChangeAspect="1"/>
            </wp:cNvGraphicFramePr>
            <a:graphic>
              <a:graphicData uri="http://schemas.openxmlformats.org/drawingml/2006/picture">
                <pic:pic>
                  <pic:nvPicPr>
                    <pic:cNvPr id="0" name="landing_page_1777997506578.png"/>
                    <pic:cNvPicPr/>
                  </pic:nvPicPr>
                  <pic:blipFill>
                    <a:blip r:embed="rId9"/>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5.1: ZERO-DAY MARKET Landing Page (/)  — Cinematic full-screen video background with real-time market ticker</w:t>
      </w:r>
    </w:p>
    <w:p>
      <w:pPr>
        <w:spacing w:after="120"/>
        <w:ind w:firstLine="720"/>
        <w:jc w:val="both"/>
      </w:pPr>
      <w:r>
        <w:rPr>
          <w:rFonts w:ascii="Times New Roman" w:hAnsi="Times New Roman"/>
          <w:b w:val="0"/>
          <w:i w:val="0"/>
          <w:color w:val="000000"/>
          <w:sz w:val="24"/>
        </w:rPr>
        <w:t>The landing page (route /) is the first screen a visitor encounters. It is designed to create an immediate premium impression through a combination of cinematic visual elements. The full-screen background displays a looping trading floor video with a radial gradient vignette overlay. A live UTC clock updates every second. A horizontally scrolling market ticker at the top displays twelve real-time symbols including NIFTY 50, BTC/USD, SENSEX, and VIX, with green (positive) and red (negative) directional arrows.</w:t>
      </w:r>
    </w:p>
    <w:p>
      <w:pPr>
        <w:spacing w:after="120"/>
        <w:ind w:firstLine="720"/>
        <w:jc w:val="both"/>
      </w:pPr>
      <w:r>
        <w:rPr>
          <w:rFonts w:ascii="Times New Roman" w:hAnsi="Times New Roman"/>
          <w:b w:val="0"/>
          <w:i w:val="0"/>
          <w:color w:val="000000"/>
          <w:sz w:val="24"/>
        </w:rPr>
        <w:t>The hero section features the brand name rendered in a large Anton typeface with a hollow red stroke effect. The tagline 'Trade history's most volatile moments. No tutorials. Pure consequence.' communicates the application's philosophy. A sound toggle button in the top-right corner allows users to unmute the ambient audio. The primary call-to-action button, labelled ENTER THE TERMINAL, navigates to the signup page when clicked. All visual elements animate in sequentially using Framer Motion with staggered delays spanning approximately 2.5 seconds.</w:t>
      </w:r>
    </w:p>
    <w:p>
      <w:pPr>
        <w:spacing w:before="240" w:after="120"/>
      </w:pPr>
      <w:r>
        <w:rPr>
          <w:rFonts w:ascii="Times New Roman" w:hAnsi="Times New Roman"/>
          <w:b/>
          <w:i w:val="0"/>
          <w:color w:val="000000"/>
          <w:sz w:val="24"/>
        </w:rPr>
        <w:t>5.1.2  Authentication Page — Signup and Login</w:t>
      </w:r>
    </w:p>
    <w:p>
      <w:pPr>
        <w:jc w:val="center"/>
      </w:pPr>
      <w:r>
        <w:drawing>
          <wp:inline xmlns:a="http://schemas.openxmlformats.org/drawingml/2006/main" xmlns:pic="http://schemas.openxmlformats.org/drawingml/2006/picture">
            <wp:extent cx="5400000" cy="2981502"/>
            <wp:docPr id="2" name="Picture 2"/>
            <wp:cNvGraphicFramePr>
              <a:graphicFrameLocks noChangeAspect="1"/>
            </wp:cNvGraphicFramePr>
            <a:graphic>
              <a:graphicData uri="http://schemas.openxmlformats.org/drawingml/2006/picture">
                <pic:pic>
                  <pic:nvPicPr>
                    <pic:cNvPr id="0" name="signup_page_1777997519509.png"/>
                    <pic:cNvPicPr/>
                  </pic:nvPicPr>
                  <pic:blipFill>
                    <a:blip r:embed="rId10"/>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5.2: Signup Page (/signup)  — Split-panel layout with OAuth and email/password authentication</w:t>
      </w:r>
    </w:p>
    <w:p>
      <w:pPr>
        <w:spacing w:after="120"/>
        <w:ind w:firstLine="720"/>
        <w:jc w:val="both"/>
      </w:pPr>
      <w:r>
        <w:rPr>
          <w:rFonts w:ascii="Times New Roman" w:hAnsi="Times New Roman"/>
          <w:b w:val="0"/>
          <w:i w:val="0"/>
          <w:color w:val="000000"/>
          <w:sz w:val="24"/>
        </w:rPr>
        <w:t>The signup page adopts a full-viewport split-panel layout. The left panel features the application logo, the tagline 'Join the traders who learn from history', and three trust indicators: '50+ scenarios', 'Zero risk', and 'Free'. A custom AI-generated illustration of a bear market figure forms the visual centrepiece of the left panel.</w:t>
      </w:r>
    </w:p>
    <w:p>
      <w:pPr>
        <w:spacing w:after="120"/>
        <w:ind w:firstLine="720"/>
        <w:jc w:val="both"/>
      </w:pPr>
      <w:r>
        <w:rPr>
          <w:rFonts w:ascii="Times New Roman" w:hAnsi="Times New Roman"/>
          <w:b w:val="0"/>
          <w:i w:val="0"/>
          <w:color w:val="000000"/>
          <w:sz w:val="24"/>
        </w:rPr>
        <w:t>The right panel presents the authentication form. Users may sign up via Google OAuth, Apple OAuth, or a traditional email and password form. The password field enforces a minimum of ten characters. On successful account creation, Supabase Auth issues a secure, cookie-based session and redirects the user to the welcome screen. Returning users are directed to the Sign In link, which presents the same form in login mode. The middleware prevents authenticated users from revisiting this page, redirecting them automatically to the dashboard.</w:t>
      </w:r>
    </w:p>
    <w:p>
      <w:pPr>
        <w:spacing w:before="240" w:after="120"/>
      </w:pPr>
      <w:r>
        <w:rPr>
          <w:rFonts w:ascii="Times New Roman" w:hAnsi="Times New Roman"/>
          <w:b/>
          <w:i w:val="0"/>
          <w:color w:val="000000"/>
          <w:sz w:val="24"/>
        </w:rPr>
        <w:t>5.1.3  Scenario Library — The Ledger</w:t>
      </w:r>
    </w:p>
    <w:p>
      <w:pPr>
        <w:jc w:val="center"/>
      </w:pPr>
      <w:r>
        <w:drawing>
          <wp:inline xmlns:a="http://schemas.openxmlformats.org/drawingml/2006/main" xmlns:pic="http://schemas.openxmlformats.org/drawingml/2006/picture">
            <wp:extent cx="5400000" cy="2981502"/>
            <wp:docPr id="3" name="Picture 3"/>
            <wp:cNvGraphicFramePr>
              <a:graphicFrameLocks noChangeAspect="1"/>
            </wp:cNvGraphicFramePr>
            <a:graphic>
              <a:graphicData uri="http://schemas.openxmlformats.org/drawingml/2006/picture">
                <pic:pic>
                  <pic:nvPicPr>
                    <pic:cNvPr id="0" name="scenario_library_1777997532939.png"/>
                    <pic:cNvPicPr/>
                  </pic:nvPicPr>
                  <pic:blipFill>
                    <a:blip r:embed="rId11"/>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5.3: Scenario Library (/ledger)  — Antique book-style interface with bookmark shelf, case browser, and trader profile</w:t>
      </w:r>
    </w:p>
    <w:p>
      <w:pPr>
        <w:spacing w:after="120"/>
        <w:ind w:firstLine="720"/>
        <w:jc w:val="both"/>
      </w:pPr>
      <w:r>
        <w:rPr>
          <w:rFonts w:ascii="Times New Roman" w:hAnsi="Times New Roman"/>
          <w:b w:val="0"/>
          <w:i w:val="0"/>
          <w:color w:val="000000"/>
          <w:sz w:val="24"/>
        </w:rPr>
        <w:t>The Scenario Library, referred to in the interface as The Ledger, presents the collection of ten historical trading scenarios. The design language adopts an antique book or academic dossier metaphor, rendered against a dark sepia-toned background. The left panel displays a Bookmark Shelf with previously played scenarios and their recorded P&amp;L outcomes. The central panel shows the currently selected case in a book-page format, including the lesson title, learning objectives, and a Mark Complete button.</w:t>
      </w:r>
    </w:p>
    <w:p>
      <w:pPr>
        <w:spacing w:after="120"/>
        <w:ind w:firstLine="720"/>
        <w:jc w:val="both"/>
      </w:pPr>
      <w:r>
        <w:rPr>
          <w:rFonts w:ascii="Times New Roman" w:hAnsi="Times New Roman"/>
          <w:b w:val="0"/>
          <w:i w:val="0"/>
          <w:color w:val="000000"/>
          <w:sz w:val="24"/>
        </w:rPr>
        <w:t>The top navigation bar offers six volume tabs (Foundations, Drills, Crises, Patterns, Profiles, Mastery) categorising the available content. The right panel displays the user's Trader Profile Card, showing tier, level, balance, streak, win rate, and cases completed. A persistent bottom ticker scrolls market chronicle headlines. Clicking any case card triggers a full-screen briefing overlay that presents the scenario dossier before the user proceeds to the Prep Room.</w:t>
      </w:r>
    </w:p>
    <w:p>
      <w:pPr>
        <w:spacing w:before="240" w:after="120"/>
      </w:pPr>
      <w:r>
        <w:rPr>
          <w:rFonts w:ascii="Times New Roman" w:hAnsi="Times New Roman"/>
          <w:b/>
          <w:i w:val="0"/>
          <w:color w:val="000000"/>
          <w:sz w:val="24"/>
        </w:rPr>
        <w:t>5.1.4  Prep Room — Pre-Trade Briefing Dossier</w:t>
      </w:r>
    </w:p>
    <w:p>
      <w:pPr>
        <w:jc w:val="center"/>
      </w:pPr>
      <w:r>
        <w:drawing>
          <wp:inline xmlns:a="http://schemas.openxmlformats.org/drawingml/2006/main" xmlns:pic="http://schemas.openxmlformats.org/drawingml/2006/picture">
            <wp:extent cx="5400000" cy="2981502"/>
            <wp:docPr id="4" name="Picture 4"/>
            <wp:cNvGraphicFramePr>
              <a:graphicFrameLocks noChangeAspect="1"/>
            </wp:cNvGraphicFramePr>
            <a:graphic>
              <a:graphicData uri="http://schemas.openxmlformats.org/drawingml/2006/picture">
                <pic:pic>
                  <pic:nvPicPr>
                    <pic:cNvPr id="0" name="prep_room_1777997548159.png"/>
                    <pic:cNvPicPr/>
                  </pic:nvPicPr>
                  <pic:blipFill>
                    <a:blip r:embed="rId12"/>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5.4: Prep Room (/sim/[id]/prep)  — COV-20 stock dossier cards with prevClose prices, 30-day sparklines, and macro intelligence rail</w:t>
      </w:r>
    </w:p>
    <w:p>
      <w:pPr>
        <w:spacing w:after="120"/>
        <w:ind w:firstLine="720"/>
        <w:jc w:val="both"/>
      </w:pPr>
      <w:r>
        <w:rPr>
          <w:rFonts w:ascii="Times New Roman" w:hAnsi="Times New Roman"/>
          <w:b w:val="0"/>
          <w:i w:val="0"/>
          <w:color w:val="000000"/>
          <w:sz w:val="24"/>
        </w:rPr>
        <w:t>The Prep Room is the intelligence-gathering phase preceding the live simulation. For the COV-20 scenario (March 9, 2020), six stock dossier cards are presented in a two-row grid. Each card displays the stock ticker, company name, sector classification, previous closing price, a colour-coded 30-day sparkline, a 30-day percentage performance figure, and a study progress indicator (e.g., 0/6 STUDIED).</w:t>
      </w:r>
    </w:p>
    <w:p>
      <w:pPr>
        <w:spacing w:after="120"/>
        <w:ind w:firstLine="720"/>
        <w:jc w:val="both"/>
      </w:pPr>
      <w:r>
        <w:rPr>
          <w:rFonts w:ascii="Times New Roman" w:hAnsi="Times New Roman"/>
          <w:b w:val="0"/>
          <w:i w:val="0"/>
          <w:color w:val="000000"/>
          <w:sz w:val="24"/>
        </w:rPr>
        <w:t>The right panel contains the Macro Intelligence Rail, which shows three pre-market news headlines classified by severity (CRITICAL, HIGH, MEDIUM) alongside a Sector Heatmap showing expected sectoral moves (Airlines -3.2%, Pharma +1.1%, Banking -0.8%, Energy -4.5%) and a Foreign Ports panel with commodity and currency benchmarks (Brent at $34.36, down 31.2%). Clicking any stock card opens a detailed dossier modal. An AI Tutor drawer, accessible from the sidebar, allows the user to ask questions about any artifact. Once satisfied with their research, users click the Deploy Wax Seal button to enter the live simulation.</w:t>
      </w:r>
    </w:p>
    <w:p>
      <w:pPr>
        <w:spacing w:before="240" w:after="120"/>
      </w:pPr>
      <w:r>
        <w:rPr>
          <w:rFonts w:ascii="Times New Roman" w:hAnsi="Times New Roman"/>
          <w:b/>
          <w:i w:val="0"/>
          <w:color w:val="000000"/>
          <w:sz w:val="24"/>
        </w:rPr>
        <w:t>5.1.5  Live Trading Room — Real-Time Simulation</w:t>
      </w:r>
    </w:p>
    <w:p>
      <w:pPr>
        <w:jc w:val="center"/>
      </w:pPr>
      <w:r>
        <w:drawing>
          <wp:inline xmlns:a="http://schemas.openxmlformats.org/drawingml/2006/main" xmlns:pic="http://schemas.openxmlformats.org/drawingml/2006/picture">
            <wp:extent cx="5400000" cy="2981502"/>
            <wp:docPr id="5" name="Picture 5"/>
            <wp:cNvGraphicFramePr>
              <a:graphicFrameLocks noChangeAspect="1"/>
            </wp:cNvGraphicFramePr>
            <a:graphic>
              <a:graphicData uri="http://schemas.openxmlformats.org/drawingml/2006/picture">
                <pic:pic>
                  <pic:nvPicPr>
                    <pic:cNvPr id="0" name="live_trading_room_1777997563660.png"/>
                    <pic:cNvPicPr/>
                  </pic:nvPicPr>
                  <pic:blipFill>
                    <a:blip r:embed="rId13"/>
                    <a:stretch>
                      <a:fillRect/>
                    </a:stretch>
                  </pic:blipFill>
                  <pic:spPr>
                    <a:xfrm>
                      <a:off x="0" y="0"/>
                      <a:ext cx="5400000" cy="2981502"/>
                    </a:xfrm>
                    <a:prstGeom prst="rect"/>
                  </pic:spPr>
                </pic:pic>
              </a:graphicData>
            </a:graphic>
          </wp:inline>
        </w:drawing>
      </w:r>
    </w:p>
    <w:p>
      <w:pPr>
        <w:spacing w:before="60" w:after="200"/>
        <w:jc w:val="center"/>
      </w:pPr>
      <w:r>
        <w:rPr>
          <w:rFonts w:ascii="Times New Roman" w:hAnsi="Times New Roman"/>
          <w:b w:val="0"/>
          <w:i/>
          <w:color w:val="000000"/>
          <w:sz w:val="20"/>
        </w:rPr>
        <w:t>Figure 5.5: Live Trading Tutorial Overlay (/sim/[id]/live)  — Guided cinematic walkthrough of the COV-20 scenario before trading begins</w:t>
      </w:r>
    </w:p>
    <w:p>
      <w:pPr>
        <w:spacing w:after="120"/>
        <w:ind w:firstLine="720"/>
        <w:jc w:val="both"/>
      </w:pPr>
      <w:r>
        <w:rPr>
          <w:rFonts w:ascii="Times New Roman" w:hAnsi="Times New Roman"/>
          <w:b w:val="0"/>
          <w:i w:val="0"/>
          <w:color w:val="000000"/>
          <w:sz w:val="24"/>
        </w:rPr>
        <w:t>The live trading room is the core simulation interface. On first entry, a tutorial overlay walks the user through the scenario context. The example shown in Figure 5.5 presents the March 9, 2020 Black Monday scenario card, stating the conditions: COVID-19 spreading globally, Brent crude down 30%, NIFTY expected to fall approximately 8%. The tutorial explains the four ground rules: historically accurate prices, circuit breakers at -5% and -10%, Rs. 1,00,000 virtual capital, and mandatory written trade theses. A progress indicator at the bottom shows the user's position within the multi-step tutorial (step 1 of 3). The background shows the full live trading interface in a blurred, inactive state behind the overlay.</w:t>
      </w:r>
    </w:p>
    <w:p>
      <w:pPr>
        <w:spacing w:after="120"/>
        <w:ind w:firstLine="720"/>
        <w:jc w:val="both"/>
      </w:pPr>
      <w:r>
        <w:rPr>
          <w:rFonts w:ascii="Times New Roman" w:hAnsi="Times New Roman"/>
          <w:b w:val="0"/>
          <w:i w:val="0"/>
          <w:color w:val="000000"/>
          <w:sz w:val="24"/>
        </w:rPr>
        <w:t>Once the tutorial is dismissed, the full trading interface becomes active. The left panel contains a real-time candlestick chart rendered by Lightweight Charts. The bottom dock provides the order entry ticket with fields for symbol, quantity, order type (MARKET, LIMIT, SL, SL-M), and a BUY/SELL toggle. The right rail displays a scrolling news feed where events fire at historically accurate times. The HUD at the top shows live P&amp;L, positions value, available cash, and the simulated clock. Speed controls (1x, 5x, 10x) allow the user to compress or extend the 375-minute trading day.</w:t>
      </w:r>
    </w:p>
    <w:p>
      <w:pPr>
        <w:spacing w:before="240" w:after="120"/>
      </w:pPr>
      <w:r>
        <w:rPr>
          <w:rFonts w:ascii="Times New Roman" w:hAnsi="Times New Roman"/>
          <w:b/>
          <w:i w:val="0"/>
          <w:color w:val="000000"/>
          <w:sz w:val="24"/>
        </w:rPr>
        <w:t>5.1.6  Complete User Interaction Walkthrough</w:t>
      </w:r>
    </w:p>
    <w:p>
      <w:pPr>
        <w:spacing w:after="120"/>
        <w:ind w:firstLine="720"/>
        <w:jc w:val="both"/>
      </w:pPr>
      <w:r>
        <w:rPr>
          <w:rFonts w:ascii="Times New Roman" w:hAnsi="Times New Roman"/>
          <w:b w:val="0"/>
          <w:i w:val="0"/>
          <w:color w:val="000000"/>
          <w:sz w:val="24"/>
        </w:rPr>
        <w:t>The complete user journey through ZERO-DAY MARKET follows a linear progression designed to guide the user from passive observation to active decision-making:</w:t>
      </w:r>
    </w:p>
    <w:tbl>
      <w:tblPr>
        <w:tblStyle w:val="TableGrid"/>
        <w:tblW w:type="auto" w:w="0"/>
        <w:jc w:val="center"/>
        <w:tblLook w:firstColumn="1" w:firstRow="1" w:lastColumn="0" w:lastRow="0" w:noHBand="0" w:noVBand="1" w:val="04A0"/>
      </w:tblPr>
      <w:tblGrid>
        <w:gridCol w:w="4501"/>
        <w:gridCol w:w="4501"/>
      </w:tblGrid>
      <w:tr>
        <w:tc>
          <w:tcPr>
            <w:tcW w:type="dxa" w:w="2268"/>
            <w:shd w:val="clear" w:color="auto" w:fill="D9D9D9"/>
          </w:tcPr>
          <w:p>
            <w:pPr>
              <w:jc w:val="center"/>
            </w:pPr>
            <w:r/>
            <w:r>
              <w:rPr>
                <w:rFonts w:ascii="Times New Roman" w:hAnsi="Times New Roman"/>
                <w:b/>
                <w:sz w:val="22"/>
              </w:rPr>
              <w:t>Step</w:t>
            </w:r>
          </w:p>
        </w:tc>
        <w:tc>
          <w:tcPr>
            <w:tcW w:type="dxa" w:w="6803"/>
            <w:shd w:val="clear" w:color="auto" w:fill="D9D9D9"/>
          </w:tcPr>
          <w:p>
            <w:pPr>
              <w:jc w:val="center"/>
            </w:pPr>
            <w:r/>
            <w:r>
              <w:rPr>
                <w:rFonts w:ascii="Times New Roman" w:hAnsi="Times New Roman"/>
                <w:b/>
                <w:sz w:val="22"/>
              </w:rPr>
              <w:t>Action</w:t>
            </w:r>
          </w:p>
        </w:tc>
      </w:tr>
      <w:tr>
        <w:tc>
          <w:tcPr>
            <w:tcW w:type="dxa" w:w="2268"/>
          </w:tcPr>
          <w:p>
            <w:r/>
            <w:r>
              <w:rPr>
                <w:rFonts w:ascii="Times New Roman" w:hAnsi="Times New Roman"/>
                <w:sz w:val="22"/>
              </w:rPr>
              <w:t>Step 1 — Discovery</w:t>
            </w:r>
          </w:p>
        </w:tc>
        <w:tc>
          <w:tcPr>
            <w:tcW w:type="dxa" w:w="6803"/>
          </w:tcPr>
          <w:p>
            <w:r/>
            <w:r>
              <w:rPr>
                <w:rFonts w:ascii="Times New Roman" w:hAnsi="Times New Roman"/>
                <w:sz w:val="22"/>
              </w:rPr>
              <w:t>User arrives at the landing page, views the cinematic intro animation, and clicks ENTER THE TERMINAL.</w:t>
            </w:r>
          </w:p>
        </w:tc>
      </w:tr>
      <w:tr>
        <w:tc>
          <w:tcPr>
            <w:tcW w:type="dxa" w:w="2268"/>
          </w:tcPr>
          <w:p>
            <w:r/>
            <w:r>
              <w:rPr>
                <w:rFonts w:ascii="Times New Roman" w:hAnsi="Times New Roman"/>
                <w:sz w:val="22"/>
              </w:rPr>
              <w:t>Step 2 — Authentication</w:t>
            </w:r>
          </w:p>
        </w:tc>
        <w:tc>
          <w:tcPr>
            <w:tcW w:type="dxa" w:w="6803"/>
          </w:tcPr>
          <w:p>
            <w:r/>
            <w:r>
              <w:rPr>
                <w:rFonts w:ascii="Times New Roman" w:hAnsi="Times New Roman"/>
                <w:sz w:val="22"/>
              </w:rPr>
              <w:t>User creates an account via Google OAuth or email/password. Supabase issues a session cookie.</w:t>
            </w:r>
          </w:p>
        </w:tc>
      </w:tr>
      <w:tr>
        <w:tc>
          <w:tcPr>
            <w:tcW w:type="dxa" w:w="2268"/>
          </w:tcPr>
          <w:p>
            <w:r/>
            <w:r>
              <w:rPr>
                <w:rFonts w:ascii="Times New Roman" w:hAnsi="Times New Roman"/>
                <w:sz w:val="22"/>
              </w:rPr>
              <w:t>Step 3 — Onboarding</w:t>
            </w:r>
          </w:p>
        </w:tc>
        <w:tc>
          <w:tcPr>
            <w:tcW w:type="dxa" w:w="6803"/>
          </w:tcPr>
          <w:p>
            <w:r/>
            <w:r>
              <w:rPr>
                <w:rFonts w:ascii="Times New Roman" w:hAnsi="Times New Roman"/>
                <w:sz w:val="22"/>
              </w:rPr>
              <w:t>User selects knowledge level (Beginner, Intermediate, Advanced) which personalises recommended scenarios.</w:t>
            </w:r>
          </w:p>
        </w:tc>
      </w:tr>
      <w:tr>
        <w:tc>
          <w:tcPr>
            <w:tcW w:type="dxa" w:w="2268"/>
          </w:tcPr>
          <w:p>
            <w:r/>
            <w:r>
              <w:rPr>
                <w:rFonts w:ascii="Times New Roman" w:hAnsi="Times New Roman"/>
                <w:sz w:val="22"/>
              </w:rPr>
              <w:t>Step 4 — Scenario Browse</w:t>
            </w:r>
          </w:p>
        </w:tc>
        <w:tc>
          <w:tcPr>
            <w:tcW w:type="dxa" w:w="6803"/>
          </w:tcPr>
          <w:p>
            <w:r/>
            <w:r>
              <w:rPr>
                <w:rFonts w:ascii="Times New Roman" w:hAnsi="Times New Roman"/>
                <w:sz w:val="22"/>
              </w:rPr>
              <w:t>User navigates The Ledger, filters scenarios by category, and selects a historical event.</w:t>
            </w:r>
          </w:p>
        </w:tc>
      </w:tr>
      <w:tr>
        <w:tc>
          <w:tcPr>
            <w:tcW w:type="dxa" w:w="2268"/>
          </w:tcPr>
          <w:p>
            <w:r/>
            <w:r>
              <w:rPr>
                <w:rFonts w:ascii="Times New Roman" w:hAnsi="Times New Roman"/>
                <w:sz w:val="22"/>
              </w:rPr>
              <w:t>Step 5 — Briefing</w:t>
            </w:r>
          </w:p>
        </w:tc>
        <w:tc>
          <w:tcPr>
            <w:tcW w:type="dxa" w:w="6803"/>
          </w:tcPr>
          <w:p>
            <w:r/>
            <w:r>
              <w:rPr>
                <w:rFonts w:ascii="Times New Roman" w:hAnsi="Times New Roman"/>
                <w:sz w:val="22"/>
              </w:rPr>
              <w:t>A full-screen dossier overlay presents scenario context, key statistics, and historical background.</w:t>
            </w:r>
          </w:p>
        </w:tc>
      </w:tr>
      <w:tr>
        <w:tc>
          <w:tcPr>
            <w:tcW w:type="dxa" w:w="2268"/>
          </w:tcPr>
          <w:p>
            <w:r/>
            <w:r>
              <w:rPr>
                <w:rFonts w:ascii="Times New Roman" w:hAnsi="Times New Roman"/>
                <w:sz w:val="22"/>
              </w:rPr>
              <w:t>Step 6 — Intelligence</w:t>
            </w:r>
          </w:p>
        </w:tc>
        <w:tc>
          <w:tcPr>
            <w:tcW w:type="dxa" w:w="6803"/>
          </w:tcPr>
          <w:p>
            <w:r/>
            <w:r>
              <w:rPr>
                <w:rFonts w:ascii="Times New Roman" w:hAnsi="Times New Roman"/>
                <w:sz w:val="22"/>
              </w:rPr>
              <w:t>In the Prep Room, user studies stock dossier cards, queries the AI Tutor, and reviews macro data.</w:t>
            </w:r>
          </w:p>
        </w:tc>
      </w:tr>
      <w:tr>
        <w:tc>
          <w:tcPr>
            <w:tcW w:type="dxa" w:w="2268"/>
          </w:tcPr>
          <w:p>
            <w:r/>
            <w:r>
              <w:rPr>
                <w:rFonts w:ascii="Times New Roman" w:hAnsi="Times New Roman"/>
                <w:sz w:val="22"/>
              </w:rPr>
              <w:t>Step 7 — Deployment</w:t>
            </w:r>
          </w:p>
        </w:tc>
        <w:tc>
          <w:tcPr>
            <w:tcW w:type="dxa" w:w="6803"/>
          </w:tcPr>
          <w:p>
            <w:r/>
            <w:r>
              <w:rPr>
                <w:rFonts w:ascii="Times New Roman" w:hAnsi="Times New Roman"/>
                <w:sz w:val="22"/>
              </w:rPr>
              <w:t>User clicks the Deploy Wax Seal. Telemetry records time-to-deploy and all studied artifacts.</w:t>
            </w:r>
          </w:p>
        </w:tc>
      </w:tr>
      <w:tr>
        <w:tc>
          <w:tcPr>
            <w:tcW w:type="dxa" w:w="2268"/>
          </w:tcPr>
          <w:p>
            <w:r/>
            <w:r>
              <w:rPr>
                <w:rFonts w:ascii="Times New Roman" w:hAnsi="Times New Roman"/>
                <w:sz w:val="22"/>
              </w:rPr>
              <w:t>Step 8 — Live Trading</w:t>
            </w:r>
          </w:p>
        </w:tc>
        <w:tc>
          <w:tcPr>
            <w:tcW w:type="dxa" w:w="6803"/>
          </w:tcPr>
          <w:p>
            <w:r/>
            <w:r>
              <w:rPr>
                <w:rFonts w:ascii="Times New Roman" w:hAnsi="Times New Roman"/>
                <w:sz w:val="22"/>
              </w:rPr>
              <w:t>The simulation begins. User places buy/sell orders, reacts to live news events, monitors P&amp;L.</w:t>
            </w:r>
          </w:p>
        </w:tc>
      </w:tr>
      <w:tr>
        <w:tc>
          <w:tcPr>
            <w:tcW w:type="dxa" w:w="2268"/>
          </w:tcPr>
          <w:p>
            <w:r/>
            <w:r>
              <w:rPr>
                <w:rFonts w:ascii="Times New Roman" w:hAnsi="Times New Roman"/>
                <w:sz w:val="22"/>
              </w:rPr>
              <w:t>Step 9 — Session Close</w:t>
            </w:r>
          </w:p>
        </w:tc>
        <w:tc>
          <w:tcPr>
            <w:tcW w:type="dxa" w:w="6803"/>
          </w:tcPr>
          <w:p>
            <w:r/>
            <w:r>
              <w:rPr>
                <w:rFonts w:ascii="Times New Roman" w:hAnsi="Times New Roman"/>
                <w:sz w:val="22"/>
              </w:rPr>
              <w:t>At 15:30 IST, all open positions are automatically squared off. Final P&amp;L is calculated.</w:t>
            </w:r>
          </w:p>
        </w:tc>
      </w:tr>
      <w:tr>
        <w:tc>
          <w:tcPr>
            <w:tcW w:type="dxa" w:w="2268"/>
          </w:tcPr>
          <w:p>
            <w:r/>
            <w:r>
              <w:rPr>
                <w:rFonts w:ascii="Times New Roman" w:hAnsi="Times New Roman"/>
                <w:sz w:val="22"/>
              </w:rPr>
              <w:t>Step 10 — AI Debrief</w:t>
            </w:r>
          </w:p>
        </w:tc>
        <w:tc>
          <w:tcPr>
            <w:tcW w:type="dxa" w:w="6803"/>
          </w:tcPr>
          <w:p>
            <w:r/>
            <w:r>
              <w:rPr>
                <w:rFonts w:ascii="Times New Roman" w:hAnsi="Times New Roman"/>
                <w:sz w:val="22"/>
              </w:rPr>
              <w:t>Post-trade AI feedback presents an assessment, learning insight, strengths, and a historical quote.</w:t>
            </w:r>
          </w:p>
        </w:tc>
      </w:tr>
    </w:tbl>
    <w:p/>
    <w:p>
      <w:pPr>
        <w:spacing w:before="60" w:after="200"/>
        <w:jc w:val="center"/>
      </w:pPr>
      <w:r>
        <w:rPr>
          <w:rFonts w:ascii="Times New Roman" w:hAnsi="Times New Roman"/>
          <w:b w:val="0"/>
          <w:i/>
          <w:color w:val="000000"/>
          <w:sz w:val="20"/>
        </w:rPr>
        <w:t>Table 5.1: End-to-end user interaction walkthrough</w:t>
      </w:r>
    </w:p>
    <w:p>
      <w:pPr>
        <w:spacing w:before="240" w:after="120"/>
      </w:pPr>
      <w:r>
        <w:rPr>
          <w:rFonts w:ascii="Times New Roman" w:hAnsi="Times New Roman"/>
          <w:b/>
          <w:i w:val="0"/>
          <w:color w:val="000000"/>
          <w:sz w:val="26"/>
        </w:rPr>
        <w:t>5.2  Performance Analysis</w:t>
      </w:r>
    </w:p>
    <w:p>
      <w:pPr>
        <w:spacing w:after="120"/>
        <w:ind w:firstLine="720"/>
        <w:jc w:val="both"/>
      </w:pPr>
      <w:r>
        <w:rPr>
          <w:rFonts w:ascii="Times New Roman" w:hAnsi="Times New Roman"/>
          <w:b w:val="0"/>
          <w:i w:val="0"/>
          <w:color w:val="000000"/>
          <w:sz w:val="24"/>
        </w:rPr>
        <w:t>The performance of ZERO-DAY MARKET was evaluated across three dimensions: application load speed, AI inference latency, and client-side runtime performance during active simulation. All measurements were taken on a local development environment running Next.js 16 with Turbopack on Windows 11.</w:t>
      </w:r>
    </w:p>
    <w:p>
      <w:pPr>
        <w:spacing w:before="240" w:after="120"/>
      </w:pPr>
      <w:r>
        <w:rPr>
          <w:rFonts w:ascii="Times New Roman" w:hAnsi="Times New Roman"/>
          <w:b/>
          <w:i w:val="0"/>
          <w:color w:val="000000"/>
          <w:sz w:val="24"/>
        </w:rPr>
        <w:t>5.2.1  Application Load Performance</w:t>
      </w:r>
    </w:p>
    <w:p>
      <w:pPr>
        <w:spacing w:after="120"/>
        <w:ind w:firstLine="720"/>
        <w:jc w:val="both"/>
      </w:pPr>
      <w:r>
        <w:rPr>
          <w:rFonts w:ascii="Times New Roman" w:hAnsi="Times New Roman"/>
          <w:b w:val="0"/>
          <w:i w:val="0"/>
          <w:color w:val="000000"/>
          <w:sz w:val="24"/>
        </w:rPr>
        <w:t>Initial page load time is a critical metric for user retention. The following measurements were recorded for primary routes: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68"/>
            <w:shd w:val="clear" w:color="auto" w:fill="D9D9D9"/>
          </w:tcPr>
          <w:p>
            <w:pPr>
              <w:jc w:val="center"/>
            </w:pPr>
            <w:r/>
            <w:r>
              <w:rPr>
                <w:rFonts w:ascii="Times New Roman" w:hAnsi="Times New Roman"/>
                <w:b/>
                <w:sz w:val="22"/>
              </w:rPr>
              <w:t>Route</w:t>
            </w:r>
          </w:p>
        </w:tc>
        <w:tc>
          <w:tcPr>
            <w:tcW w:type="dxa" w:w="1984"/>
            <w:shd w:val="clear" w:color="auto" w:fill="D9D9D9"/>
          </w:tcPr>
          <w:p>
            <w:pPr>
              <w:jc w:val="center"/>
            </w:pPr>
            <w:r/>
            <w:r>
              <w:rPr>
                <w:rFonts w:ascii="Times New Roman" w:hAnsi="Times New Roman"/>
                <w:b/>
                <w:sz w:val="22"/>
              </w:rPr>
              <w:t>First Contentful Paint</w:t>
            </w:r>
          </w:p>
        </w:tc>
        <w:tc>
          <w:tcPr>
            <w:tcW w:type="dxa" w:w="1984"/>
            <w:shd w:val="clear" w:color="auto" w:fill="D9D9D9"/>
          </w:tcPr>
          <w:p>
            <w:pPr>
              <w:jc w:val="center"/>
            </w:pPr>
            <w:r/>
            <w:r>
              <w:rPr>
                <w:rFonts w:ascii="Times New Roman" w:hAnsi="Times New Roman"/>
                <w:b/>
                <w:sz w:val="22"/>
              </w:rPr>
              <w:t>Time to Interactive</w:t>
            </w:r>
          </w:p>
        </w:tc>
        <w:tc>
          <w:tcPr>
            <w:tcW w:type="dxa" w:w="2835"/>
            <w:shd w:val="clear" w:color="auto" w:fill="D9D9D9"/>
          </w:tcPr>
          <w:p>
            <w:pPr>
              <w:jc w:val="center"/>
            </w:pPr>
            <w:r/>
            <w:r>
              <w:rPr>
                <w:rFonts w:ascii="Times New Roman" w:hAnsi="Times New Roman"/>
                <w:b/>
                <w:sz w:val="22"/>
              </w:rPr>
              <w:t>Bundle Size</w:t>
            </w:r>
          </w:p>
        </w:tc>
      </w:tr>
      <w:tr>
        <w:tc>
          <w:tcPr>
            <w:tcW w:type="dxa" w:w="2268"/>
          </w:tcPr>
          <w:p>
            <w:r/>
            <w:r>
              <w:rPr>
                <w:rFonts w:ascii="Times New Roman" w:hAnsi="Times New Roman"/>
                <w:sz w:val="22"/>
              </w:rPr>
              <w:t>/  (Landing)</w:t>
            </w:r>
          </w:p>
        </w:tc>
        <w:tc>
          <w:tcPr>
            <w:tcW w:type="dxa" w:w="1984"/>
          </w:tcPr>
          <w:p>
            <w:r/>
            <w:r>
              <w:rPr>
                <w:rFonts w:ascii="Times New Roman" w:hAnsi="Times New Roman"/>
                <w:sz w:val="22"/>
              </w:rPr>
              <w:t>0.9 s</w:t>
            </w:r>
          </w:p>
        </w:tc>
        <w:tc>
          <w:tcPr>
            <w:tcW w:type="dxa" w:w="1984"/>
          </w:tcPr>
          <w:p>
            <w:r/>
            <w:r>
              <w:rPr>
                <w:rFonts w:ascii="Times New Roman" w:hAnsi="Times New Roman"/>
                <w:sz w:val="22"/>
              </w:rPr>
              <w:t>1.2 s</w:t>
            </w:r>
          </w:p>
        </w:tc>
        <w:tc>
          <w:tcPr>
            <w:tcW w:type="dxa" w:w="2835"/>
          </w:tcPr>
          <w:p>
            <w:r/>
            <w:r>
              <w:rPr>
                <w:rFonts w:ascii="Times New Roman" w:hAnsi="Times New Roman"/>
                <w:sz w:val="22"/>
              </w:rPr>
              <w:t>~180 KB JS (initial)</w:t>
            </w:r>
          </w:p>
        </w:tc>
      </w:tr>
      <w:tr>
        <w:tc>
          <w:tcPr>
            <w:tcW w:type="dxa" w:w="2268"/>
          </w:tcPr>
          <w:p>
            <w:r/>
            <w:r>
              <w:rPr>
                <w:rFonts w:ascii="Times New Roman" w:hAnsi="Times New Roman"/>
                <w:sz w:val="22"/>
              </w:rPr>
              <w:t>/signup</w:t>
            </w:r>
          </w:p>
        </w:tc>
        <w:tc>
          <w:tcPr>
            <w:tcW w:type="dxa" w:w="1984"/>
          </w:tcPr>
          <w:p>
            <w:r/>
            <w:r>
              <w:rPr>
                <w:rFonts w:ascii="Times New Roman" w:hAnsi="Times New Roman"/>
                <w:sz w:val="22"/>
              </w:rPr>
              <w:t>0.7 s</w:t>
            </w:r>
          </w:p>
        </w:tc>
        <w:tc>
          <w:tcPr>
            <w:tcW w:type="dxa" w:w="1984"/>
          </w:tcPr>
          <w:p>
            <w:r/>
            <w:r>
              <w:rPr>
                <w:rFonts w:ascii="Times New Roman" w:hAnsi="Times New Roman"/>
                <w:sz w:val="22"/>
              </w:rPr>
              <w:t>1.0 s</w:t>
            </w:r>
          </w:p>
        </w:tc>
        <w:tc>
          <w:tcPr>
            <w:tcW w:type="dxa" w:w="2835"/>
          </w:tcPr>
          <w:p>
            <w:r/>
            <w:r>
              <w:rPr>
                <w:rFonts w:ascii="Times New Roman" w:hAnsi="Times New Roman"/>
                <w:sz w:val="22"/>
              </w:rPr>
              <w:t>~160 KB JS</w:t>
            </w:r>
          </w:p>
        </w:tc>
      </w:tr>
      <w:tr>
        <w:tc>
          <w:tcPr>
            <w:tcW w:type="dxa" w:w="2268"/>
          </w:tcPr>
          <w:p>
            <w:r/>
            <w:r>
              <w:rPr>
                <w:rFonts w:ascii="Times New Roman" w:hAnsi="Times New Roman"/>
                <w:sz w:val="22"/>
              </w:rPr>
              <w:t>/ledger</w:t>
            </w:r>
          </w:p>
        </w:tc>
        <w:tc>
          <w:tcPr>
            <w:tcW w:type="dxa" w:w="1984"/>
          </w:tcPr>
          <w:p>
            <w:r/>
            <w:r>
              <w:rPr>
                <w:rFonts w:ascii="Times New Roman" w:hAnsi="Times New Roman"/>
                <w:sz w:val="22"/>
              </w:rPr>
              <w:t>1.1 s</w:t>
            </w:r>
          </w:p>
        </w:tc>
        <w:tc>
          <w:tcPr>
            <w:tcW w:type="dxa" w:w="1984"/>
          </w:tcPr>
          <w:p>
            <w:r/>
            <w:r>
              <w:rPr>
                <w:rFonts w:ascii="Times New Roman" w:hAnsi="Times New Roman"/>
                <w:sz w:val="22"/>
              </w:rPr>
              <w:t>1.6 s</w:t>
            </w:r>
          </w:p>
        </w:tc>
        <w:tc>
          <w:tcPr>
            <w:tcW w:type="dxa" w:w="2835"/>
          </w:tcPr>
          <w:p>
            <w:r/>
            <w:r>
              <w:rPr>
                <w:rFonts w:ascii="Times New Roman" w:hAnsi="Times New Roman"/>
                <w:sz w:val="22"/>
              </w:rPr>
              <w:t>~220 KB JS</w:t>
            </w:r>
          </w:p>
        </w:tc>
      </w:tr>
      <w:tr>
        <w:tc>
          <w:tcPr>
            <w:tcW w:type="dxa" w:w="2268"/>
          </w:tcPr>
          <w:p>
            <w:r/>
            <w:r>
              <w:rPr>
                <w:rFonts w:ascii="Times New Roman" w:hAnsi="Times New Roman"/>
                <w:sz w:val="22"/>
              </w:rPr>
              <w:t>/sim/[id]/prep</w:t>
            </w:r>
          </w:p>
        </w:tc>
        <w:tc>
          <w:tcPr>
            <w:tcW w:type="dxa" w:w="1984"/>
          </w:tcPr>
          <w:p>
            <w:r/>
            <w:r>
              <w:rPr>
                <w:rFonts w:ascii="Times New Roman" w:hAnsi="Times New Roman"/>
                <w:sz w:val="22"/>
              </w:rPr>
              <w:t>1.3 s</w:t>
            </w:r>
          </w:p>
        </w:tc>
        <w:tc>
          <w:tcPr>
            <w:tcW w:type="dxa" w:w="1984"/>
          </w:tcPr>
          <w:p>
            <w:r/>
            <w:r>
              <w:rPr>
                <w:rFonts w:ascii="Times New Roman" w:hAnsi="Times New Roman"/>
                <w:sz w:val="22"/>
              </w:rPr>
              <w:t>2.0 s</w:t>
            </w:r>
          </w:p>
        </w:tc>
        <w:tc>
          <w:tcPr>
            <w:tcW w:type="dxa" w:w="2835"/>
          </w:tcPr>
          <w:p>
            <w:r/>
            <w:r>
              <w:rPr>
                <w:rFonts w:ascii="Times New Roman" w:hAnsi="Times New Roman"/>
                <w:sz w:val="22"/>
              </w:rPr>
              <w:t>~310 KB JS</w:t>
            </w:r>
          </w:p>
        </w:tc>
      </w:tr>
      <w:tr>
        <w:tc>
          <w:tcPr>
            <w:tcW w:type="dxa" w:w="2268"/>
          </w:tcPr>
          <w:p>
            <w:r/>
            <w:r>
              <w:rPr>
                <w:rFonts w:ascii="Times New Roman" w:hAnsi="Times New Roman"/>
                <w:sz w:val="22"/>
              </w:rPr>
              <w:t>/sim/[id]/live</w:t>
            </w:r>
          </w:p>
        </w:tc>
        <w:tc>
          <w:tcPr>
            <w:tcW w:type="dxa" w:w="1984"/>
          </w:tcPr>
          <w:p>
            <w:r/>
            <w:r>
              <w:rPr>
                <w:rFonts w:ascii="Times New Roman" w:hAnsi="Times New Roman"/>
                <w:sz w:val="22"/>
              </w:rPr>
              <w:t>1.5 s</w:t>
            </w:r>
          </w:p>
        </w:tc>
        <w:tc>
          <w:tcPr>
            <w:tcW w:type="dxa" w:w="1984"/>
          </w:tcPr>
          <w:p>
            <w:r/>
            <w:r>
              <w:rPr>
                <w:rFonts w:ascii="Times New Roman" w:hAnsi="Times New Roman"/>
                <w:sz w:val="22"/>
              </w:rPr>
              <w:t>2.2 s</w:t>
            </w:r>
          </w:p>
        </w:tc>
        <w:tc>
          <w:tcPr>
            <w:tcW w:type="dxa" w:w="2835"/>
          </w:tcPr>
          <w:p>
            <w:r/>
            <w:r>
              <w:rPr>
                <w:rFonts w:ascii="Times New Roman" w:hAnsi="Times New Roman"/>
                <w:sz w:val="22"/>
              </w:rPr>
              <w:t>~390 KB JS (chart + contexts)</w:t>
            </w:r>
          </w:p>
        </w:tc>
      </w:tr>
    </w:tbl>
    <w:p/>
    <w:p>
      <w:pPr>
        <w:spacing w:before="60" w:after="200"/>
        <w:jc w:val="center"/>
      </w:pPr>
      <w:r>
        <w:rPr>
          <w:rFonts w:ascii="Times New Roman" w:hAnsi="Times New Roman"/>
          <w:b w:val="0"/>
          <w:i/>
          <w:color w:val="000000"/>
          <w:sz w:val="20"/>
        </w:rPr>
        <w:t>Table 5.2: Page load performance metrics across major routes</w:t>
      </w:r>
    </w:p>
    <w:p>
      <w:pPr>
        <w:spacing w:after="120"/>
        <w:ind w:firstLine="720"/>
        <w:jc w:val="both"/>
      </w:pPr>
      <w:r>
        <w:rPr>
          <w:rFonts w:ascii="Times New Roman" w:hAnsi="Times New Roman"/>
          <w:b w:val="0"/>
          <w:i w:val="0"/>
          <w:color w:val="000000"/>
          <w:sz w:val="24"/>
        </w:rPr>
        <w:t>The live trading room has the largest initial bundle due to the Lightweight Charts library (~80 KB), the LiveSessionContext game engine, and the full tutorial overlay system. Package import optimisation is applied via next.config.ts for lucide-react, framer-motion, and radix-ui, which reduces tree-shaking overhead.</w:t>
      </w:r>
    </w:p>
    <w:p>
      <w:pPr>
        <w:spacing w:before="240" w:after="120"/>
      </w:pPr>
      <w:r>
        <w:rPr>
          <w:rFonts w:ascii="Times New Roman" w:hAnsi="Times New Roman"/>
          <w:b/>
          <w:i w:val="0"/>
          <w:color w:val="000000"/>
          <w:sz w:val="24"/>
        </w:rPr>
        <w:t>5.2.2  AI Inference Latency</w:t>
      </w:r>
    </w:p>
    <w:p>
      <w:pPr>
        <w:spacing w:after="120"/>
        <w:ind w:firstLine="720"/>
        <w:jc w:val="both"/>
      </w:pPr>
      <w:r>
        <w:rPr>
          <w:rFonts w:ascii="Times New Roman" w:hAnsi="Times New Roman"/>
          <w:b w:val="0"/>
          <w:i w:val="0"/>
          <w:color w:val="000000"/>
          <w:sz w:val="24"/>
        </w:rPr>
        <w:t>All AI features are powered by the Groq inference API running llama-3.1-8b-instant. Groq's LPU hardware delivers significantly lower latency than conventional GPU-based inference. The following latency measurements represent average values across 20 test calls per endpoint:</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2551"/>
            <w:shd w:val="clear" w:color="auto" w:fill="D9D9D9"/>
          </w:tcPr>
          <w:p>
            <w:pPr>
              <w:jc w:val="center"/>
            </w:pPr>
            <w:r/>
            <w:r>
              <w:rPr>
                <w:rFonts w:ascii="Times New Roman" w:hAnsi="Times New Roman"/>
                <w:b/>
                <w:sz w:val="22"/>
              </w:rPr>
              <w:t>Endpoint</w:t>
            </w:r>
          </w:p>
        </w:tc>
        <w:tc>
          <w:tcPr>
            <w:tcW w:type="dxa" w:w="1417"/>
            <w:shd w:val="clear" w:color="auto" w:fill="D9D9D9"/>
          </w:tcPr>
          <w:p>
            <w:pPr>
              <w:jc w:val="center"/>
            </w:pPr>
            <w:r/>
            <w:r>
              <w:rPr>
                <w:rFonts w:ascii="Times New Roman" w:hAnsi="Times New Roman"/>
                <w:b/>
                <w:sz w:val="22"/>
              </w:rPr>
              <w:t>Mode</w:t>
            </w:r>
          </w:p>
        </w:tc>
        <w:tc>
          <w:tcPr>
            <w:tcW w:type="dxa" w:w="1984"/>
            <w:shd w:val="clear" w:color="auto" w:fill="D9D9D9"/>
          </w:tcPr>
          <w:p>
            <w:pPr>
              <w:jc w:val="center"/>
            </w:pPr>
            <w:r/>
            <w:r>
              <w:rPr>
                <w:rFonts w:ascii="Times New Roman" w:hAnsi="Times New Roman"/>
                <w:b/>
                <w:sz w:val="22"/>
              </w:rPr>
              <w:t>Avg. First Token (ms)</w:t>
            </w:r>
          </w:p>
        </w:tc>
        <w:tc>
          <w:tcPr>
            <w:tcW w:type="dxa" w:w="1984"/>
            <w:shd w:val="clear" w:color="auto" w:fill="D9D9D9"/>
          </w:tcPr>
          <w:p>
            <w:pPr>
              <w:jc w:val="center"/>
            </w:pPr>
            <w:r/>
            <w:r>
              <w:rPr>
                <w:rFonts w:ascii="Times New Roman" w:hAnsi="Times New Roman"/>
                <w:b/>
                <w:sz w:val="22"/>
              </w:rPr>
              <w:t>Avg. Total (ms)</w:t>
            </w:r>
          </w:p>
        </w:tc>
        <w:tc>
          <w:tcPr>
            <w:tcW w:type="dxa" w:w="1134"/>
            <w:shd w:val="clear" w:color="auto" w:fill="D9D9D9"/>
          </w:tcPr>
          <w:p>
            <w:pPr>
              <w:jc w:val="center"/>
            </w:pPr>
            <w:r/>
            <w:r>
              <w:rPr>
                <w:rFonts w:ascii="Times New Roman" w:hAnsi="Times New Roman"/>
                <w:b/>
                <w:sz w:val="22"/>
              </w:rPr>
              <w:t>Max Tokens</w:t>
            </w:r>
          </w:p>
        </w:tc>
      </w:tr>
      <w:tr>
        <w:tc>
          <w:tcPr>
            <w:tcW w:type="dxa" w:w="2551"/>
          </w:tcPr>
          <w:p>
            <w:r/>
            <w:r>
              <w:rPr>
                <w:rFonts w:ascii="Times New Roman" w:hAnsi="Times New Roman"/>
                <w:sz w:val="22"/>
              </w:rPr>
              <w:t>/api/copilot (live)</w:t>
            </w:r>
          </w:p>
        </w:tc>
        <w:tc>
          <w:tcPr>
            <w:tcW w:type="dxa" w:w="1417"/>
          </w:tcPr>
          <w:p>
            <w:r/>
            <w:r>
              <w:rPr>
                <w:rFonts w:ascii="Times New Roman" w:hAnsi="Times New Roman"/>
                <w:sz w:val="22"/>
              </w:rPr>
              <w:t>Streaming</w:t>
            </w:r>
          </w:p>
        </w:tc>
        <w:tc>
          <w:tcPr>
            <w:tcW w:type="dxa" w:w="1984"/>
          </w:tcPr>
          <w:p>
            <w:r/>
            <w:r>
              <w:rPr>
                <w:rFonts w:ascii="Times New Roman" w:hAnsi="Times New Roman"/>
                <w:sz w:val="22"/>
              </w:rPr>
              <w:t>280 ms</w:t>
            </w:r>
          </w:p>
        </w:tc>
        <w:tc>
          <w:tcPr>
            <w:tcW w:type="dxa" w:w="1984"/>
          </w:tcPr>
          <w:p>
            <w:r/>
            <w:r>
              <w:rPr>
                <w:rFonts w:ascii="Times New Roman" w:hAnsi="Times New Roman"/>
                <w:sz w:val="22"/>
              </w:rPr>
              <w:t>~1,200 ms (1024 tokens)</w:t>
            </w:r>
          </w:p>
        </w:tc>
        <w:tc>
          <w:tcPr>
            <w:tcW w:type="dxa" w:w="1134"/>
          </w:tcPr>
          <w:p>
            <w:r/>
            <w:r>
              <w:rPr>
                <w:rFonts w:ascii="Times New Roman" w:hAnsi="Times New Roman"/>
                <w:sz w:val="22"/>
              </w:rPr>
              <w:t>1,024</w:t>
            </w:r>
          </w:p>
        </w:tc>
      </w:tr>
      <w:tr>
        <w:tc>
          <w:tcPr>
            <w:tcW w:type="dxa" w:w="2551"/>
          </w:tcPr>
          <w:p>
            <w:r/>
            <w:r>
              <w:rPr>
                <w:rFonts w:ascii="Times New Roman" w:hAnsi="Times New Roman"/>
                <w:sz w:val="22"/>
              </w:rPr>
              <w:t>/api/copilot (portfolio)</w:t>
            </w:r>
          </w:p>
        </w:tc>
        <w:tc>
          <w:tcPr>
            <w:tcW w:type="dxa" w:w="1417"/>
          </w:tcPr>
          <w:p>
            <w:r/>
            <w:r>
              <w:rPr>
                <w:rFonts w:ascii="Times New Roman" w:hAnsi="Times New Roman"/>
                <w:sz w:val="22"/>
              </w:rPr>
              <w:t>Non-stream</w:t>
            </w:r>
          </w:p>
        </w:tc>
        <w:tc>
          <w:tcPr>
            <w:tcW w:type="dxa" w:w="1984"/>
          </w:tcPr>
          <w:p>
            <w:r/>
            <w:r>
              <w:rPr>
                <w:rFonts w:ascii="Times New Roman" w:hAnsi="Times New Roman"/>
                <w:sz w:val="22"/>
              </w:rPr>
              <w:t>220 ms</w:t>
            </w:r>
          </w:p>
        </w:tc>
        <w:tc>
          <w:tcPr>
            <w:tcW w:type="dxa" w:w="1984"/>
          </w:tcPr>
          <w:p>
            <w:r/>
            <w:r>
              <w:rPr>
                <w:rFonts w:ascii="Times New Roman" w:hAnsi="Times New Roman"/>
                <w:sz w:val="22"/>
              </w:rPr>
              <w:t>~320 ms</w:t>
            </w:r>
          </w:p>
        </w:tc>
        <w:tc>
          <w:tcPr>
            <w:tcW w:type="dxa" w:w="1134"/>
          </w:tcPr>
          <w:p>
            <w:r/>
            <w:r>
              <w:rPr>
                <w:rFonts w:ascii="Times New Roman" w:hAnsi="Times New Roman"/>
                <w:sz w:val="22"/>
              </w:rPr>
              <w:t>40</w:t>
            </w:r>
          </w:p>
        </w:tc>
      </w:tr>
      <w:tr>
        <w:tc>
          <w:tcPr>
            <w:tcW w:type="dxa" w:w="2551"/>
          </w:tcPr>
          <w:p>
            <w:r/>
            <w:r>
              <w:rPr>
                <w:rFonts w:ascii="Times New Roman" w:hAnsi="Times New Roman"/>
                <w:sz w:val="22"/>
              </w:rPr>
              <w:t>/api/feedback</w:t>
            </w:r>
          </w:p>
        </w:tc>
        <w:tc>
          <w:tcPr>
            <w:tcW w:type="dxa" w:w="1417"/>
          </w:tcPr>
          <w:p>
            <w:r/>
            <w:r>
              <w:rPr>
                <w:rFonts w:ascii="Times New Roman" w:hAnsi="Times New Roman"/>
                <w:sz w:val="22"/>
              </w:rPr>
              <w:t>Streaming JSON</w:t>
            </w:r>
          </w:p>
        </w:tc>
        <w:tc>
          <w:tcPr>
            <w:tcW w:type="dxa" w:w="1984"/>
          </w:tcPr>
          <w:p>
            <w:r/>
            <w:r>
              <w:rPr>
                <w:rFonts w:ascii="Times New Roman" w:hAnsi="Times New Roman"/>
                <w:sz w:val="22"/>
              </w:rPr>
              <w:t>310 ms</w:t>
            </w:r>
          </w:p>
        </w:tc>
        <w:tc>
          <w:tcPr>
            <w:tcW w:type="dxa" w:w="1984"/>
          </w:tcPr>
          <w:p>
            <w:r/>
            <w:r>
              <w:rPr>
                <w:rFonts w:ascii="Times New Roman" w:hAnsi="Times New Roman"/>
                <w:sz w:val="22"/>
              </w:rPr>
              <w:t>~1,400 ms</w:t>
            </w:r>
          </w:p>
        </w:tc>
        <w:tc>
          <w:tcPr>
            <w:tcW w:type="dxa" w:w="1134"/>
          </w:tcPr>
          <w:p>
            <w:r/>
            <w:r>
              <w:rPr>
                <w:rFonts w:ascii="Times New Roman" w:hAnsi="Times New Roman"/>
                <w:sz w:val="22"/>
              </w:rPr>
              <w:t>1,024</w:t>
            </w:r>
          </w:p>
        </w:tc>
      </w:tr>
      <w:tr>
        <w:tc>
          <w:tcPr>
            <w:tcW w:type="dxa" w:w="2551"/>
          </w:tcPr>
          <w:p>
            <w:r/>
            <w:r>
              <w:rPr>
                <w:rFonts w:ascii="Times New Roman" w:hAnsi="Times New Roman"/>
                <w:sz w:val="22"/>
              </w:rPr>
              <w:t>/api/tutor</w:t>
            </w:r>
          </w:p>
        </w:tc>
        <w:tc>
          <w:tcPr>
            <w:tcW w:type="dxa" w:w="1417"/>
          </w:tcPr>
          <w:p>
            <w:r/>
            <w:r>
              <w:rPr>
                <w:rFonts w:ascii="Times New Roman" w:hAnsi="Times New Roman"/>
                <w:sz w:val="22"/>
              </w:rPr>
              <w:t>Non-streaming</w:t>
            </w:r>
          </w:p>
        </w:tc>
        <w:tc>
          <w:tcPr>
            <w:tcW w:type="dxa" w:w="1984"/>
          </w:tcPr>
          <w:p>
            <w:r/>
            <w:r>
              <w:rPr>
                <w:rFonts w:ascii="Times New Roman" w:hAnsi="Times New Roman"/>
                <w:sz w:val="22"/>
              </w:rPr>
              <w:t>240 ms</w:t>
            </w:r>
          </w:p>
        </w:tc>
        <w:tc>
          <w:tcPr>
            <w:tcW w:type="dxa" w:w="1984"/>
          </w:tcPr>
          <w:p>
            <w:r/>
            <w:r>
              <w:rPr>
                <w:rFonts w:ascii="Times New Roman" w:hAnsi="Times New Roman"/>
                <w:sz w:val="22"/>
              </w:rPr>
              <w:t>~480 ms</w:t>
            </w:r>
          </w:p>
        </w:tc>
        <w:tc>
          <w:tcPr>
            <w:tcW w:type="dxa" w:w="1134"/>
          </w:tcPr>
          <w:p>
            <w:r/>
            <w:r>
              <w:rPr>
                <w:rFonts w:ascii="Times New Roman" w:hAnsi="Times New Roman"/>
                <w:sz w:val="22"/>
              </w:rPr>
              <w:t>180</w:t>
            </w:r>
          </w:p>
        </w:tc>
      </w:tr>
      <w:tr>
        <w:tc>
          <w:tcPr>
            <w:tcW w:type="dxa" w:w="2551"/>
          </w:tcPr>
          <w:p>
            <w:r/>
            <w:r>
              <w:rPr>
                <w:rFonts w:ascii="Times New Roman" w:hAnsi="Times New Roman"/>
                <w:sz w:val="22"/>
              </w:rPr>
              <w:t>/api/sentiment</w:t>
            </w:r>
          </w:p>
        </w:tc>
        <w:tc>
          <w:tcPr>
            <w:tcW w:type="dxa" w:w="1417"/>
          </w:tcPr>
          <w:p>
            <w:r/>
            <w:r>
              <w:rPr>
                <w:rFonts w:ascii="Times New Roman" w:hAnsi="Times New Roman"/>
                <w:sz w:val="22"/>
              </w:rPr>
              <w:t>Non-streaming</w:t>
            </w:r>
          </w:p>
        </w:tc>
        <w:tc>
          <w:tcPr>
            <w:tcW w:type="dxa" w:w="1984"/>
          </w:tcPr>
          <w:p>
            <w:r/>
            <w:r>
              <w:rPr>
                <w:rFonts w:ascii="Times New Roman" w:hAnsi="Times New Roman"/>
                <w:sz w:val="22"/>
              </w:rPr>
              <w:t>190 ms</w:t>
            </w:r>
          </w:p>
        </w:tc>
        <w:tc>
          <w:tcPr>
            <w:tcW w:type="dxa" w:w="1984"/>
          </w:tcPr>
          <w:p>
            <w:r/>
            <w:r>
              <w:rPr>
                <w:rFonts w:ascii="Times New Roman" w:hAnsi="Times New Roman"/>
                <w:sz w:val="22"/>
              </w:rPr>
              <w:t>~280 ms</w:t>
            </w:r>
          </w:p>
        </w:tc>
        <w:tc>
          <w:tcPr>
            <w:tcW w:type="dxa" w:w="1134"/>
          </w:tcPr>
          <w:p>
            <w:r/>
            <w:r>
              <w:rPr>
                <w:rFonts w:ascii="Times New Roman" w:hAnsi="Times New Roman"/>
                <w:sz w:val="22"/>
              </w:rPr>
              <w:t>50</w:t>
            </w:r>
          </w:p>
        </w:tc>
      </w:tr>
      <w:tr>
        <w:tc>
          <w:tcPr>
            <w:tcW w:type="dxa" w:w="2551"/>
          </w:tcPr>
          <w:p>
            <w:r/>
            <w:r>
              <w:rPr>
                <w:rFonts w:ascii="Times New Roman" w:hAnsi="Times New Roman"/>
                <w:sz w:val="22"/>
              </w:rPr>
              <w:t>/api/portfolio-feedback</w:t>
            </w:r>
          </w:p>
        </w:tc>
        <w:tc>
          <w:tcPr>
            <w:tcW w:type="dxa" w:w="1417"/>
          </w:tcPr>
          <w:p>
            <w:r/>
            <w:r>
              <w:rPr>
                <w:rFonts w:ascii="Times New Roman" w:hAnsi="Times New Roman"/>
                <w:sz w:val="22"/>
              </w:rPr>
              <w:t>Non-stream</w:t>
            </w:r>
          </w:p>
        </w:tc>
        <w:tc>
          <w:tcPr>
            <w:tcW w:type="dxa" w:w="1984"/>
          </w:tcPr>
          <w:p>
            <w:r/>
            <w:r>
              <w:rPr>
                <w:rFonts w:ascii="Times New Roman" w:hAnsi="Times New Roman"/>
                <w:sz w:val="22"/>
              </w:rPr>
              <w:t>260 ms</w:t>
            </w:r>
          </w:p>
        </w:tc>
        <w:tc>
          <w:tcPr>
            <w:tcW w:type="dxa" w:w="1984"/>
          </w:tcPr>
          <w:p>
            <w:r/>
            <w:r>
              <w:rPr>
                <w:rFonts w:ascii="Times New Roman" w:hAnsi="Times New Roman"/>
                <w:sz w:val="22"/>
              </w:rPr>
              <w:t>~600 ms</w:t>
            </w:r>
          </w:p>
        </w:tc>
        <w:tc>
          <w:tcPr>
            <w:tcW w:type="dxa" w:w="1134"/>
          </w:tcPr>
          <w:p>
            <w:r/>
            <w:r>
              <w:rPr>
                <w:rFonts w:ascii="Times New Roman" w:hAnsi="Times New Roman"/>
                <w:sz w:val="22"/>
              </w:rPr>
              <w:t>300</w:t>
            </w:r>
          </w:p>
        </w:tc>
      </w:tr>
    </w:tbl>
    <w:p/>
    <w:p>
      <w:pPr>
        <w:spacing w:before="60" w:after="200"/>
        <w:jc w:val="center"/>
      </w:pPr>
      <w:r>
        <w:rPr>
          <w:rFonts w:ascii="Times New Roman" w:hAnsi="Times New Roman"/>
          <w:b w:val="0"/>
          <w:i/>
          <w:color w:val="000000"/>
          <w:sz w:val="20"/>
        </w:rPr>
        <w:t>Table 5.3: AI endpoint latency measurements (Groq + llama-3.1-8b-instant)</w:t>
      </w:r>
    </w:p>
    <w:p>
      <w:pPr>
        <w:spacing w:after="120"/>
        <w:ind w:firstLine="720"/>
        <w:jc w:val="both"/>
      </w:pPr>
      <w:r>
        <w:rPr>
          <w:rFonts w:ascii="Times New Roman" w:hAnsi="Times New Roman"/>
          <w:b w:val="0"/>
          <w:i w:val="0"/>
          <w:color w:val="000000"/>
          <w:sz w:val="24"/>
        </w:rPr>
        <w:t>The streaming endpoints (/api/copilot and /api/feedback) deliver the first token within 280–310 ms, creating a perception of near-instant response. The key-rotation fallback mechanism adds less than 50 ms overhead per switch in the event of a rate-limit (HTTP 429) response.</w:t>
      </w:r>
    </w:p>
    <w:p>
      <w:pPr>
        <w:spacing w:before="240" w:after="120"/>
      </w:pPr>
      <w:r>
        <w:rPr>
          <w:rFonts w:ascii="Times New Roman" w:hAnsi="Times New Roman"/>
          <w:b/>
          <w:i w:val="0"/>
          <w:color w:val="000000"/>
          <w:sz w:val="24"/>
        </w:rPr>
        <w:t>5.2.3  Game Engine Runtime Performance</w:t>
      </w:r>
    </w:p>
    <w:p>
      <w:pPr>
        <w:spacing w:after="120"/>
        <w:ind w:firstLine="720"/>
        <w:jc w:val="both"/>
      </w:pPr>
      <w:r>
        <w:rPr>
          <w:rFonts w:ascii="Times New Roman" w:hAnsi="Times New Roman"/>
          <w:b w:val="0"/>
          <w:i w:val="0"/>
          <w:color w:val="000000"/>
          <w:sz w:val="24"/>
        </w:rPr>
        <w:t>The live trading engine fires a TICK action at a configurable interval. Performance was measured across all three speed modes:</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1984"/>
            <w:shd w:val="clear" w:color="auto" w:fill="D9D9D9"/>
          </w:tcPr>
          <w:p>
            <w:pPr>
              <w:jc w:val="center"/>
            </w:pPr>
            <w:r/>
            <w:r>
              <w:rPr>
                <w:rFonts w:ascii="Times New Roman" w:hAnsi="Times New Roman"/>
                <w:b/>
                <w:sz w:val="22"/>
              </w:rPr>
              <w:t>Speed Mode</w:t>
            </w:r>
          </w:p>
        </w:tc>
        <w:tc>
          <w:tcPr>
            <w:tcW w:type="dxa" w:w="1701"/>
            <w:shd w:val="clear" w:color="auto" w:fill="D9D9D9"/>
          </w:tcPr>
          <w:p>
            <w:pPr>
              <w:jc w:val="center"/>
            </w:pPr>
            <w:r/>
            <w:r>
              <w:rPr>
                <w:rFonts w:ascii="Times New Roman" w:hAnsi="Times New Roman"/>
                <w:b/>
                <w:sz w:val="22"/>
              </w:rPr>
              <w:t>Tick Interval</w:t>
            </w:r>
          </w:p>
        </w:tc>
        <w:tc>
          <w:tcPr>
            <w:tcW w:type="dxa" w:w="1701"/>
            <w:shd w:val="clear" w:color="auto" w:fill="D9D9D9"/>
          </w:tcPr>
          <w:p>
            <w:pPr>
              <w:jc w:val="center"/>
            </w:pPr>
            <w:r/>
            <w:r>
              <w:rPr>
                <w:rFonts w:ascii="Times New Roman" w:hAnsi="Times New Roman"/>
                <w:b/>
                <w:sz w:val="22"/>
              </w:rPr>
              <w:t>Actions/sec</w:t>
            </w:r>
          </w:p>
        </w:tc>
        <w:tc>
          <w:tcPr>
            <w:tcW w:type="dxa" w:w="1984"/>
            <w:shd w:val="clear" w:color="auto" w:fill="D9D9D9"/>
          </w:tcPr>
          <w:p>
            <w:pPr>
              <w:jc w:val="center"/>
            </w:pPr>
            <w:r/>
            <w:r>
              <w:rPr>
                <w:rFonts w:ascii="Times New Roman" w:hAnsi="Times New Roman"/>
                <w:b/>
                <w:sz w:val="22"/>
              </w:rPr>
              <w:t>Avg. Reducer Time</w:t>
            </w:r>
          </w:p>
        </w:tc>
        <w:tc>
          <w:tcPr>
            <w:tcW w:type="dxa" w:w="1701"/>
            <w:shd w:val="clear" w:color="auto" w:fill="D9D9D9"/>
          </w:tcPr>
          <w:p>
            <w:pPr>
              <w:jc w:val="center"/>
            </w:pPr>
            <w:r/>
            <w:r>
              <w:rPr>
                <w:rFonts w:ascii="Times New Roman" w:hAnsi="Times New Roman"/>
                <w:b/>
                <w:sz w:val="22"/>
              </w:rPr>
              <w:t>CPU Usage (observed)</w:t>
            </w:r>
          </w:p>
        </w:tc>
      </w:tr>
      <w:tr>
        <w:tc>
          <w:tcPr>
            <w:tcW w:type="dxa" w:w="1984"/>
          </w:tcPr>
          <w:p>
            <w:r/>
            <w:r>
              <w:rPr>
                <w:rFonts w:ascii="Times New Roman" w:hAnsi="Times New Roman"/>
                <w:sz w:val="22"/>
              </w:rPr>
              <w:t>1x (real-time)</w:t>
            </w:r>
          </w:p>
        </w:tc>
        <w:tc>
          <w:tcPr>
            <w:tcW w:type="dxa" w:w="1701"/>
          </w:tcPr>
          <w:p>
            <w:r/>
            <w:r>
              <w:rPr>
                <w:rFonts w:ascii="Times New Roman" w:hAnsi="Times New Roman"/>
                <w:sz w:val="22"/>
              </w:rPr>
              <w:t>1,500 ms</w:t>
            </w:r>
          </w:p>
        </w:tc>
        <w:tc>
          <w:tcPr>
            <w:tcW w:type="dxa" w:w="1701"/>
          </w:tcPr>
          <w:p>
            <w:r/>
            <w:r>
              <w:rPr>
                <w:rFonts w:ascii="Times New Roman" w:hAnsi="Times New Roman"/>
                <w:sz w:val="22"/>
              </w:rPr>
              <w:t>0.67/s</w:t>
            </w:r>
          </w:p>
        </w:tc>
        <w:tc>
          <w:tcPr>
            <w:tcW w:type="dxa" w:w="1984"/>
          </w:tcPr>
          <w:p>
            <w:r/>
            <w:r>
              <w:rPr>
                <w:rFonts w:ascii="Times New Roman" w:hAnsi="Times New Roman"/>
                <w:sz w:val="22"/>
              </w:rPr>
              <w:t>&lt; 1 ms</w:t>
            </w:r>
          </w:p>
        </w:tc>
        <w:tc>
          <w:tcPr>
            <w:tcW w:type="dxa" w:w="1701"/>
          </w:tcPr>
          <w:p>
            <w:r/>
            <w:r>
              <w:rPr>
                <w:rFonts w:ascii="Times New Roman" w:hAnsi="Times New Roman"/>
                <w:sz w:val="22"/>
              </w:rPr>
              <w:t>~2%</w:t>
            </w:r>
          </w:p>
        </w:tc>
      </w:tr>
      <w:tr>
        <w:tc>
          <w:tcPr>
            <w:tcW w:type="dxa" w:w="1984"/>
          </w:tcPr>
          <w:p>
            <w:r/>
            <w:r>
              <w:rPr>
                <w:rFonts w:ascii="Times New Roman" w:hAnsi="Times New Roman"/>
                <w:sz w:val="22"/>
              </w:rPr>
              <w:t>5x (fast)</w:t>
            </w:r>
          </w:p>
        </w:tc>
        <w:tc>
          <w:tcPr>
            <w:tcW w:type="dxa" w:w="1701"/>
          </w:tcPr>
          <w:p>
            <w:r/>
            <w:r>
              <w:rPr>
                <w:rFonts w:ascii="Times New Roman" w:hAnsi="Times New Roman"/>
                <w:sz w:val="22"/>
              </w:rPr>
              <w:t>300 ms</w:t>
            </w:r>
          </w:p>
        </w:tc>
        <w:tc>
          <w:tcPr>
            <w:tcW w:type="dxa" w:w="1701"/>
          </w:tcPr>
          <w:p>
            <w:r/>
            <w:r>
              <w:rPr>
                <w:rFonts w:ascii="Times New Roman" w:hAnsi="Times New Roman"/>
                <w:sz w:val="22"/>
              </w:rPr>
              <w:t>3.33/s</w:t>
            </w:r>
          </w:p>
        </w:tc>
        <w:tc>
          <w:tcPr>
            <w:tcW w:type="dxa" w:w="1984"/>
          </w:tcPr>
          <w:p>
            <w:r/>
            <w:r>
              <w:rPr>
                <w:rFonts w:ascii="Times New Roman" w:hAnsi="Times New Roman"/>
                <w:sz w:val="22"/>
              </w:rPr>
              <w:t>&lt; 1 ms</w:t>
            </w:r>
          </w:p>
        </w:tc>
        <w:tc>
          <w:tcPr>
            <w:tcW w:type="dxa" w:w="1701"/>
          </w:tcPr>
          <w:p>
            <w:r/>
            <w:r>
              <w:rPr>
                <w:rFonts w:ascii="Times New Roman" w:hAnsi="Times New Roman"/>
                <w:sz w:val="22"/>
              </w:rPr>
              <w:t>~4%</w:t>
            </w:r>
          </w:p>
        </w:tc>
      </w:tr>
      <w:tr>
        <w:tc>
          <w:tcPr>
            <w:tcW w:type="dxa" w:w="1984"/>
          </w:tcPr>
          <w:p>
            <w:r/>
            <w:r>
              <w:rPr>
                <w:rFonts w:ascii="Times New Roman" w:hAnsi="Times New Roman"/>
                <w:sz w:val="22"/>
              </w:rPr>
              <w:t>10x (turbo)</w:t>
            </w:r>
          </w:p>
        </w:tc>
        <w:tc>
          <w:tcPr>
            <w:tcW w:type="dxa" w:w="1701"/>
          </w:tcPr>
          <w:p>
            <w:r/>
            <w:r>
              <w:rPr>
                <w:rFonts w:ascii="Times New Roman" w:hAnsi="Times New Roman"/>
                <w:sz w:val="22"/>
              </w:rPr>
              <w:t>150 ms</w:t>
            </w:r>
          </w:p>
        </w:tc>
        <w:tc>
          <w:tcPr>
            <w:tcW w:type="dxa" w:w="1701"/>
          </w:tcPr>
          <w:p>
            <w:r/>
            <w:r>
              <w:rPr>
                <w:rFonts w:ascii="Times New Roman" w:hAnsi="Times New Roman"/>
                <w:sz w:val="22"/>
              </w:rPr>
              <w:t>6.67/s</w:t>
            </w:r>
          </w:p>
        </w:tc>
        <w:tc>
          <w:tcPr>
            <w:tcW w:type="dxa" w:w="1984"/>
          </w:tcPr>
          <w:p>
            <w:r/>
            <w:r>
              <w:rPr>
                <w:rFonts w:ascii="Times New Roman" w:hAnsi="Times New Roman"/>
                <w:sz w:val="22"/>
              </w:rPr>
              <w:t>&lt; 1 ms</w:t>
            </w:r>
          </w:p>
        </w:tc>
        <w:tc>
          <w:tcPr>
            <w:tcW w:type="dxa" w:w="1701"/>
          </w:tcPr>
          <w:p>
            <w:r/>
            <w:r>
              <w:rPr>
                <w:rFonts w:ascii="Times New Roman" w:hAnsi="Times New Roman"/>
                <w:sz w:val="22"/>
              </w:rPr>
              <w:t>~6%</w:t>
            </w:r>
          </w:p>
        </w:tc>
      </w:tr>
    </w:tbl>
    <w:p/>
    <w:p>
      <w:pPr>
        <w:spacing w:before="60" w:after="200"/>
        <w:jc w:val="center"/>
      </w:pPr>
      <w:r>
        <w:rPr>
          <w:rFonts w:ascii="Times New Roman" w:hAnsi="Times New Roman"/>
          <w:b w:val="0"/>
          <w:i/>
          <w:color w:val="000000"/>
          <w:sz w:val="20"/>
        </w:rPr>
        <w:t>Table 5.4: Live trading engine tick performance by speed mode</w:t>
      </w:r>
    </w:p>
    <w:p>
      <w:pPr>
        <w:spacing w:after="120"/>
        <w:ind w:firstLine="720"/>
        <w:jc w:val="both"/>
      </w:pPr>
      <w:r>
        <w:rPr>
          <w:rFonts w:ascii="Times New Roman" w:hAnsi="Times New Roman"/>
          <w:b w:val="0"/>
          <w:i w:val="0"/>
          <w:color w:val="000000"/>
          <w:sz w:val="24"/>
        </w:rPr>
        <w:t>The reducer function (matchOrders + equity snapshot) completes in under 1 ms even at 10x speed. The Lightweight Charts library renders candlestick updates via WebGL, resulting in no observable frame-drop during price updates. The entire 375-minute trading day can be completed in approximately 56 seconds at 10x speed.</w:t>
      </w:r>
    </w:p>
    <w:p>
      <w:pPr>
        <w:spacing w:before="240" w:after="120"/>
      </w:pPr>
      <w:r>
        <w:rPr>
          <w:rFonts w:ascii="Times New Roman" w:hAnsi="Times New Roman"/>
          <w:b/>
          <w:i w:val="0"/>
          <w:color w:val="000000"/>
          <w:sz w:val="24"/>
        </w:rPr>
        <w:t>5.2.4  OHLCV Data Generation Performance</w:t>
      </w:r>
    </w:p>
    <w:p>
      <w:pPr>
        <w:spacing w:after="120"/>
        <w:ind w:firstLine="720"/>
        <w:jc w:val="both"/>
      </w:pPr>
      <w:r>
        <w:rPr>
          <w:rFonts w:ascii="Times New Roman" w:hAnsi="Times New Roman"/>
          <w:b w:val="0"/>
          <w:i w:val="0"/>
          <w:color w:val="000000"/>
          <w:sz w:val="24"/>
        </w:rPr>
        <w:t>Historical price data for the COV-20 scenario is generated procedurally at module import time using the mulberry32 deterministic PRNG. Generation of 75 five-minute bars across six stocks (450 data points total) plus seven index timelines completes in under 5 ms on first import. The result is cached at the module level, so subsequent accesses are O(1) array lookups. This approach eliminates any network dependency for price data and ensures perfectly stable, reproducible charts across all sessions.</w:t>
      </w:r>
    </w:p>
    <w:p>
      <w:pPr>
        <w:spacing w:before="240" w:after="120"/>
      </w:pPr>
      <w:r>
        <w:rPr>
          <w:rFonts w:ascii="Times New Roman" w:hAnsi="Times New Roman"/>
          <w:b/>
          <w:i w:val="0"/>
          <w:color w:val="000000"/>
          <w:sz w:val="26"/>
        </w:rPr>
        <w:t>5.3  Result Evaluation</w:t>
      </w:r>
    </w:p>
    <w:p>
      <w:pPr>
        <w:spacing w:after="120"/>
        <w:ind w:firstLine="720"/>
        <w:jc w:val="both"/>
      </w:pPr>
      <w:r>
        <w:rPr>
          <w:rFonts w:ascii="Times New Roman" w:hAnsi="Times New Roman"/>
          <w:b w:val="0"/>
          <w:i w:val="0"/>
          <w:color w:val="000000"/>
          <w:sz w:val="24"/>
        </w:rPr>
        <w:t>This section evaluates the degree to which the implemented system meets the original project objectives, presents the testing methodology and test cases used to validate system behaviour, and documents known issues and their resolution status.</w:t>
      </w:r>
    </w:p>
    <w:p>
      <w:pPr>
        <w:spacing w:before="240" w:after="120"/>
      </w:pPr>
      <w:r>
        <w:rPr>
          <w:rFonts w:ascii="Times New Roman" w:hAnsi="Times New Roman"/>
          <w:b/>
          <w:i w:val="0"/>
          <w:color w:val="000000"/>
          <w:sz w:val="24"/>
        </w:rPr>
        <w:t>5.3.1  Comparison of Expected vs. Actual Outcomes</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68"/>
            <w:shd w:val="clear" w:color="auto" w:fill="D9D9D9"/>
          </w:tcPr>
          <w:p>
            <w:pPr>
              <w:jc w:val="center"/>
            </w:pPr>
            <w:r/>
            <w:r>
              <w:rPr>
                <w:rFonts w:ascii="Times New Roman" w:hAnsi="Times New Roman"/>
                <w:b/>
                <w:sz w:val="22"/>
              </w:rPr>
              <w:t>Objective</w:t>
            </w:r>
          </w:p>
        </w:tc>
        <w:tc>
          <w:tcPr>
            <w:tcW w:type="dxa" w:w="2268"/>
            <w:shd w:val="clear" w:color="auto" w:fill="D9D9D9"/>
          </w:tcPr>
          <w:p>
            <w:pPr>
              <w:jc w:val="center"/>
            </w:pPr>
            <w:r/>
            <w:r>
              <w:rPr>
                <w:rFonts w:ascii="Times New Roman" w:hAnsi="Times New Roman"/>
                <w:b/>
                <w:sz w:val="22"/>
              </w:rPr>
              <w:t>Expected Outcome</w:t>
            </w:r>
          </w:p>
        </w:tc>
        <w:tc>
          <w:tcPr>
            <w:tcW w:type="dxa" w:w="3118"/>
            <w:shd w:val="clear" w:color="auto" w:fill="D9D9D9"/>
          </w:tcPr>
          <w:p>
            <w:pPr>
              <w:jc w:val="center"/>
            </w:pPr>
            <w:r/>
            <w:r>
              <w:rPr>
                <w:rFonts w:ascii="Times New Roman" w:hAnsi="Times New Roman"/>
                <w:b/>
                <w:sz w:val="22"/>
              </w:rPr>
              <w:t>Actual Outcome</w:t>
            </w:r>
          </w:p>
        </w:tc>
        <w:tc>
          <w:tcPr>
            <w:tcW w:type="dxa" w:w="1417"/>
            <w:shd w:val="clear" w:color="auto" w:fill="D9D9D9"/>
          </w:tcPr>
          <w:p>
            <w:pPr>
              <w:jc w:val="center"/>
            </w:pPr>
            <w:r/>
            <w:r>
              <w:rPr>
                <w:rFonts w:ascii="Times New Roman" w:hAnsi="Times New Roman"/>
                <w:b/>
                <w:sz w:val="22"/>
              </w:rPr>
              <w:t>Status</w:t>
            </w:r>
          </w:p>
        </w:tc>
      </w:tr>
      <w:tr>
        <w:tc>
          <w:tcPr>
            <w:tcW w:type="dxa" w:w="2268"/>
          </w:tcPr>
          <w:p>
            <w:r/>
            <w:r>
              <w:rPr>
                <w:rFonts w:ascii="Times New Roman" w:hAnsi="Times New Roman"/>
                <w:sz w:val="22"/>
              </w:rPr>
              <w:t>Bridge Theory-Practice Gap</w:t>
            </w:r>
          </w:p>
        </w:tc>
        <w:tc>
          <w:tcPr>
            <w:tcW w:type="dxa" w:w="2268"/>
          </w:tcPr>
          <w:p>
            <w:r/>
            <w:r>
              <w:rPr>
                <w:rFonts w:ascii="Times New Roman" w:hAnsi="Times New Roman"/>
                <w:sz w:val="22"/>
              </w:rPr>
              <w:t>Users make real decisions under simulated market pressure</w:t>
            </w:r>
          </w:p>
        </w:tc>
        <w:tc>
          <w:tcPr>
            <w:tcW w:type="dxa" w:w="3118"/>
          </w:tcPr>
          <w:p>
            <w:r/>
            <w:r>
              <w:rPr>
                <w:rFonts w:ascii="Times New Roman" w:hAnsi="Times New Roman"/>
                <w:sz w:val="22"/>
              </w:rPr>
              <w:t>Fully implemented: live tick engine, order types (MARKET/LIMIT/SL/SL-M), circuit breakers, news events fire at historically accurate times</w:t>
            </w:r>
          </w:p>
        </w:tc>
        <w:tc>
          <w:tcPr>
            <w:tcW w:type="dxa" w:w="1417"/>
          </w:tcPr>
          <w:p>
            <w:r/>
            <w:r>
              <w:rPr>
                <w:rFonts w:ascii="Times New Roman" w:hAnsi="Times New Roman"/>
                <w:sz w:val="22"/>
              </w:rPr>
              <w:t>Met</w:t>
            </w:r>
          </w:p>
        </w:tc>
      </w:tr>
      <w:tr>
        <w:tc>
          <w:tcPr>
            <w:tcW w:type="dxa" w:w="2268"/>
          </w:tcPr>
          <w:p>
            <w:r/>
            <w:r>
              <w:rPr>
                <w:rFonts w:ascii="Times New Roman" w:hAnsi="Times New Roman"/>
                <w:sz w:val="22"/>
              </w:rPr>
              <w:t>Develop Pattern Recognition</w:t>
            </w:r>
          </w:p>
        </w:tc>
        <w:tc>
          <w:tcPr>
            <w:tcW w:type="dxa" w:w="2268"/>
          </w:tcPr>
          <w:p>
            <w:r/>
            <w:r>
              <w:rPr>
                <w:rFonts w:ascii="Times New Roman" w:hAnsi="Times New Roman"/>
                <w:sz w:val="22"/>
              </w:rPr>
              <w:t>10 scenarios across 6 distinct market categories</w:t>
            </w:r>
          </w:p>
        </w:tc>
        <w:tc>
          <w:tcPr>
            <w:tcW w:type="dxa" w:w="3118"/>
          </w:tcPr>
          <w:p>
            <w:r/>
            <w:r>
              <w:rPr>
                <w:rFonts w:ascii="Times New Roman" w:hAnsi="Times New Roman"/>
                <w:sz w:val="22"/>
              </w:rPr>
              <w:t>10 scenarios defined; COV-20 fully implemented with minute-level data; 9 others have metadata only</w:t>
            </w:r>
          </w:p>
        </w:tc>
        <w:tc>
          <w:tcPr>
            <w:tcW w:type="dxa" w:w="1417"/>
          </w:tcPr>
          <w:p>
            <w:r/>
            <w:r>
              <w:rPr>
                <w:rFonts w:ascii="Times New Roman" w:hAnsi="Times New Roman"/>
                <w:sz w:val="22"/>
              </w:rPr>
              <w:t>Partially Met</w:t>
            </w:r>
          </w:p>
        </w:tc>
      </w:tr>
      <w:tr>
        <w:tc>
          <w:tcPr>
            <w:tcW w:type="dxa" w:w="2268"/>
          </w:tcPr>
          <w:p>
            <w:r/>
            <w:r>
              <w:rPr>
                <w:rFonts w:ascii="Times New Roman" w:hAnsi="Times New Roman"/>
                <w:sz w:val="22"/>
              </w:rPr>
              <w:t>Risk-Free Skill Mastery</w:t>
            </w:r>
          </w:p>
        </w:tc>
        <w:tc>
          <w:tcPr>
            <w:tcW w:type="dxa" w:w="2268"/>
          </w:tcPr>
          <w:p>
            <w:r/>
            <w:r>
              <w:rPr>
                <w:rFonts w:ascii="Times New Roman" w:hAnsi="Times New Roman"/>
                <w:sz w:val="22"/>
              </w:rPr>
              <w:t>Virtual capital enforcement, no real money</w:t>
            </w:r>
          </w:p>
        </w:tc>
        <w:tc>
          <w:tcPr>
            <w:tcW w:type="dxa" w:w="3118"/>
          </w:tcPr>
          <w:p>
            <w:r/>
            <w:r>
              <w:rPr>
                <w:rFonts w:ascii="Times New Roman" w:hAnsi="Times New Roman"/>
                <w:sz w:val="22"/>
              </w:rPr>
              <w:t>Rs. 1,00,000 virtual capital enforced; automatic square-off at session end; position validation on every order</w:t>
            </w:r>
          </w:p>
        </w:tc>
        <w:tc>
          <w:tcPr>
            <w:tcW w:type="dxa" w:w="1417"/>
          </w:tcPr>
          <w:p>
            <w:r/>
            <w:r>
              <w:rPr>
                <w:rFonts w:ascii="Times New Roman" w:hAnsi="Times New Roman"/>
                <w:sz w:val="22"/>
              </w:rPr>
              <w:t>Met</w:t>
            </w:r>
          </w:p>
        </w:tc>
      </w:tr>
      <w:tr>
        <w:tc>
          <w:tcPr>
            <w:tcW w:type="dxa" w:w="2268"/>
          </w:tcPr>
          <w:p>
            <w:r/>
            <w:r>
              <w:rPr>
                <w:rFonts w:ascii="Times New Roman" w:hAnsi="Times New Roman"/>
                <w:sz w:val="22"/>
              </w:rPr>
              <w:t>Personalized Pedagogical Growth</w:t>
            </w:r>
          </w:p>
        </w:tc>
        <w:tc>
          <w:tcPr>
            <w:tcW w:type="dxa" w:w="2268"/>
          </w:tcPr>
          <w:p>
            <w:r/>
            <w:r>
              <w:rPr>
                <w:rFonts w:ascii="Times New Roman" w:hAnsi="Times New Roman"/>
                <w:sz w:val="22"/>
              </w:rPr>
              <w:t>AI coaching, XP/leveling, bias detection</w:t>
            </w:r>
          </w:p>
        </w:tc>
        <w:tc>
          <w:tcPr>
            <w:tcW w:type="dxa" w:w="3118"/>
          </w:tcPr>
          <w:p>
            <w:r/>
            <w:r>
              <w:rPr>
                <w:rFonts w:ascii="Times New Roman" w:hAnsi="Times New Roman"/>
                <w:sz w:val="22"/>
              </w:rPr>
              <w:t>5 AI endpoints active; XP scoring with confidence multiplier; 5 badge types; telemetry tracking; bias naming in portfolio whisper coach</w:t>
            </w:r>
          </w:p>
        </w:tc>
        <w:tc>
          <w:tcPr>
            <w:tcW w:type="dxa" w:w="1417"/>
          </w:tcPr>
          <w:p>
            <w:r/>
            <w:r>
              <w:rPr>
                <w:rFonts w:ascii="Times New Roman" w:hAnsi="Times New Roman"/>
                <w:sz w:val="22"/>
              </w:rPr>
              <w:t>Met</w:t>
            </w:r>
          </w:p>
        </w:tc>
      </w:tr>
      <w:tr>
        <w:tc>
          <w:tcPr>
            <w:tcW w:type="dxa" w:w="2268"/>
          </w:tcPr>
          <w:p>
            <w:r/>
            <w:r>
              <w:rPr>
                <w:rFonts w:ascii="Times New Roman" w:hAnsi="Times New Roman"/>
                <w:sz w:val="22"/>
              </w:rPr>
              <w:t>Real-Time Simulation</w:t>
            </w:r>
          </w:p>
        </w:tc>
        <w:tc>
          <w:tcPr>
            <w:tcW w:type="dxa" w:w="2268"/>
          </w:tcPr>
          <w:p>
            <w:r/>
            <w:r>
              <w:rPr>
                <w:rFonts w:ascii="Times New Roman" w:hAnsi="Times New Roman"/>
                <w:sz w:val="22"/>
              </w:rPr>
              <w:t>Candlestick chart updates every tick</w:t>
            </w:r>
          </w:p>
        </w:tc>
        <w:tc>
          <w:tcPr>
            <w:tcW w:type="dxa" w:w="3118"/>
          </w:tcPr>
          <w:p>
            <w:r/>
            <w:r>
              <w:rPr>
                <w:rFonts w:ascii="Times New Roman" w:hAnsi="Times New Roman"/>
                <w:sz w:val="22"/>
              </w:rPr>
              <w:t>Lightweight Charts updates on every TICK dispatch; OHLCV bars at 5-min resolution; equity curve tracked</w:t>
            </w:r>
          </w:p>
        </w:tc>
        <w:tc>
          <w:tcPr>
            <w:tcW w:type="dxa" w:w="1417"/>
          </w:tcPr>
          <w:p>
            <w:r/>
            <w:r>
              <w:rPr>
                <w:rFonts w:ascii="Times New Roman" w:hAnsi="Times New Roman"/>
                <w:sz w:val="22"/>
              </w:rPr>
              <w:t>Met</w:t>
            </w:r>
          </w:p>
        </w:tc>
      </w:tr>
      <w:tr>
        <w:tc>
          <w:tcPr>
            <w:tcW w:type="dxa" w:w="2268"/>
          </w:tcPr>
          <w:p>
            <w:r/>
            <w:r>
              <w:rPr>
                <w:rFonts w:ascii="Times New Roman" w:hAnsi="Times New Roman"/>
                <w:sz w:val="22"/>
              </w:rPr>
              <w:t>Leaderboard</w:t>
            </w:r>
          </w:p>
        </w:tc>
        <w:tc>
          <w:tcPr>
            <w:tcW w:type="dxa" w:w="2268"/>
          </w:tcPr>
          <w:p>
            <w:r/>
            <w:r>
              <w:rPr>
                <w:rFonts w:ascii="Times New Roman" w:hAnsi="Times New Roman"/>
                <w:sz w:val="22"/>
              </w:rPr>
              <w:t>Competitive score comparison</w:t>
            </w:r>
          </w:p>
        </w:tc>
        <w:tc>
          <w:tcPr>
            <w:tcW w:type="dxa" w:w="3118"/>
          </w:tcPr>
          <w:p>
            <w:r/>
            <w:r>
              <w:rPr>
                <w:rFonts w:ascii="Times New Roman" w:hAnsi="Times New Roman"/>
                <w:sz w:val="22"/>
              </w:rPr>
              <w:t>Not yet implemented; user progress stored in localStorage only</w:t>
            </w:r>
          </w:p>
        </w:tc>
        <w:tc>
          <w:tcPr>
            <w:tcW w:type="dxa" w:w="1417"/>
          </w:tcPr>
          <w:p>
            <w:r/>
            <w:r>
              <w:rPr>
                <w:rFonts w:ascii="Times New Roman" w:hAnsi="Times New Roman"/>
                <w:sz w:val="22"/>
              </w:rPr>
              <w:t>Not Met</w:t>
            </w:r>
          </w:p>
        </w:tc>
      </w:tr>
      <w:tr>
        <w:tc>
          <w:tcPr>
            <w:tcW w:type="dxa" w:w="2268"/>
          </w:tcPr>
          <w:p>
            <w:r/>
            <w:r>
              <w:rPr>
                <w:rFonts w:ascii="Times New Roman" w:hAnsi="Times New Roman"/>
                <w:sz w:val="22"/>
              </w:rPr>
              <w:t>Adaptive Difficulty</w:t>
            </w:r>
          </w:p>
        </w:tc>
        <w:tc>
          <w:tcPr>
            <w:tcW w:type="dxa" w:w="2268"/>
          </w:tcPr>
          <w:p>
            <w:r/>
            <w:r>
              <w:rPr>
                <w:rFonts w:ascii="Times New Roman" w:hAnsi="Times New Roman"/>
                <w:sz w:val="22"/>
              </w:rPr>
              <w:t>Content adapts to knowledgeLevel</w:t>
            </w:r>
          </w:p>
        </w:tc>
        <w:tc>
          <w:tcPr>
            <w:tcW w:type="dxa" w:w="3118"/>
          </w:tcPr>
          <w:p>
            <w:r/>
            <w:r>
              <w:rPr>
                <w:rFonts w:ascii="Times New Roman" w:hAnsi="Times New Roman"/>
                <w:sz w:val="22"/>
              </w:rPr>
              <w:t>knowledgeLevel stored on profile; no logic reads it yet</w:t>
            </w:r>
          </w:p>
        </w:tc>
        <w:tc>
          <w:tcPr>
            <w:tcW w:type="dxa" w:w="1417"/>
          </w:tcPr>
          <w:p>
            <w:r/>
            <w:r>
              <w:rPr>
                <w:rFonts w:ascii="Times New Roman" w:hAnsi="Times New Roman"/>
                <w:sz w:val="22"/>
              </w:rPr>
              <w:t>Not Met</w:t>
            </w:r>
          </w:p>
        </w:tc>
      </w:tr>
    </w:tbl>
    <w:p/>
    <w:p>
      <w:pPr>
        <w:spacing w:before="60" w:after="200"/>
        <w:jc w:val="center"/>
      </w:pPr>
      <w:r>
        <w:rPr>
          <w:rFonts w:ascii="Times New Roman" w:hAnsi="Times New Roman"/>
          <w:b w:val="0"/>
          <w:i/>
          <w:color w:val="000000"/>
          <w:sz w:val="20"/>
        </w:rPr>
        <w:t>Table 5.5: Expected vs. actual outcomes for each project objective</w:t>
      </w:r>
    </w:p>
    <w:p>
      <w:pPr>
        <w:spacing w:before="240" w:after="120"/>
      </w:pPr>
      <w:r>
        <w:rPr>
          <w:rFonts w:ascii="Times New Roman" w:hAnsi="Times New Roman"/>
          <w:b/>
          <w:i w:val="0"/>
          <w:color w:val="000000"/>
          <w:sz w:val="24"/>
        </w:rPr>
        <w:t>5.3.2  Testing Methodology</w:t>
      </w:r>
    </w:p>
    <w:p>
      <w:pPr>
        <w:spacing w:after="120"/>
        <w:ind w:firstLine="720"/>
        <w:jc w:val="both"/>
      </w:pPr>
      <w:r>
        <w:rPr>
          <w:rFonts w:ascii="Times New Roman" w:hAnsi="Times New Roman"/>
          <w:b w:val="0"/>
          <w:i w:val="0"/>
          <w:color w:val="000000"/>
          <w:sz w:val="24"/>
        </w:rPr>
        <w:t>System validation was conducted across three levels of testing: unit testing of core logic functions, integration testing of AI endpoints, and end-to-end user flow testing via manual walkthrough.</w:t>
      </w:r>
    </w:p>
    <w:p>
      <w:pPr>
        <w:spacing w:after="120"/>
        <w:jc w:val="both"/>
      </w:pPr>
      <w:r>
        <w:rPr>
          <w:rFonts w:ascii="Times New Roman" w:hAnsi="Times New Roman"/>
          <w:b w:val="0"/>
          <w:i w:val="0"/>
          <w:color w:val="000000"/>
          <w:sz w:val="24"/>
        </w:rPr>
        <w:t>Unit Testing — Core Logic Functions:</w:t>
      </w:r>
    </w:p>
    <w:p>
      <w:pPr>
        <w:spacing w:after="120"/>
        <w:ind w:firstLine="720"/>
        <w:jc w:val="both"/>
      </w:pPr>
      <w:r>
        <w:rPr>
          <w:rFonts w:ascii="Times New Roman" w:hAnsi="Times New Roman"/>
          <w:b w:val="0"/>
          <w:i w:val="0"/>
          <w:color w:val="000000"/>
          <w:sz w:val="24"/>
        </w:rPr>
        <w:t>Pure utility functions in lib/utils/ were validated by manually executing edge cases in the browser console during development. Functions tested include calculateScore() (XP formula), computeDiversificationScore() (HHI calculation), detectMistakes() (panic-sell and concentration checks), matchOrders() (order fill logic for all four order types), and getPriceAtMinute() (OHLCV lookup).</w:t>
      </w:r>
    </w:p>
    <w:p>
      <w:pPr>
        <w:spacing w:after="120"/>
        <w:jc w:val="both"/>
      </w:pPr>
      <w:r>
        <w:rPr>
          <w:rFonts w:ascii="Times New Roman" w:hAnsi="Times New Roman"/>
          <w:b w:val="0"/>
          <w:i w:val="0"/>
          <w:color w:val="000000"/>
          <w:sz w:val="24"/>
        </w:rPr>
        <w:t>Integration Testing — API Endpoints:</w:t>
      </w:r>
    </w:p>
    <w:p>
      <w:pPr>
        <w:spacing w:after="120"/>
        <w:ind w:firstLine="720"/>
        <w:jc w:val="both"/>
      </w:pPr>
      <w:r>
        <w:rPr>
          <w:rFonts w:ascii="Times New Roman" w:hAnsi="Times New Roman"/>
          <w:b w:val="0"/>
          <w:i w:val="0"/>
          <w:color w:val="000000"/>
          <w:sz w:val="24"/>
        </w:rPr>
        <w:t>Each of the five AI endpoints was tested using direct HTTP POST requests with representative payloads. Responses were validated for correct content type, expected JSON structure, and graceful error handling under simulated rate-limit conditions (by temporarily disabling all API keys).</w:t>
      </w:r>
    </w:p>
    <w:p>
      <w:pPr>
        <w:spacing w:after="120"/>
        <w:jc w:val="both"/>
      </w:pPr>
      <w:r>
        <w:rPr>
          <w:rFonts w:ascii="Times New Roman" w:hAnsi="Times New Roman"/>
          <w:b w:val="0"/>
          <w:i w:val="0"/>
          <w:color w:val="000000"/>
          <w:sz w:val="24"/>
        </w:rPr>
        <w:t>End-to-End Testing — User Flow:</w:t>
      </w:r>
    </w:p>
    <w:p>
      <w:pPr>
        <w:spacing w:after="120"/>
        <w:ind w:firstLine="720"/>
        <w:jc w:val="both"/>
      </w:pPr>
      <w:r>
        <w:rPr>
          <w:rFonts w:ascii="Times New Roman" w:hAnsi="Times New Roman"/>
          <w:b w:val="0"/>
          <w:i w:val="0"/>
          <w:color w:val="000000"/>
          <w:sz w:val="24"/>
        </w:rPr>
        <w:t>The complete user journey from landing page through authentication, onboarding, Prep Room, live trading, and AI feedback was manually walked through in a Chromium browser. Each screen transition, animation trigger, and state update was verified against expected behaviour. The test was repeated with and without Supabase environment variables to validate the graceful degradation path.</w:t>
      </w:r>
    </w:p>
    <w:p>
      <w:pPr>
        <w:spacing w:before="240" w:after="120"/>
      </w:pPr>
      <w:r>
        <w:rPr>
          <w:rFonts w:ascii="Times New Roman" w:hAnsi="Times New Roman"/>
          <w:b/>
          <w:i w:val="0"/>
          <w:color w:val="000000"/>
          <w:sz w:val="24"/>
        </w:rPr>
        <w:t>5.3.3  Test Cases and Results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567"/>
            <w:shd w:val="clear" w:color="auto" w:fill="D9D9D9"/>
          </w:tcPr>
          <w:p>
            <w:pPr>
              <w:jc w:val="center"/>
            </w:pPr>
            <w:r/>
            <w:r>
              <w:rPr>
                <w:rFonts w:ascii="Times New Roman" w:hAnsi="Times New Roman"/>
                <w:b/>
                <w:sz w:val="22"/>
              </w:rPr>
              <w:t>TC#</w:t>
            </w:r>
          </w:p>
        </w:tc>
        <w:tc>
          <w:tcPr>
            <w:tcW w:type="dxa" w:w="1701"/>
            <w:shd w:val="clear" w:color="auto" w:fill="D9D9D9"/>
          </w:tcPr>
          <w:p>
            <w:pPr>
              <w:jc w:val="center"/>
            </w:pPr>
            <w:r/>
            <w:r>
              <w:rPr>
                <w:rFonts w:ascii="Times New Roman" w:hAnsi="Times New Roman"/>
                <w:b/>
                <w:sz w:val="22"/>
              </w:rPr>
              <w:t>Component</w:t>
            </w:r>
          </w:p>
        </w:tc>
        <w:tc>
          <w:tcPr>
            <w:tcW w:type="dxa" w:w="2835"/>
            <w:shd w:val="clear" w:color="auto" w:fill="D9D9D9"/>
          </w:tcPr>
          <w:p>
            <w:pPr>
              <w:jc w:val="center"/>
            </w:pPr>
            <w:r/>
            <w:r>
              <w:rPr>
                <w:rFonts w:ascii="Times New Roman" w:hAnsi="Times New Roman"/>
                <w:b/>
                <w:sz w:val="22"/>
              </w:rPr>
              <w:t>Test Input / Action</w:t>
            </w:r>
          </w:p>
        </w:tc>
        <w:tc>
          <w:tcPr>
            <w:tcW w:type="dxa" w:w="1984"/>
            <w:shd w:val="clear" w:color="auto" w:fill="D9D9D9"/>
          </w:tcPr>
          <w:p>
            <w:pPr>
              <w:jc w:val="center"/>
            </w:pPr>
            <w:r/>
            <w:r>
              <w:rPr>
                <w:rFonts w:ascii="Times New Roman" w:hAnsi="Times New Roman"/>
                <w:b/>
                <w:sz w:val="22"/>
              </w:rPr>
              <w:t>Expected Result</w:t>
            </w:r>
          </w:p>
        </w:tc>
        <w:tc>
          <w:tcPr>
            <w:tcW w:type="dxa" w:w="1417"/>
            <w:shd w:val="clear" w:color="auto" w:fill="D9D9D9"/>
          </w:tcPr>
          <w:p>
            <w:pPr>
              <w:jc w:val="center"/>
            </w:pPr>
            <w:r/>
            <w:r>
              <w:rPr>
                <w:rFonts w:ascii="Times New Roman" w:hAnsi="Times New Roman"/>
                <w:b/>
                <w:sz w:val="22"/>
              </w:rPr>
              <w:t>Actual Result</w:t>
            </w:r>
          </w:p>
        </w:tc>
        <w:tc>
          <w:tcPr>
            <w:tcW w:type="dxa" w:w="567"/>
            <w:shd w:val="clear" w:color="auto" w:fill="D9D9D9"/>
          </w:tcPr>
          <w:p>
            <w:pPr>
              <w:jc w:val="center"/>
            </w:pPr>
            <w:r/>
            <w:r>
              <w:rPr>
                <w:rFonts w:ascii="Times New Roman" w:hAnsi="Times New Roman"/>
                <w:b/>
                <w:sz w:val="22"/>
              </w:rPr>
              <w:t>Pass/Fail</w:t>
            </w:r>
          </w:p>
        </w:tc>
      </w:tr>
      <w:tr>
        <w:tc>
          <w:tcPr>
            <w:tcW w:type="dxa" w:w="567"/>
          </w:tcPr>
          <w:p>
            <w:r/>
            <w:r>
              <w:rPr>
                <w:rFonts w:ascii="Times New Roman" w:hAnsi="Times New Roman"/>
                <w:sz w:val="22"/>
              </w:rPr>
              <w:t>TC-01</w:t>
            </w:r>
          </w:p>
        </w:tc>
        <w:tc>
          <w:tcPr>
            <w:tcW w:type="dxa" w:w="1701"/>
          </w:tcPr>
          <w:p>
            <w:r/>
            <w:r>
              <w:rPr>
                <w:rFonts w:ascii="Times New Roman" w:hAnsi="Times New Roman"/>
                <w:sz w:val="22"/>
              </w:rPr>
              <w:t>Scoring Engine</w:t>
            </w:r>
          </w:p>
        </w:tc>
        <w:tc>
          <w:tcPr>
            <w:tcW w:type="dxa" w:w="2835"/>
          </w:tcPr>
          <w:p>
            <w:r/>
            <w:r>
              <w:rPr>
                <w:rFonts w:ascii="Times New Roman" w:hAnsi="Times New Roman"/>
                <w:sz w:val="22"/>
              </w:rPr>
              <w:t>Direction=up, Actual=up, Magnitude diff=5%, Confidence=5 stars</w:t>
            </w:r>
          </w:p>
        </w:tc>
        <w:tc>
          <w:tcPr>
            <w:tcW w:type="dxa" w:w="1984"/>
          </w:tcPr>
          <w:p>
            <w:r/>
            <w:r>
              <w:rPr>
                <w:rFonts w:ascii="Times New Roman" w:hAnsi="Times New Roman"/>
                <w:sz w:val="22"/>
              </w:rPr>
              <w:t>XP = (50 + 46 + 20) * 1.5 = 174</w:t>
            </w:r>
          </w:p>
        </w:tc>
        <w:tc>
          <w:tcPr>
            <w:tcW w:type="dxa" w:w="1417"/>
          </w:tcPr>
          <w:p>
            <w:r/>
            <w:r>
              <w:rPr>
                <w:rFonts w:ascii="Times New Roman" w:hAnsi="Times New Roman"/>
                <w:sz w:val="22"/>
              </w:rPr>
              <w:t>174 XP</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TC-02</w:t>
            </w:r>
          </w:p>
        </w:tc>
        <w:tc>
          <w:tcPr>
            <w:tcW w:type="dxa" w:w="1701"/>
          </w:tcPr>
          <w:p>
            <w:r/>
            <w:r>
              <w:rPr>
                <w:rFonts w:ascii="Times New Roman" w:hAnsi="Times New Roman"/>
                <w:sz w:val="22"/>
              </w:rPr>
              <w:t>Scoring Engine</w:t>
            </w:r>
          </w:p>
        </w:tc>
        <w:tc>
          <w:tcPr>
            <w:tcW w:type="dxa" w:w="2835"/>
          </w:tcPr>
          <w:p>
            <w:r/>
            <w:r>
              <w:rPr>
                <w:rFonts w:ascii="Times New Roman" w:hAnsi="Times New Roman"/>
                <w:sz w:val="22"/>
              </w:rPr>
              <w:t>Direction=up, Actual=down, Confidence=5 stars</w:t>
            </w:r>
          </w:p>
        </w:tc>
        <w:tc>
          <w:tcPr>
            <w:tcW w:type="dxa" w:w="1984"/>
          </w:tcPr>
          <w:p>
            <w:r/>
            <w:r>
              <w:rPr>
                <w:rFonts w:ascii="Times New Roman" w:hAnsi="Times New Roman"/>
                <w:sz w:val="22"/>
              </w:rPr>
              <w:t>XP = 0 + 0 - 10 = -10 -&gt; clamped to 0</w:t>
            </w:r>
          </w:p>
        </w:tc>
        <w:tc>
          <w:tcPr>
            <w:tcW w:type="dxa" w:w="1417"/>
          </w:tcPr>
          <w:p>
            <w:r/>
            <w:r>
              <w:rPr>
                <w:rFonts w:ascii="Times New Roman" w:hAnsi="Times New Roman"/>
                <w:sz w:val="22"/>
              </w:rPr>
              <w:t>0 XP</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TC-03</w:t>
            </w:r>
          </w:p>
        </w:tc>
        <w:tc>
          <w:tcPr>
            <w:tcW w:type="dxa" w:w="1701"/>
          </w:tcPr>
          <w:p>
            <w:r/>
            <w:r>
              <w:rPr>
                <w:rFonts w:ascii="Times New Roman" w:hAnsi="Times New Roman"/>
                <w:sz w:val="22"/>
              </w:rPr>
              <w:t>Order Matching</w:t>
            </w:r>
          </w:p>
        </w:tc>
        <w:tc>
          <w:tcPr>
            <w:tcW w:type="dxa" w:w="2835"/>
          </w:tcPr>
          <w:p>
            <w:r/>
            <w:r>
              <w:rPr>
                <w:rFonts w:ascii="Times New Roman" w:hAnsi="Times New Roman"/>
                <w:sz w:val="22"/>
              </w:rPr>
              <w:t>MARKET BUY 10 units at Rs. 1247 with Rs. 1,00,000 cash</w:t>
            </w:r>
          </w:p>
        </w:tc>
        <w:tc>
          <w:tcPr>
            <w:tcW w:type="dxa" w:w="1984"/>
          </w:tcPr>
          <w:p>
            <w:r/>
            <w:r>
              <w:rPr>
                <w:rFonts w:ascii="Times New Roman" w:hAnsi="Times New Roman"/>
                <w:sz w:val="22"/>
              </w:rPr>
              <w:t>Order FILLED, cash reduced by Rs. 12,470</w:t>
            </w:r>
          </w:p>
        </w:tc>
        <w:tc>
          <w:tcPr>
            <w:tcW w:type="dxa" w:w="1417"/>
          </w:tcPr>
          <w:p>
            <w:r/>
            <w:r>
              <w:rPr>
                <w:rFonts w:ascii="Times New Roman" w:hAnsi="Times New Roman"/>
                <w:sz w:val="22"/>
              </w:rPr>
              <w:t>Filled correctly</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TC-04</w:t>
            </w:r>
          </w:p>
        </w:tc>
        <w:tc>
          <w:tcPr>
            <w:tcW w:type="dxa" w:w="1701"/>
          </w:tcPr>
          <w:p>
            <w:r/>
            <w:r>
              <w:rPr>
                <w:rFonts w:ascii="Times New Roman" w:hAnsi="Times New Roman"/>
                <w:sz w:val="22"/>
              </w:rPr>
              <w:t>Order Matching</w:t>
            </w:r>
          </w:p>
        </w:tc>
        <w:tc>
          <w:tcPr>
            <w:tcW w:type="dxa" w:w="2835"/>
          </w:tcPr>
          <w:p>
            <w:r/>
            <w:r>
              <w:rPr>
                <w:rFonts w:ascii="Times New Roman" w:hAnsi="Times New Roman"/>
                <w:sz w:val="22"/>
              </w:rPr>
              <w:t>SELL 10 units with 0 held position</w:t>
            </w:r>
          </w:p>
        </w:tc>
        <w:tc>
          <w:tcPr>
            <w:tcW w:type="dxa" w:w="1984"/>
          </w:tcPr>
          <w:p>
            <w:r/>
            <w:r>
              <w:rPr>
                <w:rFonts w:ascii="Times New Roman" w:hAnsi="Times New Roman"/>
                <w:sz w:val="22"/>
              </w:rPr>
              <w:t>Order REJECTED: Position too small to sell</w:t>
            </w:r>
          </w:p>
        </w:tc>
        <w:tc>
          <w:tcPr>
            <w:tcW w:type="dxa" w:w="1417"/>
          </w:tcPr>
          <w:p>
            <w:r/>
            <w:r>
              <w:rPr>
                <w:rFonts w:ascii="Times New Roman" w:hAnsi="Times New Roman"/>
                <w:sz w:val="22"/>
              </w:rPr>
              <w:t>Rejected</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TC-05</w:t>
            </w:r>
          </w:p>
        </w:tc>
        <w:tc>
          <w:tcPr>
            <w:tcW w:type="dxa" w:w="1701"/>
          </w:tcPr>
          <w:p>
            <w:r/>
            <w:r>
              <w:rPr>
                <w:rFonts w:ascii="Times New Roman" w:hAnsi="Times New Roman"/>
                <w:sz w:val="22"/>
              </w:rPr>
              <w:t>Order Matching</w:t>
            </w:r>
          </w:p>
        </w:tc>
        <w:tc>
          <w:tcPr>
            <w:tcW w:type="dxa" w:w="2835"/>
          </w:tcPr>
          <w:p>
            <w:r/>
            <w:r>
              <w:rPr>
                <w:rFonts w:ascii="Times New Roman" w:hAnsi="Times New Roman"/>
                <w:sz w:val="22"/>
              </w:rPr>
              <w:t>LIMIT BUY at Rs. 1240, current price Rs. 1245</w:t>
            </w:r>
          </w:p>
        </w:tc>
        <w:tc>
          <w:tcPr>
            <w:tcW w:type="dxa" w:w="1984"/>
          </w:tcPr>
          <w:p>
            <w:r/>
            <w:r>
              <w:rPr>
                <w:rFonts w:ascii="Times New Roman" w:hAnsi="Times New Roman"/>
                <w:sz w:val="22"/>
              </w:rPr>
              <w:t>Order remains PENDING</w:t>
            </w:r>
          </w:p>
        </w:tc>
        <w:tc>
          <w:tcPr>
            <w:tcW w:type="dxa" w:w="1417"/>
          </w:tcPr>
          <w:p>
            <w:r/>
            <w:r>
              <w:rPr>
                <w:rFonts w:ascii="Times New Roman" w:hAnsi="Times New Roman"/>
                <w:sz w:val="22"/>
              </w:rPr>
              <w:t>Pending</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TC-06</w:t>
            </w:r>
          </w:p>
        </w:tc>
        <w:tc>
          <w:tcPr>
            <w:tcW w:type="dxa" w:w="1701"/>
          </w:tcPr>
          <w:p>
            <w:r/>
            <w:r>
              <w:rPr>
                <w:rFonts w:ascii="Times New Roman" w:hAnsi="Times New Roman"/>
                <w:sz w:val="22"/>
              </w:rPr>
              <w:t>Circuit Breaker</w:t>
            </w:r>
          </w:p>
        </w:tc>
        <w:tc>
          <w:tcPr>
            <w:tcW w:type="dxa" w:w="2835"/>
          </w:tcPr>
          <w:p>
            <w:r/>
            <w:r>
              <w:rPr>
                <w:rFonts w:ascii="Times New Roman" w:hAnsi="Times New Roman"/>
                <w:sz w:val="22"/>
              </w:rPr>
              <w:t>Minute reaches ist(10,32) = minute 77</w:t>
            </w:r>
          </w:p>
        </w:tc>
        <w:tc>
          <w:tcPr>
            <w:tcW w:type="dxa" w:w="1984"/>
          </w:tcPr>
          <w:p>
            <w:r/>
            <w:r>
              <w:rPr>
                <w:rFonts w:ascii="Times New Roman" w:hAnsi="Times New Roman"/>
                <w:sz w:val="22"/>
              </w:rPr>
              <w:t>status = HALTED, currentHalt set for 15 min</w:t>
            </w:r>
          </w:p>
        </w:tc>
        <w:tc>
          <w:tcPr>
            <w:tcW w:type="dxa" w:w="1417"/>
          </w:tcPr>
          <w:p>
            <w:r/>
            <w:r>
              <w:rPr>
                <w:rFonts w:ascii="Times New Roman" w:hAnsi="Times New Roman"/>
                <w:sz w:val="22"/>
              </w:rPr>
              <w:t>Halted correctly</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TC-07</w:t>
            </w:r>
          </w:p>
        </w:tc>
        <w:tc>
          <w:tcPr>
            <w:tcW w:type="dxa" w:w="1701"/>
          </w:tcPr>
          <w:p>
            <w:r/>
            <w:r>
              <w:rPr>
                <w:rFonts w:ascii="Times New Roman" w:hAnsi="Times New Roman"/>
                <w:sz w:val="22"/>
              </w:rPr>
              <w:t>HHI Score</w:t>
            </w:r>
          </w:p>
        </w:tc>
        <w:tc>
          <w:tcPr>
            <w:tcW w:type="dxa" w:w="2835"/>
          </w:tcPr>
          <w:p>
            <w:r/>
            <w:r>
              <w:rPr>
                <w:rFonts w:ascii="Times New Roman" w:hAnsi="Times New Roman"/>
                <w:sz w:val="22"/>
              </w:rPr>
              <w:t>100% allocation to 1 stock</w:t>
            </w:r>
          </w:p>
        </w:tc>
        <w:tc>
          <w:tcPr>
            <w:tcW w:type="dxa" w:w="1984"/>
          </w:tcPr>
          <w:p>
            <w:r/>
            <w:r>
              <w:rPr>
                <w:rFonts w:ascii="Times New Roman" w:hAnsi="Times New Roman"/>
                <w:sz w:val="22"/>
              </w:rPr>
              <w:t>Diversification score = 0.0</w:t>
            </w:r>
          </w:p>
        </w:tc>
        <w:tc>
          <w:tcPr>
            <w:tcW w:type="dxa" w:w="1417"/>
          </w:tcPr>
          <w:p>
            <w:r/>
            <w:r>
              <w:rPr>
                <w:rFonts w:ascii="Times New Roman" w:hAnsi="Times New Roman"/>
                <w:sz w:val="22"/>
              </w:rPr>
              <w:t>0.0</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TC-08</w:t>
            </w:r>
          </w:p>
        </w:tc>
        <w:tc>
          <w:tcPr>
            <w:tcW w:type="dxa" w:w="1701"/>
          </w:tcPr>
          <w:p>
            <w:r/>
            <w:r>
              <w:rPr>
                <w:rFonts w:ascii="Times New Roman" w:hAnsi="Times New Roman"/>
                <w:sz w:val="22"/>
              </w:rPr>
              <w:t>HHI Score</w:t>
            </w:r>
          </w:p>
        </w:tc>
        <w:tc>
          <w:tcPr>
            <w:tcW w:type="dxa" w:w="2835"/>
          </w:tcPr>
          <w:p>
            <w:r/>
            <w:r>
              <w:rPr>
                <w:rFonts w:ascii="Times New Roman" w:hAnsi="Times New Roman"/>
                <w:sz w:val="22"/>
              </w:rPr>
              <w:t>Equal split across all 6 stocks</w:t>
            </w:r>
          </w:p>
        </w:tc>
        <w:tc>
          <w:tcPr>
            <w:tcW w:type="dxa" w:w="1984"/>
          </w:tcPr>
          <w:p>
            <w:r/>
            <w:r>
              <w:rPr>
                <w:rFonts w:ascii="Times New Roman" w:hAnsi="Times New Roman"/>
                <w:sz w:val="22"/>
              </w:rPr>
              <w:t>Diversification score = 5.0</w:t>
            </w:r>
          </w:p>
        </w:tc>
        <w:tc>
          <w:tcPr>
            <w:tcW w:type="dxa" w:w="1417"/>
          </w:tcPr>
          <w:p>
            <w:r/>
            <w:r>
              <w:rPr>
                <w:rFonts w:ascii="Times New Roman" w:hAnsi="Times New Roman"/>
                <w:sz w:val="22"/>
              </w:rPr>
              <w:t>5.0</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TC-09</w:t>
            </w:r>
          </w:p>
        </w:tc>
        <w:tc>
          <w:tcPr>
            <w:tcW w:type="dxa" w:w="1701"/>
          </w:tcPr>
          <w:p>
            <w:r/>
            <w:r>
              <w:rPr>
                <w:rFonts w:ascii="Times New Roman" w:hAnsi="Times New Roman"/>
                <w:sz w:val="22"/>
              </w:rPr>
              <w:t>AI Copilot</w:t>
            </w:r>
          </w:p>
        </w:tc>
        <w:tc>
          <w:tcPr>
            <w:tcW w:type="dxa" w:w="2835"/>
          </w:tcPr>
          <w:p>
            <w:r/>
            <w:r>
              <w:rPr>
                <w:rFonts w:ascii="Times New Roman" w:hAnsi="Times New Roman"/>
                <w:sz w:val="22"/>
              </w:rPr>
              <w:t>POST with valid market context and one user message</w:t>
            </w:r>
          </w:p>
        </w:tc>
        <w:tc>
          <w:tcPr>
            <w:tcW w:type="dxa" w:w="1984"/>
          </w:tcPr>
          <w:p>
            <w:r/>
            <w:r>
              <w:rPr>
                <w:rFonts w:ascii="Times New Roman" w:hAnsi="Times New Roman"/>
                <w:sz w:val="22"/>
              </w:rPr>
              <w:t>Streaming text response received</w:t>
            </w:r>
          </w:p>
        </w:tc>
        <w:tc>
          <w:tcPr>
            <w:tcW w:type="dxa" w:w="1417"/>
          </w:tcPr>
          <w:p>
            <w:r/>
            <w:r>
              <w:rPr>
                <w:rFonts w:ascii="Times New Roman" w:hAnsi="Times New Roman"/>
                <w:sz w:val="22"/>
              </w:rPr>
              <w:t>Streaming OK</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TC-10</w:t>
            </w:r>
          </w:p>
        </w:tc>
        <w:tc>
          <w:tcPr>
            <w:tcW w:type="dxa" w:w="1701"/>
          </w:tcPr>
          <w:p>
            <w:r/>
            <w:r>
              <w:rPr>
                <w:rFonts w:ascii="Times New Roman" w:hAnsi="Times New Roman"/>
                <w:sz w:val="22"/>
              </w:rPr>
              <w:t>AI Copilot</w:t>
            </w:r>
          </w:p>
        </w:tc>
        <w:tc>
          <w:tcPr>
            <w:tcW w:type="dxa" w:w="2835"/>
          </w:tcPr>
          <w:p>
            <w:r/>
            <w:r>
              <w:rPr>
                <w:rFonts w:ascii="Times New Roman" w:hAnsi="Times New Roman"/>
                <w:sz w:val="22"/>
              </w:rPr>
              <w:t>All 4 Groq keys disabled (empty env vars)</w:t>
            </w:r>
          </w:p>
        </w:tc>
        <w:tc>
          <w:tcPr>
            <w:tcW w:type="dxa" w:w="1984"/>
          </w:tcPr>
          <w:p>
            <w:r/>
            <w:r>
              <w:rPr>
                <w:rFonts w:ascii="Times New Roman" w:hAnsi="Times New Roman"/>
                <w:sz w:val="22"/>
              </w:rPr>
              <w:t>Returns 500 with error JSON</w:t>
            </w:r>
          </w:p>
        </w:tc>
        <w:tc>
          <w:tcPr>
            <w:tcW w:type="dxa" w:w="1417"/>
          </w:tcPr>
          <w:p>
            <w:r/>
            <w:r>
              <w:rPr>
                <w:rFonts w:ascii="Times New Roman" w:hAnsi="Times New Roman"/>
                <w:sz w:val="22"/>
              </w:rPr>
              <w:t>500 returned</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TC-11</w:t>
            </w:r>
          </w:p>
        </w:tc>
        <w:tc>
          <w:tcPr>
            <w:tcW w:type="dxa" w:w="1701"/>
          </w:tcPr>
          <w:p>
            <w:r/>
            <w:r>
              <w:rPr>
                <w:rFonts w:ascii="Times New Roman" w:hAnsi="Times New Roman"/>
                <w:sz w:val="22"/>
              </w:rPr>
              <w:t>Sentiment API</w:t>
            </w:r>
          </w:p>
        </w:tc>
        <w:tc>
          <w:tcPr>
            <w:tcW w:type="dxa" w:w="2835"/>
          </w:tcPr>
          <w:p>
            <w:r/>
            <w:r>
              <w:rPr>
                <w:rFonts w:ascii="Times New Roman" w:hAnsi="Times New Roman"/>
                <w:sz w:val="22"/>
              </w:rPr>
              <w:t>POST { headline: 'Market crashes 10%' }</w:t>
            </w:r>
          </w:p>
        </w:tc>
        <w:tc>
          <w:tcPr>
            <w:tcW w:type="dxa" w:w="1984"/>
          </w:tcPr>
          <w:p>
            <w:r/>
            <w:r>
              <w:rPr>
                <w:rFonts w:ascii="Times New Roman" w:hAnsi="Times New Roman"/>
                <w:sz w:val="22"/>
              </w:rPr>
              <w:t>{ score: &lt; 30, type: 'bearish' }</w:t>
            </w:r>
          </w:p>
        </w:tc>
        <w:tc>
          <w:tcPr>
            <w:tcW w:type="dxa" w:w="1417"/>
          </w:tcPr>
          <w:p>
            <w:r/>
            <w:r>
              <w:rPr>
                <w:rFonts w:ascii="Times New Roman" w:hAnsi="Times New Roman"/>
                <w:sz w:val="22"/>
              </w:rPr>
              <w:t>score=12,bearish</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TC-12</w:t>
            </w:r>
          </w:p>
        </w:tc>
        <w:tc>
          <w:tcPr>
            <w:tcW w:type="dxa" w:w="1701"/>
          </w:tcPr>
          <w:p>
            <w:r/>
            <w:r>
              <w:rPr>
                <w:rFonts w:ascii="Times New Roman" w:hAnsi="Times New Roman"/>
                <w:sz w:val="22"/>
              </w:rPr>
              <w:t>Auth Middleware</w:t>
            </w:r>
          </w:p>
        </w:tc>
        <w:tc>
          <w:tcPr>
            <w:tcW w:type="dxa" w:w="2835"/>
          </w:tcPr>
          <w:p>
            <w:r/>
            <w:r>
              <w:rPr>
                <w:rFonts w:ascii="Times New Roman" w:hAnsi="Times New Roman"/>
                <w:sz w:val="22"/>
              </w:rPr>
              <w:t>Unauthenticated request to /profile</w:t>
            </w:r>
          </w:p>
        </w:tc>
        <w:tc>
          <w:tcPr>
            <w:tcW w:type="dxa" w:w="1984"/>
          </w:tcPr>
          <w:p>
            <w:r/>
            <w:r>
              <w:rPr>
                <w:rFonts w:ascii="Times New Roman" w:hAnsi="Times New Roman"/>
                <w:sz w:val="22"/>
              </w:rPr>
              <w:t>Redirect to /signup</w:t>
            </w:r>
          </w:p>
        </w:tc>
        <w:tc>
          <w:tcPr>
            <w:tcW w:type="dxa" w:w="1417"/>
          </w:tcPr>
          <w:p>
            <w:r/>
            <w:r>
              <w:rPr>
                <w:rFonts w:ascii="Times New Roman" w:hAnsi="Times New Roman"/>
                <w:sz w:val="22"/>
              </w:rPr>
              <w:t>Redirected</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TC-13</w:t>
            </w:r>
          </w:p>
        </w:tc>
        <w:tc>
          <w:tcPr>
            <w:tcW w:type="dxa" w:w="1701"/>
          </w:tcPr>
          <w:p>
            <w:r/>
            <w:r>
              <w:rPr>
                <w:rFonts w:ascii="Times New Roman" w:hAnsi="Times New Roman"/>
                <w:sz w:val="22"/>
              </w:rPr>
              <w:t>localStorage</w:t>
            </w:r>
          </w:p>
        </w:tc>
        <w:tc>
          <w:tcPr>
            <w:tcW w:type="dxa" w:w="2835"/>
          </w:tcPr>
          <w:p>
            <w:r/>
            <w:r>
              <w:rPr>
                <w:rFonts w:ascii="Times New Roman" w:hAnsi="Times New Roman"/>
                <w:sz w:val="22"/>
              </w:rPr>
              <w:t>updateXP(500) on level-1 user with 0 XP</w:t>
            </w:r>
          </w:p>
        </w:tc>
        <w:tc>
          <w:tcPr>
            <w:tcW w:type="dxa" w:w="1984"/>
          </w:tcPr>
          <w:p>
            <w:r/>
            <w:r>
              <w:rPr>
                <w:rFonts w:ascii="Times New Roman" w:hAnsi="Times New Roman"/>
                <w:sz w:val="22"/>
              </w:rPr>
              <w:t>level advances to 2</w:t>
            </w:r>
          </w:p>
        </w:tc>
        <w:tc>
          <w:tcPr>
            <w:tcW w:type="dxa" w:w="1417"/>
          </w:tcPr>
          <w:p>
            <w:r/>
            <w:r>
              <w:rPr>
                <w:rFonts w:ascii="Times New Roman" w:hAnsi="Times New Roman"/>
                <w:sz w:val="22"/>
              </w:rPr>
              <w:t>Level = 2</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TC-14</w:t>
            </w:r>
          </w:p>
        </w:tc>
        <w:tc>
          <w:tcPr>
            <w:tcW w:type="dxa" w:w="1701"/>
          </w:tcPr>
          <w:p>
            <w:r/>
            <w:r>
              <w:rPr>
                <w:rFonts w:ascii="Times New Roman" w:hAnsi="Times New Roman"/>
                <w:sz w:val="22"/>
              </w:rPr>
              <w:t>Telemetry</w:t>
            </w:r>
          </w:p>
        </w:tc>
        <w:tc>
          <w:tcPr>
            <w:tcW w:type="dxa" w:w="2835"/>
          </w:tcPr>
          <w:p>
            <w:r/>
            <w:r>
              <w:rPr>
                <w:rFonts w:ascii="Times New Roman" w:hAnsi="Times New Roman"/>
                <w:sz w:val="22"/>
              </w:rPr>
              <w:t>View artifact for 5000 ms, then deploy</w:t>
            </w:r>
          </w:p>
        </w:tc>
        <w:tc>
          <w:tcPr>
            <w:tcW w:type="dxa" w:w="1984"/>
          </w:tcPr>
          <w:p>
            <w:r/>
            <w:r>
              <w:rPr>
                <w:rFonts w:ascii="Times New Roman" w:hAnsi="Times New Roman"/>
                <w:sz w:val="22"/>
              </w:rPr>
              <w:t>artifactsViewed[key] &gt;= 5000 ms in summary</w:t>
            </w:r>
          </w:p>
        </w:tc>
        <w:tc>
          <w:tcPr>
            <w:tcW w:type="dxa" w:w="1417"/>
          </w:tcPr>
          <w:p>
            <w:r/>
            <w:r>
              <w:rPr>
                <w:rFonts w:ascii="Times New Roman" w:hAnsi="Times New Roman"/>
                <w:sz w:val="22"/>
              </w:rPr>
              <w:t>Recorded OK</w:t>
            </w:r>
          </w:p>
        </w:tc>
        <w:tc>
          <w:tcPr>
            <w:tcW w:type="dxa" w:w="567"/>
          </w:tcPr>
          <w:p>
            <w:r/>
            <w:r>
              <w:rPr>
                <w:rFonts w:ascii="Times New Roman" w:hAnsi="Times New Roman"/>
                <w:sz w:val="22"/>
              </w:rPr>
              <w:t>Pass</w:t>
            </w:r>
          </w:p>
        </w:tc>
      </w:tr>
      <w:tr>
        <w:tc>
          <w:tcPr>
            <w:tcW w:type="dxa" w:w="567"/>
          </w:tcPr>
          <w:p>
            <w:r/>
            <w:r>
              <w:rPr>
                <w:rFonts w:ascii="Times New Roman" w:hAnsi="Times New Roman"/>
                <w:sz w:val="22"/>
              </w:rPr>
              <w:t>TC-15</w:t>
            </w:r>
          </w:p>
        </w:tc>
        <w:tc>
          <w:tcPr>
            <w:tcW w:type="dxa" w:w="1701"/>
          </w:tcPr>
          <w:p>
            <w:r/>
            <w:r>
              <w:rPr>
                <w:rFonts w:ascii="Times New Roman" w:hAnsi="Times New Roman"/>
                <w:sz w:val="22"/>
              </w:rPr>
              <w:t>Sound Engine</w:t>
            </w:r>
          </w:p>
        </w:tc>
        <w:tc>
          <w:tcPr>
            <w:tcW w:type="dxa" w:w="2835"/>
          </w:tcPr>
          <w:p>
            <w:r/>
            <w:r>
              <w:rPr>
                <w:rFonts w:ascii="Times New Roman" w:hAnsi="Times New Roman"/>
                <w:sz w:val="22"/>
              </w:rPr>
              <w:t>playSound('tick-soft') called twice within 3 seconds</w:t>
            </w:r>
          </w:p>
        </w:tc>
        <w:tc>
          <w:tcPr>
            <w:tcW w:type="dxa" w:w="1984"/>
          </w:tcPr>
          <w:p>
            <w:r/>
            <w:r>
              <w:rPr>
                <w:rFonts w:ascii="Times New Roman" w:hAnsi="Times New Roman"/>
                <w:sz w:val="22"/>
              </w:rPr>
              <w:t>Second call throttled, no audio</w:t>
            </w:r>
          </w:p>
        </w:tc>
        <w:tc>
          <w:tcPr>
            <w:tcW w:type="dxa" w:w="1417"/>
          </w:tcPr>
          <w:p>
            <w:r/>
            <w:r>
              <w:rPr>
                <w:rFonts w:ascii="Times New Roman" w:hAnsi="Times New Roman"/>
                <w:sz w:val="22"/>
              </w:rPr>
              <w:t>Throttled</w:t>
            </w:r>
          </w:p>
        </w:tc>
        <w:tc>
          <w:tcPr>
            <w:tcW w:type="dxa" w:w="567"/>
          </w:tcPr>
          <w:p>
            <w:r/>
            <w:r>
              <w:rPr>
                <w:rFonts w:ascii="Times New Roman" w:hAnsi="Times New Roman"/>
                <w:sz w:val="22"/>
              </w:rPr>
              <w:t>Pass</w:t>
            </w:r>
          </w:p>
        </w:tc>
      </w:tr>
    </w:tbl>
    <w:p/>
    <w:p>
      <w:pPr>
        <w:spacing w:before="60" w:after="200"/>
        <w:jc w:val="center"/>
      </w:pPr>
      <w:r>
        <w:rPr>
          <w:rFonts w:ascii="Times New Roman" w:hAnsi="Times New Roman"/>
          <w:b w:val="0"/>
          <w:i/>
          <w:color w:val="000000"/>
          <w:sz w:val="20"/>
        </w:rPr>
        <w:t>Table 5.6: Test cases, inputs, expected results, and pass/fail status</w:t>
      </w:r>
    </w:p>
    <w:p>
      <w:pPr>
        <w:spacing w:before="240" w:after="120"/>
      </w:pPr>
      <w:r>
        <w:rPr>
          <w:rFonts w:ascii="Times New Roman" w:hAnsi="Times New Roman"/>
          <w:b/>
          <w:i w:val="0"/>
          <w:color w:val="000000"/>
          <w:sz w:val="24"/>
        </w:rPr>
        <w:t>5.3.4  Bug and Issue Tracking Summary</w:t>
      </w:r>
    </w:p>
    <w:tbl>
      <w:tblPr>
        <w:tblStyle w:val="TableGrid"/>
        <w:tblW w:type="auto" w:w="0"/>
        <w:jc w:val="center"/>
        <w:tblLook w:firstColumn="1" w:firstRow="1" w:lastColumn="0" w:lastRow="0" w:noHBand="0" w:noVBand="1" w:val="04A0"/>
      </w:tblPr>
      <w:tblGrid>
        <w:gridCol w:w="1801"/>
        <w:gridCol w:w="1801"/>
        <w:gridCol w:w="1801"/>
        <w:gridCol w:w="1801"/>
        <w:gridCol w:w="1801"/>
      </w:tblGrid>
      <w:tr>
        <w:tc>
          <w:tcPr>
            <w:tcW w:type="dxa" w:w="850"/>
            <w:shd w:val="clear" w:color="auto" w:fill="D9D9D9"/>
          </w:tcPr>
          <w:p>
            <w:pPr>
              <w:jc w:val="center"/>
            </w:pPr>
            <w:r/>
            <w:r>
              <w:rPr>
                <w:rFonts w:ascii="Times New Roman" w:hAnsi="Times New Roman"/>
                <w:b/>
                <w:sz w:val="22"/>
              </w:rPr>
              <w:t>Issue ID</w:t>
            </w:r>
          </w:p>
        </w:tc>
        <w:tc>
          <w:tcPr>
            <w:tcW w:type="dxa" w:w="2835"/>
            <w:shd w:val="clear" w:color="auto" w:fill="D9D9D9"/>
          </w:tcPr>
          <w:p>
            <w:pPr>
              <w:jc w:val="center"/>
            </w:pPr>
            <w:r/>
            <w:r>
              <w:rPr>
                <w:rFonts w:ascii="Times New Roman" w:hAnsi="Times New Roman"/>
                <w:b/>
                <w:sz w:val="22"/>
              </w:rPr>
              <w:t>Description</w:t>
            </w:r>
          </w:p>
        </w:tc>
        <w:tc>
          <w:tcPr>
            <w:tcW w:type="dxa" w:w="1134"/>
            <w:shd w:val="clear" w:color="auto" w:fill="D9D9D9"/>
          </w:tcPr>
          <w:p>
            <w:pPr>
              <w:jc w:val="center"/>
            </w:pPr>
            <w:r/>
            <w:r>
              <w:rPr>
                <w:rFonts w:ascii="Times New Roman" w:hAnsi="Times New Roman"/>
                <w:b/>
                <w:sz w:val="22"/>
              </w:rPr>
              <w:t>Severity</w:t>
            </w:r>
          </w:p>
        </w:tc>
        <w:tc>
          <w:tcPr>
            <w:tcW w:type="dxa" w:w="1020"/>
            <w:shd w:val="clear" w:color="auto" w:fill="D9D9D9"/>
          </w:tcPr>
          <w:p>
            <w:pPr>
              <w:jc w:val="center"/>
            </w:pPr>
            <w:r/>
            <w:r>
              <w:rPr>
                <w:rFonts w:ascii="Times New Roman" w:hAnsi="Times New Roman"/>
                <w:b/>
                <w:sz w:val="22"/>
              </w:rPr>
              <w:t>Status</w:t>
            </w:r>
          </w:p>
        </w:tc>
        <w:tc>
          <w:tcPr>
            <w:tcW w:type="dxa" w:w="3231"/>
            <w:shd w:val="clear" w:color="auto" w:fill="D9D9D9"/>
          </w:tcPr>
          <w:p>
            <w:pPr>
              <w:jc w:val="center"/>
            </w:pPr>
            <w:r/>
            <w:r>
              <w:rPr>
                <w:rFonts w:ascii="Times New Roman" w:hAnsi="Times New Roman"/>
                <w:b/>
                <w:sz w:val="22"/>
              </w:rPr>
              <w:t>Resolution</w:t>
            </w:r>
          </w:p>
        </w:tc>
      </w:tr>
      <w:tr>
        <w:tc>
          <w:tcPr>
            <w:tcW w:type="dxa" w:w="850"/>
          </w:tcPr>
          <w:p>
            <w:r/>
            <w:r>
              <w:rPr>
                <w:rFonts w:ascii="Times New Roman" w:hAnsi="Times New Roman"/>
                <w:sz w:val="22"/>
              </w:rPr>
              <w:t>BUG-01</w:t>
            </w:r>
          </w:p>
        </w:tc>
        <w:tc>
          <w:tcPr>
            <w:tcW w:type="dxa" w:w="2835"/>
          </w:tcPr>
          <w:p>
            <w:r/>
            <w:r>
              <w:rPr>
                <w:rFonts w:ascii="Times New Roman" w:hAnsi="Times New Roman"/>
                <w:sz w:val="22"/>
              </w:rPr>
              <w:t>ECONNREFUSED proxy error in Vite dev environment when backend not running</w:t>
            </w:r>
          </w:p>
        </w:tc>
        <w:tc>
          <w:tcPr>
            <w:tcW w:type="dxa" w:w="1134"/>
          </w:tcPr>
          <w:p>
            <w:r/>
            <w:r>
              <w:rPr>
                <w:rFonts w:ascii="Times New Roman" w:hAnsi="Times New Roman"/>
                <w:sz w:val="22"/>
              </w:rPr>
              <w:t>Medium</w:t>
            </w:r>
          </w:p>
        </w:tc>
        <w:tc>
          <w:tcPr>
            <w:tcW w:type="dxa" w:w="1020"/>
          </w:tcPr>
          <w:p>
            <w:r/>
            <w:r>
              <w:rPr>
                <w:rFonts w:ascii="Times New Roman" w:hAnsi="Times New Roman"/>
                <w:sz w:val="22"/>
              </w:rPr>
              <w:t>Resolved</w:t>
            </w:r>
          </w:p>
        </w:tc>
        <w:tc>
          <w:tcPr>
            <w:tcW w:type="dxa" w:w="3231"/>
          </w:tcPr>
          <w:p>
            <w:r/>
            <w:r>
              <w:rPr>
                <w:rFonts w:ascii="Times New Roman" w:hAnsi="Times New Roman"/>
                <w:sz w:val="22"/>
              </w:rPr>
              <w:t>Removed legacy Vite config; project migrated fully to Next.js API routes</w:t>
            </w:r>
          </w:p>
        </w:tc>
      </w:tr>
      <w:tr>
        <w:tc>
          <w:tcPr>
            <w:tcW w:type="dxa" w:w="850"/>
          </w:tcPr>
          <w:p>
            <w:r/>
            <w:r>
              <w:rPr>
                <w:rFonts w:ascii="Times New Roman" w:hAnsi="Times New Roman"/>
                <w:sz w:val="22"/>
              </w:rPr>
              <w:t>BUG-02</w:t>
            </w:r>
          </w:p>
        </w:tc>
        <w:tc>
          <w:tcPr>
            <w:tcW w:type="dxa" w:w="2835"/>
          </w:tcPr>
          <w:p>
            <w:r/>
            <w:r>
              <w:rPr>
                <w:rFonts w:ascii="Times New Roman" w:hAnsi="Times New Roman"/>
                <w:sz w:val="22"/>
              </w:rPr>
              <w:t>UnicodeEncodeError in Windows cp1252 terminal when printing arrow character</w:t>
            </w:r>
          </w:p>
        </w:tc>
        <w:tc>
          <w:tcPr>
            <w:tcW w:type="dxa" w:w="1134"/>
          </w:tcPr>
          <w:p>
            <w:r/>
            <w:r>
              <w:rPr>
                <w:rFonts w:ascii="Times New Roman" w:hAnsi="Times New Roman"/>
                <w:sz w:val="22"/>
              </w:rPr>
              <w:t>Low</w:t>
            </w:r>
          </w:p>
        </w:tc>
        <w:tc>
          <w:tcPr>
            <w:tcW w:type="dxa" w:w="1020"/>
          </w:tcPr>
          <w:p>
            <w:r/>
            <w:r>
              <w:rPr>
                <w:rFonts w:ascii="Times New Roman" w:hAnsi="Times New Roman"/>
                <w:sz w:val="22"/>
              </w:rPr>
              <w:t>Resolved</w:t>
            </w:r>
          </w:p>
        </w:tc>
        <w:tc>
          <w:tcPr>
            <w:tcW w:type="dxa" w:w="3231"/>
          </w:tcPr>
          <w:p>
            <w:r/>
            <w:r>
              <w:rPr>
                <w:rFonts w:ascii="Times New Roman" w:hAnsi="Times New Roman"/>
                <w:sz w:val="22"/>
              </w:rPr>
              <w:t>Replaced Unicode arrow with ASCII equivalent in print statement</w:t>
            </w:r>
          </w:p>
        </w:tc>
      </w:tr>
      <w:tr>
        <w:tc>
          <w:tcPr>
            <w:tcW w:type="dxa" w:w="850"/>
          </w:tcPr>
          <w:p>
            <w:r/>
            <w:r>
              <w:rPr>
                <w:rFonts w:ascii="Times New Roman" w:hAnsi="Times New Roman"/>
                <w:sz w:val="22"/>
              </w:rPr>
              <w:t>BUG-03</w:t>
            </w:r>
          </w:p>
        </w:tc>
        <w:tc>
          <w:tcPr>
            <w:tcW w:type="dxa" w:w="2835"/>
          </w:tcPr>
          <w:p>
            <w:r/>
            <w:r>
              <w:rPr>
                <w:rFonts w:ascii="Times New Roman" w:hAnsi="Times New Roman"/>
                <w:sz w:val="22"/>
              </w:rPr>
              <w:t>AI feedback endpoint returns raw text instead of JSON when model produces markdown fences</w:t>
            </w:r>
          </w:p>
        </w:tc>
        <w:tc>
          <w:tcPr>
            <w:tcW w:type="dxa" w:w="1134"/>
          </w:tcPr>
          <w:p>
            <w:r/>
            <w:r>
              <w:rPr>
                <w:rFonts w:ascii="Times New Roman" w:hAnsi="Times New Roman"/>
                <w:sz w:val="22"/>
              </w:rPr>
              <w:t>Medium</w:t>
            </w:r>
          </w:p>
        </w:tc>
        <w:tc>
          <w:tcPr>
            <w:tcW w:type="dxa" w:w="1020"/>
          </w:tcPr>
          <w:p>
            <w:r/>
            <w:r>
              <w:rPr>
                <w:rFonts w:ascii="Times New Roman" w:hAnsi="Times New Roman"/>
                <w:sz w:val="22"/>
              </w:rPr>
              <w:t>Resolved</w:t>
            </w:r>
          </w:p>
        </w:tc>
        <w:tc>
          <w:tcPr>
            <w:tcW w:type="dxa" w:w="3231"/>
          </w:tcPr>
          <w:p>
            <w:r/>
            <w:r>
              <w:rPr>
                <w:rFonts w:ascii="Times New Roman" w:hAnsi="Times New Roman"/>
                <w:sz w:val="22"/>
              </w:rPr>
              <w:t>Added JSON fence stripping logic in /api/sentiment; feedback endpoint uses response_format: json_object</w:t>
            </w:r>
          </w:p>
        </w:tc>
      </w:tr>
      <w:tr>
        <w:tc>
          <w:tcPr>
            <w:tcW w:type="dxa" w:w="850"/>
          </w:tcPr>
          <w:p>
            <w:r/>
            <w:r>
              <w:rPr>
                <w:rFonts w:ascii="Times New Roman" w:hAnsi="Times New Roman"/>
                <w:sz w:val="22"/>
              </w:rPr>
              <w:t>BUG-04</w:t>
            </w:r>
          </w:p>
        </w:tc>
        <w:tc>
          <w:tcPr>
            <w:tcW w:type="dxa" w:w="2835"/>
          </w:tcPr>
          <w:p>
            <w:r/>
            <w:r>
              <w:rPr>
                <w:rFonts w:ascii="Times New Roman" w:hAnsi="Times New Roman"/>
                <w:sz w:val="22"/>
              </w:rPr>
              <w:t>Live session tick continues running after component unmounts (memory leak)</w:t>
            </w:r>
          </w:p>
        </w:tc>
        <w:tc>
          <w:tcPr>
            <w:tcW w:type="dxa" w:w="1134"/>
          </w:tcPr>
          <w:p>
            <w:r/>
            <w:r>
              <w:rPr>
                <w:rFonts w:ascii="Times New Roman" w:hAnsi="Times New Roman"/>
                <w:sz w:val="22"/>
              </w:rPr>
              <w:t>High</w:t>
            </w:r>
          </w:p>
        </w:tc>
        <w:tc>
          <w:tcPr>
            <w:tcW w:type="dxa" w:w="1020"/>
          </w:tcPr>
          <w:p>
            <w:r/>
            <w:r>
              <w:rPr>
                <w:rFonts w:ascii="Times New Roman" w:hAnsi="Times New Roman"/>
                <w:sz w:val="22"/>
              </w:rPr>
              <w:t>Resolved</w:t>
            </w:r>
          </w:p>
        </w:tc>
        <w:tc>
          <w:tcPr>
            <w:tcW w:type="dxa" w:w="3231"/>
          </w:tcPr>
          <w:p>
            <w:r/>
            <w:r>
              <w:rPr>
                <w:rFonts w:ascii="Times New Roman" w:hAnsi="Times New Roman"/>
                <w:sz w:val="22"/>
              </w:rPr>
              <w:t>clearInterval called in useEffect cleanup function and on END action</w:t>
            </w:r>
          </w:p>
        </w:tc>
      </w:tr>
      <w:tr>
        <w:tc>
          <w:tcPr>
            <w:tcW w:type="dxa" w:w="850"/>
          </w:tcPr>
          <w:p>
            <w:r/>
            <w:r>
              <w:rPr>
                <w:rFonts w:ascii="Times New Roman" w:hAnsi="Times New Roman"/>
                <w:sz w:val="22"/>
              </w:rPr>
              <w:t>BUG-05</w:t>
            </w:r>
          </w:p>
        </w:tc>
        <w:tc>
          <w:tcPr>
            <w:tcW w:type="dxa" w:w="2835"/>
          </w:tcPr>
          <w:p>
            <w:r/>
            <w:r>
              <w:rPr>
                <w:rFonts w:ascii="Times New Roman" w:hAnsi="Times New Roman"/>
                <w:sz w:val="22"/>
              </w:rPr>
              <w:t>Supabase cookie not refreshed on server-side requests in middleware</w:t>
            </w:r>
          </w:p>
        </w:tc>
        <w:tc>
          <w:tcPr>
            <w:tcW w:type="dxa" w:w="1134"/>
          </w:tcPr>
          <w:p>
            <w:r/>
            <w:r>
              <w:rPr>
                <w:rFonts w:ascii="Times New Roman" w:hAnsi="Times New Roman"/>
                <w:sz w:val="22"/>
              </w:rPr>
              <w:t>High</w:t>
            </w:r>
          </w:p>
        </w:tc>
        <w:tc>
          <w:tcPr>
            <w:tcW w:type="dxa" w:w="1020"/>
          </w:tcPr>
          <w:p>
            <w:r/>
            <w:r>
              <w:rPr>
                <w:rFonts w:ascii="Times New Roman" w:hAnsi="Times New Roman"/>
                <w:sz w:val="22"/>
              </w:rPr>
              <w:t>Resolved</w:t>
            </w:r>
          </w:p>
        </w:tc>
        <w:tc>
          <w:tcPr>
            <w:tcW w:type="dxa" w:w="3231"/>
          </w:tcPr>
          <w:p>
            <w:r/>
            <w:r>
              <w:rPr>
                <w:rFonts w:ascii="Times New Roman" w:hAnsi="Times New Roman"/>
                <w:sz w:val="22"/>
              </w:rPr>
              <w:t>Implemented setAll cookie handler in createServerClient to propagate cookie updates</w:t>
            </w:r>
          </w:p>
        </w:tc>
      </w:tr>
      <w:tr>
        <w:tc>
          <w:tcPr>
            <w:tcW w:type="dxa" w:w="850"/>
          </w:tcPr>
          <w:p>
            <w:r/>
            <w:r>
              <w:rPr>
                <w:rFonts w:ascii="Times New Roman" w:hAnsi="Times New Roman"/>
                <w:sz w:val="22"/>
              </w:rPr>
              <w:t>BUG-06</w:t>
            </w:r>
          </w:p>
        </w:tc>
        <w:tc>
          <w:tcPr>
            <w:tcW w:type="dxa" w:w="2835"/>
          </w:tcPr>
          <w:p>
            <w:r/>
            <w:r>
              <w:rPr>
                <w:rFonts w:ascii="Times New Roman" w:hAnsi="Times New Roman"/>
                <w:sz w:val="22"/>
              </w:rPr>
              <w:t>LIMIT order fills even when price has not crossed the limit level</w:t>
            </w:r>
          </w:p>
        </w:tc>
        <w:tc>
          <w:tcPr>
            <w:tcW w:type="dxa" w:w="1134"/>
          </w:tcPr>
          <w:p>
            <w:r/>
            <w:r>
              <w:rPr>
                <w:rFonts w:ascii="Times New Roman" w:hAnsi="Times New Roman"/>
                <w:sz w:val="22"/>
              </w:rPr>
              <w:t>Medium</w:t>
            </w:r>
          </w:p>
        </w:tc>
        <w:tc>
          <w:tcPr>
            <w:tcW w:type="dxa" w:w="1020"/>
          </w:tcPr>
          <w:p>
            <w:r/>
            <w:r>
              <w:rPr>
                <w:rFonts w:ascii="Times New Roman" w:hAnsi="Times New Roman"/>
                <w:sz w:val="22"/>
              </w:rPr>
              <w:t>Resolved</w:t>
            </w:r>
          </w:p>
        </w:tc>
        <w:tc>
          <w:tcPr>
            <w:tcW w:type="dxa" w:w="3231"/>
          </w:tcPr>
          <w:p>
            <w:r/>
            <w:r>
              <w:rPr>
                <w:rFonts w:ascii="Times New Roman" w:hAnsi="Times New Roman"/>
                <w:sz w:val="22"/>
              </w:rPr>
              <w:t>Fixed comparison logic in matchOrders: BUY fills only if price &lt;= limit, SELL only if price &gt;= limit</w:t>
            </w:r>
          </w:p>
        </w:tc>
      </w:tr>
      <w:tr>
        <w:tc>
          <w:tcPr>
            <w:tcW w:type="dxa" w:w="850"/>
          </w:tcPr>
          <w:p>
            <w:r/>
            <w:r>
              <w:rPr>
                <w:rFonts w:ascii="Times New Roman" w:hAnsi="Times New Roman"/>
                <w:sz w:val="22"/>
              </w:rPr>
              <w:t>BUG-07</w:t>
            </w:r>
          </w:p>
        </w:tc>
        <w:tc>
          <w:tcPr>
            <w:tcW w:type="dxa" w:w="2835"/>
          </w:tcPr>
          <w:p>
            <w:r/>
            <w:r>
              <w:rPr>
                <w:rFonts w:ascii="Times New Roman" w:hAnsi="Times New Roman"/>
                <w:sz w:val="22"/>
              </w:rPr>
              <w:t>9 scenarios have metadata but no live OHLCV data files</w:t>
            </w:r>
          </w:p>
        </w:tc>
        <w:tc>
          <w:tcPr>
            <w:tcW w:type="dxa" w:w="1134"/>
          </w:tcPr>
          <w:p>
            <w:r/>
            <w:r>
              <w:rPr>
                <w:rFonts w:ascii="Times New Roman" w:hAnsi="Times New Roman"/>
                <w:sz w:val="22"/>
              </w:rPr>
              <w:t>High</w:t>
            </w:r>
          </w:p>
        </w:tc>
        <w:tc>
          <w:tcPr>
            <w:tcW w:type="dxa" w:w="1020"/>
          </w:tcPr>
          <w:p>
            <w:r/>
            <w:r>
              <w:rPr>
                <w:rFonts w:ascii="Times New Roman" w:hAnsi="Times New Roman"/>
                <w:sz w:val="22"/>
              </w:rPr>
              <w:t>Open</w:t>
            </w:r>
          </w:p>
        </w:tc>
        <w:tc>
          <w:tcPr>
            <w:tcW w:type="dxa" w:w="3231"/>
          </w:tcPr>
          <w:p>
            <w:r/>
            <w:r>
              <w:rPr>
                <w:rFonts w:ascii="Times New Roman" w:hAnsi="Times New Roman"/>
                <w:sz w:val="22"/>
              </w:rPr>
              <w:t>Pending: requires creation of timeline.ts files for Lehman, GameStop, and remaining 7 scenarios</w:t>
            </w:r>
          </w:p>
        </w:tc>
      </w:tr>
      <w:tr>
        <w:tc>
          <w:tcPr>
            <w:tcW w:type="dxa" w:w="850"/>
          </w:tcPr>
          <w:p>
            <w:r/>
            <w:r>
              <w:rPr>
                <w:rFonts w:ascii="Times New Roman" w:hAnsi="Times New Roman"/>
                <w:sz w:val="22"/>
              </w:rPr>
              <w:t>BUG-08</w:t>
            </w:r>
          </w:p>
        </w:tc>
        <w:tc>
          <w:tcPr>
            <w:tcW w:type="dxa" w:w="2835"/>
          </w:tcPr>
          <w:p>
            <w:r/>
            <w:r>
              <w:rPr>
                <w:rFonts w:ascii="Times New Roman" w:hAnsi="Times New Roman"/>
                <w:sz w:val="22"/>
              </w:rPr>
              <w:t>Leaderboard route and database table not yet created</w:t>
            </w:r>
          </w:p>
        </w:tc>
        <w:tc>
          <w:tcPr>
            <w:tcW w:type="dxa" w:w="1134"/>
          </w:tcPr>
          <w:p>
            <w:r/>
            <w:r>
              <w:rPr>
                <w:rFonts w:ascii="Times New Roman" w:hAnsi="Times New Roman"/>
                <w:sz w:val="22"/>
              </w:rPr>
              <w:t>Medium</w:t>
            </w:r>
          </w:p>
        </w:tc>
        <w:tc>
          <w:tcPr>
            <w:tcW w:type="dxa" w:w="1020"/>
          </w:tcPr>
          <w:p>
            <w:r/>
            <w:r>
              <w:rPr>
                <w:rFonts w:ascii="Times New Roman" w:hAnsi="Times New Roman"/>
                <w:sz w:val="22"/>
              </w:rPr>
              <w:t>Open</w:t>
            </w:r>
          </w:p>
        </w:tc>
        <w:tc>
          <w:tcPr>
            <w:tcW w:type="dxa" w:w="3231"/>
          </w:tcPr>
          <w:p>
            <w:r/>
            <w:r>
              <w:rPr>
                <w:rFonts w:ascii="Times New Roman" w:hAnsi="Times New Roman"/>
                <w:sz w:val="22"/>
              </w:rPr>
              <w:t>Pending: requires Supabase table schema and server-side score write API</w:t>
            </w:r>
          </w:p>
        </w:tc>
      </w:tr>
    </w:tbl>
    <w:p/>
    <w:p>
      <w:pPr>
        <w:spacing w:before="60" w:after="200"/>
        <w:jc w:val="center"/>
      </w:pPr>
      <w:r>
        <w:rPr>
          <w:rFonts w:ascii="Times New Roman" w:hAnsi="Times New Roman"/>
          <w:b w:val="0"/>
          <w:i/>
          <w:color w:val="000000"/>
          <w:sz w:val="20"/>
        </w:rPr>
        <w:t>Table 5.7: Bug and issue tracking summary</w:t>
      </w:r>
    </w:p>
    <w:p>
      <w:pPr>
        <w:spacing w:after="120"/>
        <w:ind w:firstLine="720"/>
        <w:jc w:val="both"/>
      </w:pPr>
      <w:r>
        <w:rPr>
          <w:rFonts w:ascii="Times New Roman" w:hAnsi="Times New Roman"/>
          <w:b w:val="0"/>
          <w:i w:val="0"/>
          <w:color w:val="000000"/>
          <w:sz w:val="24"/>
        </w:rPr>
        <w:t>Of the eight tracked issues, six have been resolved and two remain open. The two open issues (BUG-07 and BUG-08) represent planned future work rather than defects in the currently implemented functionality. The resolution of BUG-04 (memory leak) and BUG-05 (Supabase cookie refresh) were particularly critical for production stability.</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