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Ethical and Legal Implications of Generative AI in Creative Works and Industries</w:t>
      </w:r>
    </w:p>
    <w:p w:rsidR="00000000" w:rsidDel="00000000" w:rsidP="00000000" w:rsidRDefault="00000000" w:rsidRPr="00000000" w14:paraId="00000002">
      <w:pPr>
        <w:rPr>
          <w:b w:val="1"/>
        </w:rPr>
      </w:pPr>
      <w:r w:rsidDel="00000000" w:rsidR="00000000" w:rsidRPr="00000000">
        <w:rPr>
          <w:b w:val="1"/>
          <w:rtl w:val="0"/>
        </w:rPr>
        <w:t xml:space="preserve">Problem Statement</w:t>
      </w:r>
      <w:r w:rsidDel="00000000" w:rsidR="00000000" w:rsidRPr="00000000">
        <w:rPr>
          <w:rtl w:val="0"/>
        </w:rPr>
        <w:br w:type="textWrapping"/>
        <w:t xml:space="preserve">Generative AI technologies have introduced significant challenges in the creative industries, particularly in terms of intellectual property (IP) and ethics. Many AI models are trained on data scraped from the internet, which often includes copyrighted materials. This unlicensed use raises concerns about the protection of human-created works, the rights of artists, and the ethical responsibilities of AI developers. Addressing these challenges is crucial to safeguarding the livelihoods of artists and ensuring the ethical deployment and use of AI in creative processes.</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Background and Previous Work</w:t>
      </w:r>
      <w:r w:rsidDel="00000000" w:rsidR="00000000" w:rsidRPr="00000000">
        <w:rPr>
          <w:rtl w:val="0"/>
        </w:rPr>
        <w:br w:type="textWrapping"/>
        <w:t xml:space="preserve">Several legal and ethical concerns regarding generative AI have already been raised:</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Legal Challenges</w:t>
      </w:r>
      <w:r w:rsidDel="00000000" w:rsidR="00000000" w:rsidRPr="00000000">
        <w:rPr>
          <w:rtl w:val="0"/>
        </w:rPr>
        <w:t xml:space="preserve">: The </w:t>
      </w:r>
      <w:r w:rsidDel="00000000" w:rsidR="00000000" w:rsidRPr="00000000">
        <w:rPr>
          <w:i w:val="1"/>
          <w:rtl w:val="0"/>
        </w:rPr>
        <w:t xml:space="preserve">Andersen v. Stability AI</w:t>
      </w:r>
      <w:r w:rsidDel="00000000" w:rsidR="00000000" w:rsidRPr="00000000">
        <w:rPr>
          <w:rtl w:val="0"/>
        </w:rPr>
        <w:t xml:space="preserve"> case exemplifies how training AI models on copyrighted content without permission can lead to disputes under the Digital Millennium Copyright Act (DMCA). In this case, artists claimed that platforms like DreamStudio and MidJourney used their works unlawfully. (Dickstein &amp; Delman, 2023)</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Ethical Concerns</w:t>
      </w:r>
      <w:r w:rsidDel="00000000" w:rsidR="00000000" w:rsidRPr="00000000">
        <w:rPr>
          <w:rtl w:val="0"/>
        </w:rPr>
        <w:t xml:space="preserve">: Articles like </w:t>
      </w:r>
      <w:r w:rsidDel="00000000" w:rsidR="00000000" w:rsidRPr="00000000">
        <w:rPr>
          <w:i w:val="1"/>
          <w:rtl w:val="0"/>
        </w:rPr>
        <w:t xml:space="preserve">AI-generated art raises tricky questions about ethics, copyright, and security</w:t>
      </w:r>
      <w:r w:rsidDel="00000000" w:rsidR="00000000" w:rsidRPr="00000000">
        <w:rPr>
          <w:rtl w:val="0"/>
        </w:rPr>
        <w:t xml:space="preserve"> by Heikkilä (2023) highlight the ethical implications of using copyrighted materials in AI training datasets and suggest measures for harm reduction, such as monitoring how AI is deployed and used post-training.</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Industry Responses</w:t>
      </w:r>
      <w:r w:rsidDel="00000000" w:rsidR="00000000" w:rsidRPr="00000000">
        <w:rPr>
          <w:rtl w:val="0"/>
        </w:rPr>
        <w:t xml:space="preserve">: The Recording Academy’s policy, as detailed in </w:t>
      </w:r>
      <w:r w:rsidDel="00000000" w:rsidR="00000000" w:rsidRPr="00000000">
        <w:rPr>
          <w:i w:val="1"/>
          <w:rtl w:val="0"/>
        </w:rPr>
        <w:t xml:space="preserve">Grammys OK AI Use in Music –But Ban Fully AI-Generated Songs</w:t>
      </w:r>
      <w:r w:rsidDel="00000000" w:rsidR="00000000" w:rsidRPr="00000000">
        <w:rPr>
          <w:rtl w:val="0"/>
        </w:rPr>
        <w:t xml:space="preserve"> (Burga, 2023), provides a framework for balancing human creativity with AI assistance. Similarly, unions such as SAG-AFTRA have introduced protections for artists against AI misuse (</w:t>
      </w:r>
      <w:r w:rsidDel="00000000" w:rsidR="00000000" w:rsidRPr="00000000">
        <w:rPr>
          <w:i w:val="1"/>
          <w:rtl w:val="0"/>
        </w:rPr>
        <w:t xml:space="preserve">Optimizing AI in Higher Education</w:t>
      </w:r>
      <w:r w:rsidDel="00000000" w:rsidR="00000000" w:rsidRPr="00000000">
        <w:rPr>
          <w:rtl w:val="0"/>
        </w:rPr>
        <w:t xml:space="preserve">, 2024).</w:t>
      </w:r>
    </w:p>
    <w:p w:rsidR="00000000" w:rsidDel="00000000" w:rsidP="00000000" w:rsidRDefault="00000000" w:rsidRPr="00000000" w14:paraId="00000007">
      <w:pPr>
        <w:rPr/>
      </w:pPr>
      <w:r w:rsidDel="00000000" w:rsidR="00000000" w:rsidRPr="00000000">
        <w:rPr>
          <w:rtl w:val="0"/>
        </w:rPr>
        <w:t xml:space="preserve">These sources demonstrate the complexity of addressing legal and ethical challenges while balancing technological advancement with the protection of human creators.</w:t>
      </w:r>
    </w:p>
    <w:p w:rsidR="00000000" w:rsidDel="00000000" w:rsidP="00000000" w:rsidRDefault="00000000" w:rsidRPr="00000000" w14:paraId="00000008">
      <w:pPr>
        <w:rPr/>
      </w:pPr>
      <w:r w:rsidDel="00000000" w:rsidR="00000000" w:rsidRPr="00000000">
        <w:rPr>
          <w:b w:val="1"/>
          <w:rtl w:val="0"/>
        </w:rPr>
        <w:t xml:space="preserve">Work Plan</w:t>
      </w:r>
      <w:r w:rsidDel="00000000" w:rsidR="00000000" w:rsidRPr="00000000">
        <w:rPr>
          <w:rtl w:val="0"/>
        </w:rPr>
        <w:br w:type="textWrapping"/>
        <w:t xml:space="preserve">This research will focus on evaluating the impact of generative AI on artists and proposing solutions for ethical AI development. The work will proceed as follows:</w:t>
      </w:r>
    </w:p>
    <w:p w:rsidR="00000000" w:rsidDel="00000000" w:rsidP="00000000" w:rsidRDefault="00000000" w:rsidRPr="00000000" w14:paraId="00000009">
      <w:pPr>
        <w:numPr>
          <w:ilvl w:val="0"/>
          <w:numId w:val="2"/>
        </w:numPr>
        <w:ind w:left="720" w:hanging="360"/>
        <w:rPr/>
      </w:pPr>
      <w:r w:rsidDel="00000000" w:rsidR="00000000" w:rsidRPr="00000000">
        <w:rPr>
          <w:b w:val="1"/>
          <w:rtl w:val="0"/>
        </w:rPr>
        <w:t xml:space="preserve">Literature Review</w:t>
      </w:r>
      <w:r w:rsidDel="00000000" w:rsidR="00000000" w:rsidRPr="00000000">
        <w:rPr>
          <w:rtl w:val="0"/>
        </w:rPr>
        <w:t xml:space="preserve">:</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Study cases such as </w:t>
      </w:r>
      <w:r w:rsidDel="00000000" w:rsidR="00000000" w:rsidRPr="00000000">
        <w:rPr>
          <w:i w:val="1"/>
          <w:rtl w:val="0"/>
        </w:rPr>
        <w:t xml:space="preserve">Andersen v. Stability AI</w:t>
      </w:r>
      <w:r w:rsidDel="00000000" w:rsidR="00000000" w:rsidRPr="00000000">
        <w:rPr>
          <w:rtl w:val="0"/>
        </w:rPr>
        <w:t xml:space="preserve"> to understand the current legal landscape.</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Review ethical frameworks (e.g., deontology, utilitarianism) to analyze the moral implications of generative AI.</w:t>
      </w:r>
    </w:p>
    <w:p w:rsidR="00000000" w:rsidDel="00000000" w:rsidP="00000000" w:rsidRDefault="00000000" w:rsidRPr="00000000" w14:paraId="0000000C">
      <w:pPr>
        <w:numPr>
          <w:ilvl w:val="0"/>
          <w:numId w:val="2"/>
        </w:numPr>
        <w:ind w:left="720" w:hanging="360"/>
        <w:rPr/>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Conduct interviews with artists and legal experts to gather qualitative insights into the challenges posed by AI.</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Review AI-generated content and its sources to identify patterns of IP violations.</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Analysis and Solution Design</w:t>
      </w:r>
      <w:r w:rsidDel="00000000" w:rsidR="00000000" w:rsidRPr="00000000">
        <w:rPr>
          <w:rtl w:val="0"/>
        </w:rPr>
        <w:t xml:space="preserve">:</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Analyze data using qualitative and ethical frameworks to assess the responsibilities of AI developers.</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Develop policy recommendations and technical safeguards to mitigate harm caused by generative AI.</w:t>
      </w:r>
    </w:p>
    <w:p w:rsidR="00000000" w:rsidDel="00000000" w:rsidP="00000000" w:rsidRDefault="00000000" w:rsidRPr="00000000" w14:paraId="00000012">
      <w:pPr>
        <w:rPr/>
      </w:pPr>
      <w:r w:rsidDel="00000000" w:rsidR="00000000" w:rsidRPr="00000000">
        <w:rPr>
          <w:b w:val="1"/>
          <w:rtl w:val="0"/>
        </w:rPr>
        <w:t xml:space="preserve">Expected Deliverables</w:t>
      </w:r>
      <w:r w:rsidDel="00000000" w:rsidR="00000000" w:rsidRPr="00000000">
        <w:rPr>
          <w:rtl w:val="0"/>
        </w:rPr>
        <w:t xml:space="preserve">:</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A detailed report outlining the ethical and legal implications of generative AI.</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Policy recommendations for the ethical development and use of AI in creative industries.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Proposals for technical solutions to ensure compliance with IP laws and ethical standards.</w:t>
      </w:r>
    </w:p>
    <w:p w:rsidR="00000000" w:rsidDel="00000000" w:rsidP="00000000" w:rsidRDefault="00000000" w:rsidRPr="00000000" w14:paraId="00000016">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Dickstein, T., &amp; Delman, E. (2023). </w:t>
      </w:r>
      <w:r w:rsidDel="00000000" w:rsidR="00000000" w:rsidRPr="00000000">
        <w:rPr>
          <w:i w:val="1"/>
          <w:rtl w:val="0"/>
        </w:rPr>
        <w:t xml:space="preserve">Andersen v. Stability AI Ltd.</w:t>
      </w:r>
      <w:r w:rsidDel="00000000" w:rsidR="00000000" w:rsidRPr="00000000">
        <w:rPr>
          <w:rtl w:val="0"/>
        </w:rPr>
        <w:t xml:space="preserve"> Loeb &amp; Loeb LLP. Retrieved from </w:t>
      </w:r>
      <w:hyperlink r:id="rId7">
        <w:r w:rsidDel="00000000" w:rsidR="00000000" w:rsidRPr="00000000">
          <w:rPr>
            <w:color w:val="467886"/>
            <w:u w:val="single"/>
            <w:rtl w:val="0"/>
          </w:rPr>
          <w:t xml:space="preserve">https://www.loeb.com/en/insights/publications/2023/11/andersen-v-stability-ai-ltd</w:t>
        </w:r>
      </w:hyperlink>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Heikkilä, M. (2023). </w:t>
      </w:r>
      <w:r w:rsidDel="00000000" w:rsidR="00000000" w:rsidRPr="00000000">
        <w:rPr>
          <w:i w:val="1"/>
          <w:rtl w:val="0"/>
        </w:rPr>
        <w:t xml:space="preserve">AI-generated art raises tricky questions about ethics, copyright, and security.</w:t>
      </w:r>
      <w:r w:rsidDel="00000000" w:rsidR="00000000" w:rsidRPr="00000000">
        <w:rPr>
          <w:rtl w:val="0"/>
        </w:rPr>
        <w:t xml:space="preserve"> MIT Technology Review. Retrieved from </w:t>
      </w:r>
      <w:hyperlink r:id="rId8">
        <w:r w:rsidDel="00000000" w:rsidR="00000000" w:rsidRPr="00000000">
          <w:rPr>
            <w:color w:val="467886"/>
            <w:u w:val="single"/>
            <w:rtl w:val="0"/>
          </w:rPr>
          <w:t xml:space="preserve">https://www.technologyreview.com/2022/09/20/1059792/the-algorithm-ai-generated-art-raises-tricky-questions-about-ethics-copyright-and-security/</w:t>
        </w:r>
      </w:hyperlink>
      <w:r w:rsidDel="00000000" w:rsidR="00000000" w:rsidRPr="00000000">
        <w:rPr>
          <w:rtl w:val="0"/>
        </w:rPr>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Burga, S. (2023, June). </w:t>
      </w:r>
      <w:r w:rsidDel="00000000" w:rsidR="00000000" w:rsidRPr="00000000">
        <w:rPr>
          <w:i w:val="1"/>
          <w:rtl w:val="0"/>
        </w:rPr>
        <w:t xml:space="preserve">Grammys OK AI Use in Music –But Ban Fully AI-Generated Songs.</w:t>
      </w:r>
      <w:r w:rsidDel="00000000" w:rsidR="00000000" w:rsidRPr="00000000">
        <w:rPr>
          <w:rtl w:val="0"/>
        </w:rPr>
        <w:t xml:space="preserve"> TIME. Retrieved from </w:t>
      </w:r>
      <w:hyperlink r:id="rId9">
        <w:r w:rsidDel="00000000" w:rsidR="00000000" w:rsidRPr="00000000">
          <w:rPr>
            <w:color w:val="467886"/>
            <w:u w:val="single"/>
            <w:rtl w:val="0"/>
          </w:rPr>
          <w:t xml:space="preserve">https://time.com/6288131/grammys-ai-rules/</w:t>
        </w:r>
      </w:hyperlink>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Aaron, L., et al. (2024). </w:t>
      </w:r>
      <w:r w:rsidDel="00000000" w:rsidR="00000000" w:rsidRPr="00000000">
        <w:rPr>
          <w:i w:val="1"/>
          <w:rtl w:val="0"/>
        </w:rPr>
        <w:t xml:space="preserve">Optimizing AI in Higher Education: SUNY FACT2 Guide, Second Edition.</w:t>
      </w:r>
      <w:r w:rsidDel="00000000" w:rsidR="00000000" w:rsidRPr="00000000">
        <w:rPr>
          <w:rtl w:val="0"/>
        </w:rPr>
        <w:t xml:space="preserve"> State University of New York Press.</w:t>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0219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0219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0219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0219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0219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0219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0219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0219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0219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0219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0219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0219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0219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0219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0219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0219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0219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0219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0219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0219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0219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0219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0219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02190"/>
    <w:rPr>
      <w:i w:val="1"/>
      <w:iCs w:val="1"/>
      <w:color w:val="404040" w:themeColor="text1" w:themeTint="0000BF"/>
    </w:rPr>
  </w:style>
  <w:style w:type="paragraph" w:styleId="ListParagraph">
    <w:name w:val="List Paragraph"/>
    <w:basedOn w:val="Normal"/>
    <w:uiPriority w:val="34"/>
    <w:qFormat w:val="1"/>
    <w:rsid w:val="00F02190"/>
    <w:pPr>
      <w:ind w:left="720"/>
      <w:contextualSpacing w:val="1"/>
    </w:pPr>
  </w:style>
  <w:style w:type="character" w:styleId="IntenseEmphasis">
    <w:name w:val="Intense Emphasis"/>
    <w:basedOn w:val="DefaultParagraphFont"/>
    <w:uiPriority w:val="21"/>
    <w:qFormat w:val="1"/>
    <w:rsid w:val="00F02190"/>
    <w:rPr>
      <w:i w:val="1"/>
      <w:iCs w:val="1"/>
      <w:color w:val="0f4761" w:themeColor="accent1" w:themeShade="0000BF"/>
    </w:rPr>
  </w:style>
  <w:style w:type="paragraph" w:styleId="IntenseQuote">
    <w:name w:val="Intense Quote"/>
    <w:basedOn w:val="Normal"/>
    <w:next w:val="Normal"/>
    <w:link w:val="IntenseQuoteChar"/>
    <w:uiPriority w:val="30"/>
    <w:qFormat w:val="1"/>
    <w:rsid w:val="00F0219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02190"/>
    <w:rPr>
      <w:i w:val="1"/>
      <w:iCs w:val="1"/>
      <w:color w:val="0f4761" w:themeColor="accent1" w:themeShade="0000BF"/>
    </w:rPr>
  </w:style>
  <w:style w:type="character" w:styleId="IntenseReference">
    <w:name w:val="Intense Reference"/>
    <w:basedOn w:val="DefaultParagraphFont"/>
    <w:uiPriority w:val="32"/>
    <w:qFormat w:val="1"/>
    <w:rsid w:val="00F02190"/>
    <w:rPr>
      <w:b w:val="1"/>
      <w:bCs w:val="1"/>
      <w:smallCaps w:val="1"/>
      <w:color w:val="0f4761" w:themeColor="accent1" w:themeShade="0000BF"/>
      <w:spacing w:val="5"/>
    </w:rPr>
  </w:style>
  <w:style w:type="character" w:styleId="Hyperlink">
    <w:name w:val="Hyperlink"/>
    <w:basedOn w:val="DefaultParagraphFont"/>
    <w:uiPriority w:val="99"/>
    <w:unhideWhenUsed w:val="1"/>
    <w:rsid w:val="00F02190"/>
    <w:rPr>
      <w:color w:val="467886" w:themeColor="hyperlink"/>
      <w:u w:val="single"/>
    </w:rPr>
  </w:style>
  <w:style w:type="character" w:styleId="UnresolvedMention">
    <w:name w:val="Unresolved Mention"/>
    <w:basedOn w:val="DefaultParagraphFont"/>
    <w:uiPriority w:val="99"/>
    <w:semiHidden w:val="1"/>
    <w:unhideWhenUsed w:val="1"/>
    <w:rsid w:val="00F0219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com/6288131/grammys-ai-ru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oeb.com/en/insights/publications/2023/11/andersen-v-stability-ai-ltd" TargetMode="External"/><Relationship Id="rId8" Type="http://schemas.openxmlformats.org/officeDocument/2006/relationships/hyperlink" Target="https://www.technologyreview.com/2022/09/20/1059792/the-algorithm-ai-generated-art-raises-tricky-questions-about-ethics-copyright-and-secu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QoUBBqDE+56+pLIxZqvIFv6Ig==">CgMxLjA4AHIhMWxWd0dxNWlwY25tX09MVHg3MjVieGNsUUtSOEJHTDl1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2025-01-09T18:55:00Z</dcterms:created>
  <dc:creator>Priyanka  Samanta</dc:creator>
</cp:coreProperties>
</file>