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CISC 4900 Current Progress + Game Plan for rest of the semester</w:t>
      </w:r>
    </w:p>
    <w:p w:rsidR="00000000" w:rsidDel="00000000" w:rsidP="00000000" w:rsidRDefault="00000000" w:rsidRPr="00000000" w14:paraId="00000002">
      <w:pPr>
        <w:rPr/>
      </w:pPr>
      <w:r w:rsidDel="00000000" w:rsidR="00000000" w:rsidRPr="00000000">
        <w:rPr>
          <w:rtl w:val="0"/>
        </w:rPr>
        <w:t xml:space="preserve">Completed: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Comparison of Andersen v. stability AI, Concord Music Group, Inc. v. Anthropic PBC and Authors Guild v. OpenAI (need to refine comparisons to make sure they are sufficiently detailed and factually correct)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Found worldwide + US AI policies (reviewed the EU’s AI act + briefly the US’ executive orders related to AI; need to review others to see if they are important for policy recommendations)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Created + sent out survey for general public on AI use + ethics for creative works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Drafted arguments and considerations for policy recommendations (might add more considerations based on further literature review)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Attended discussions and talks on AI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Found literature on industry responses + AI ethics</w:t>
      </w:r>
    </w:p>
    <w:p w:rsidR="00000000" w:rsidDel="00000000" w:rsidP="00000000" w:rsidRDefault="00000000" w:rsidRPr="00000000" w14:paraId="00000009">
      <w:pPr>
        <w:rPr/>
      </w:pPr>
      <w:r w:rsidDel="00000000" w:rsidR="00000000" w:rsidRPr="00000000">
        <w:rPr>
          <w:rtl w:val="0"/>
        </w:rPr>
        <w:t xml:space="preserve">In Progress: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Learning Overleaf (will copy writings over from Word starting 4/7)</w:t>
      </w:r>
    </w:p>
    <w:p w:rsidR="00000000" w:rsidDel="00000000" w:rsidP="00000000" w:rsidRDefault="00000000" w:rsidRPr="00000000" w14:paraId="0000000B">
      <w:pPr>
        <w:rPr/>
      </w:pPr>
      <w:r w:rsidDel="00000000" w:rsidR="00000000" w:rsidRPr="00000000">
        <w:rPr>
          <w:rtl w:val="0"/>
        </w:rPr>
        <w:t xml:space="preserve">To-do: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Create questions for artist survey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GenAI image analysis (compare artistic elements like shading, lighting, anatomy, etc. in real and AI images)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Look into haveibeentrained.com, AI-image detection software and other sites recommended by supervisor to see if there can be some information revealed about which images the model used to create the AI image (it may not be possible because the model is trained on billions of images and many AI programs don’t reveal that)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Do more research on diffusion models since they are different from AI models that generate a text output?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Ask CS ethics professor for permission to use paper from class to use in the Ethical Analysis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Come up with policy recommendations + evaluate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