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63" w:rsidRDefault="00EB0463"/>
    <w:p w:rsidR="00B83D2F" w:rsidRDefault="00B83D2F" w:rsidP="00B83D2F">
      <w:r>
        <w:t xml:space="preserve">The Payment Hub is the Real Time Gross Settlement (RTGS) system of ADCB.  </w:t>
      </w:r>
    </w:p>
    <w:p w:rsidR="00B83D2F" w:rsidRDefault="00B83D2F" w:rsidP="00B83D2F">
      <w:r>
        <w:t>The system facilitates the transfer of funds bet</w:t>
      </w:r>
      <w:r>
        <w:t xml:space="preserve">ween banks and other financial </w:t>
      </w:r>
      <w:r>
        <w:t xml:space="preserve">institutions in the UAE via their accounts held with the Central Bank. </w:t>
      </w:r>
    </w:p>
    <w:p w:rsidR="00B83D2F" w:rsidRDefault="00B83D2F" w:rsidP="00B83D2F">
      <w:r>
        <w:t>The objective is to provide a system that enables entities of all sizes to participate, irrespective of their size or nature of business.</w:t>
      </w:r>
    </w:p>
    <w:p w:rsidR="00B83D2F" w:rsidRDefault="00B83D2F" w:rsidP="00B83D2F"/>
    <w:p w:rsidR="00B83D2F" w:rsidRDefault="00B83D2F" w:rsidP="00B83D2F">
      <w:r>
        <w:t xml:space="preserve">There are two main parts in Payment Hub. </w:t>
      </w:r>
    </w:p>
    <w:p w:rsidR="00B83D2F" w:rsidRDefault="00B83D2F" w:rsidP="00B83D2F">
      <w:r>
        <w:t>One is the front end engine (includes windows services and web application writt</w:t>
      </w:r>
      <w:r>
        <w:t>en in .Net) used for creating, loading</w:t>
      </w:r>
      <w:r>
        <w:t xml:space="preserve"> and repairing the transaction and the other is backend payment engine (written in Java) for processing the transactions. </w:t>
      </w:r>
    </w:p>
    <w:p w:rsidR="00B83D2F" w:rsidRDefault="00B83D2F" w:rsidP="00B83D2F"/>
    <w:p w:rsidR="00B83D2F" w:rsidRDefault="00B83D2F" w:rsidP="00B83D2F">
      <w:r>
        <w:t xml:space="preserve">The payments or transactions are received either through Incoming Payments (transaction coming from CB / Swift) or Outgoing (transactions going out from ADCB). </w:t>
      </w:r>
    </w:p>
    <w:p w:rsidR="00B83D2F" w:rsidRDefault="00B83D2F" w:rsidP="00B83D2F">
      <w:r>
        <w:t xml:space="preserve">Transactions flow from different channels and come into payment hub through MQ’s, windows services or .Net frontend and are processed in java engine. </w:t>
      </w:r>
    </w:p>
    <w:p w:rsidR="00B83D2F" w:rsidRDefault="00B83D2F" w:rsidP="00B83D2F">
      <w:r>
        <w:t xml:space="preserve">Type of payments that are processed by payment hub. </w:t>
      </w:r>
    </w:p>
    <w:p w:rsidR="00B83D2F" w:rsidRDefault="00B83D2F" w:rsidP="00B83D2F">
      <w:r>
        <w:t>IFT: Fund transfer done within the bank (both debit and credit accounts are from ADCB).</w:t>
      </w:r>
    </w:p>
    <w:p w:rsidR="00B83D2F" w:rsidRDefault="00B83D2F" w:rsidP="00B83D2F">
      <w:r>
        <w:t>EFD: Transfer of funds between two banks within UAE.</w:t>
      </w:r>
    </w:p>
    <w:p w:rsidR="00B83D2F" w:rsidRDefault="00B83D2F" w:rsidP="00B83D2F">
      <w:r>
        <w:t>EFI: Transfer of funds between two banks, one of which is outside of UAE.</w:t>
      </w:r>
    </w:p>
    <w:p w:rsidR="00B83D2F" w:rsidRDefault="00B83D2F" w:rsidP="00B83D2F">
      <w:r>
        <w:t>CST: Salary transaction done within bank or between two banks in UAE.</w:t>
      </w:r>
    </w:p>
    <w:p w:rsidR="00B83D2F" w:rsidRDefault="00B83D2F" w:rsidP="00B83D2F">
      <w:r>
        <w:t xml:space="preserve">BCK: Processing of </w:t>
      </w:r>
      <w:proofErr w:type="spellStart"/>
      <w:r>
        <w:t>cheque</w:t>
      </w:r>
      <w:proofErr w:type="spellEnd"/>
      <w:r>
        <w:t xml:space="preserve"> initiated from </w:t>
      </w:r>
      <w:proofErr w:type="spellStart"/>
      <w:r>
        <w:t>Procash</w:t>
      </w:r>
      <w:proofErr w:type="spellEnd"/>
      <w:r>
        <w:t xml:space="preserve"> (CMS) channel.</w:t>
      </w:r>
    </w:p>
    <w:p w:rsidR="00B83D2F" w:rsidRDefault="00B83D2F" w:rsidP="00B83D2F"/>
    <w:p w:rsidR="00B83D2F" w:rsidRDefault="00C1602D" w:rsidP="00B83D2F">
      <w:r w:rsidRPr="006B5237">
        <w:object w:dxaOrig="15211" w:dyaOrig="14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397.65pt" o:ole="">
            <v:imagedata r:id="rId4" o:title=""/>
          </v:shape>
          <o:OLEObject Type="Embed" ProgID="Visio.Drawing.15" ShapeID="_x0000_i1025" DrawAspect="Content" ObjectID="_1638000929" r:id="rId5"/>
        </w:object>
      </w:r>
    </w:p>
    <w:p w:rsidR="0068795C" w:rsidRDefault="0068795C" w:rsidP="00B83D2F"/>
    <w:p w:rsidR="00423022" w:rsidRDefault="00423022" w:rsidP="00B83D2F"/>
    <w:p w:rsidR="00375592" w:rsidRDefault="00375592" w:rsidP="00B83D2F">
      <w:pPr>
        <w:rPr>
          <w:sz w:val="20"/>
          <w:szCs w:val="20"/>
        </w:rPr>
      </w:pPr>
    </w:p>
    <w:bookmarkStart w:id="0" w:name="_GoBack"/>
    <w:bookmarkEnd w:id="0"/>
    <w:p w:rsidR="0068795C" w:rsidRDefault="00E134FD" w:rsidP="00B83D2F">
      <w:r w:rsidRPr="00AD2703">
        <w:rPr>
          <w:sz w:val="20"/>
          <w:szCs w:val="20"/>
        </w:rPr>
        <w:object w:dxaOrig="14310" w:dyaOrig="11340">
          <v:shape id="_x0000_i1032" type="#_x0000_t75" style="width:420.3pt;height:333.2pt" o:ole="">
            <v:imagedata r:id="rId6" o:title=""/>
          </v:shape>
          <o:OLEObject Type="Embed" ProgID="Visio.Drawing.15" ShapeID="_x0000_i1032" DrawAspect="Content" ObjectID="_1638000930" r:id="rId7"/>
        </w:object>
      </w:r>
      <w:r w:rsidR="00375592" w:rsidRPr="00BF54DD">
        <w:rPr>
          <w:sz w:val="20"/>
          <w:szCs w:val="20"/>
        </w:rPr>
        <w:object w:dxaOrig="14296" w:dyaOrig="11340">
          <v:shape id="_x0000_i1031" type="#_x0000_t75" style="width:432.85pt;height:343.25pt" o:ole="">
            <v:imagedata r:id="rId8" o:title=""/>
          </v:shape>
          <o:OLEObject Type="Embed" ProgID="Visio.Drawing.15" ShapeID="_x0000_i1031" DrawAspect="Content" ObjectID="_1638000931" r:id="rId9"/>
        </w:object>
      </w:r>
      <w:r w:rsidR="00423022" w:rsidRPr="00C31931">
        <w:rPr>
          <w:sz w:val="20"/>
          <w:szCs w:val="20"/>
        </w:rPr>
        <w:object w:dxaOrig="14296" w:dyaOrig="11340">
          <v:shape id="_x0000_i1027" type="#_x0000_t75" style="width:419.45pt;height:333.2pt" o:ole="">
            <v:imagedata r:id="rId10" o:title=""/>
          </v:shape>
          <o:OLEObject Type="Embed" ProgID="Visio.Drawing.15" ShapeID="_x0000_i1027" DrawAspect="Content" ObjectID="_1638000932" r:id="rId11"/>
        </w:object>
      </w:r>
      <w:r w:rsidR="0068795C" w:rsidRPr="006B5237">
        <w:object w:dxaOrig="15285" w:dyaOrig="10980">
          <v:shape id="_x0000_i1026" type="#_x0000_t75" style="width:446.25pt;height:321.5pt" o:ole="">
            <v:imagedata r:id="rId12" o:title=""/>
          </v:shape>
          <o:OLEObject Type="Embed" ProgID="Visio.Drawing.15" ShapeID="_x0000_i1026" DrawAspect="Content" ObjectID="_1638000933" r:id="rId13"/>
        </w:object>
      </w:r>
    </w:p>
    <w:sectPr w:rsidR="0068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DC"/>
    <w:rsid w:val="00091591"/>
    <w:rsid w:val="00375592"/>
    <w:rsid w:val="00423022"/>
    <w:rsid w:val="0068795C"/>
    <w:rsid w:val="00B83D2F"/>
    <w:rsid w:val="00C1602D"/>
    <w:rsid w:val="00C553DC"/>
    <w:rsid w:val="00E134FD"/>
    <w:rsid w:val="00EB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0BF96-9F24-491E-937F-2C8B38B2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2222222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6666666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4444444.vsdx"/><Relationship Id="rId5" Type="http://schemas.openxmlformats.org/officeDocument/2006/relationships/package" Target="embeddings/Microsoft_Visio_Drawing1111111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5555555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Singh Shekhawat</dc:creator>
  <cp:keywords/>
  <dc:description/>
  <cp:lastModifiedBy>Bhawani Singh Shekhawat</cp:lastModifiedBy>
  <cp:revision>8</cp:revision>
  <dcterms:created xsi:type="dcterms:W3CDTF">2019-12-16T07:26:00Z</dcterms:created>
  <dcterms:modified xsi:type="dcterms:W3CDTF">2019-12-16T07:28:00Z</dcterms:modified>
</cp:coreProperties>
</file>