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1F3A5F"/>
          <w:sz w:val="52"/>
          <w:szCs w:val="52"/>
        </w:rPr>
        <w:t xml:space="preserve">Product Requirements Document</w:t>
      </w:r>
    </w:p>
    <w:p>
      <w:pPr>
        <w:spacing w:after="600"/>
      </w:pPr>
      <w:r>
        <w:rPr>
          <w:rFonts w:ascii="Arial" w:cs="Arial" w:eastAsia="Arial" w:hAnsi="Arial"/>
          <w:color w:val="2E7D8C"/>
          <w:sz w:val="32"/>
          <w:szCs w:val="32"/>
        </w:rPr>
        <w:t xml:space="preserve">Merchant Payment Operations &amp; Dispute Hub: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BFC9D4" w:sz="4"/>
              <w:left w:val="single" w:color="BFC9D4" w:sz="4"/>
              <w:bottom w:val="single" w:color="BFC9D4" w:sz="4"/>
              <w:right w:val="single" w:color="BFC9D4" w:sz="4"/>
            </w:tcBorders>
            <w:shd w:fill="EEF2F6" w:val="clear"/>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Document</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Product Requirements Document (PRD)</w:t>
            </w:r>
          </w:p>
        </w:tc>
      </w:tr>
      <w:tr>
        <w:trPr>
          <w:cantSplit/>
        </w:trPr>
        <w:tc>
          <w:tcPr>
            <w:tcW w:type="dxa" w:w="2600"/>
            <w:tcBorders>
              <w:top w:val="single" w:color="BFC9D4" w:sz="4"/>
              <w:left w:val="single" w:color="BFC9D4" w:sz="4"/>
              <w:bottom w:val="single" w:color="BFC9D4" w:sz="4"/>
              <w:right w:val="single" w:color="BFC9D4" w:sz="4"/>
            </w:tcBorders>
            <w:shd w:fill="EEF2F6" w:val="clear"/>
            <w:tcMar>
              <w:top w:type="dxa" w:w="60"/>
              <w:left w:type="dxa" w:w="90"/>
              <w:bottom w:type="dxa" w:w="60"/>
              <w:right w:type="dxa" w:w="90"/>
            </w:tcMar>
            <w:vAlign w:val="top"/>
          </w:tcPr>
          <w:p>
            <w:pPr>
              <w:spacing w:after="20" w:line="250"/>
            </w:pPr>
            <w:r>
              <w:rPr>
                <w:rFonts w:ascii="Arial" w:cs="Arial" w:eastAsia="Arial" w:hAnsi="Arial"/>
                <w:b/>
                <w:bCs/>
                <w:sz w:val="18"/>
                <w:szCs w:val="18"/>
              </w:rPr>
              <w:t xml:space="preserve">Version and status</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1.2, draft for review</w:t>
            </w:r>
          </w:p>
        </w:tc>
      </w:tr>
      <w:tr>
        <w:trPr>
          <w:cantSplit/>
        </w:trPr>
        <w:tc>
          <w:tcPr>
            <w:tcW w:type="dxa" w:w="2600"/>
            <w:tcBorders>
              <w:top w:val="single" w:color="BFC9D4" w:sz="4"/>
              <w:left w:val="single" w:color="BFC9D4" w:sz="4"/>
              <w:bottom w:val="single" w:color="BFC9D4" w:sz="4"/>
              <w:right w:val="single" w:color="BFC9D4" w:sz="4"/>
            </w:tcBorders>
            <w:shd w:fill="EEF2F6" w:val="clear"/>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Date</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11 September 2026</w:t>
            </w:r>
          </w:p>
        </w:tc>
      </w:tr>
      <w:tr>
        <w:trPr>
          <w:cantSplit/>
        </w:trPr>
        <w:tc>
          <w:tcPr>
            <w:tcW w:type="dxa" w:w="2600"/>
            <w:tcBorders>
              <w:top w:val="single" w:color="BFC9D4" w:sz="4"/>
              <w:left w:val="single" w:color="BFC9D4" w:sz="4"/>
              <w:bottom w:val="single" w:color="BFC9D4" w:sz="4"/>
              <w:right w:val="single" w:color="BFC9D4" w:sz="4"/>
            </w:tcBorders>
            <w:shd w:fill="EEF2F6" w:val="clear"/>
            <w:tcMar>
              <w:top w:type="dxa" w:w="60"/>
              <w:left w:type="dxa" w:w="90"/>
              <w:bottom w:type="dxa" w:w="60"/>
              <w:right w:type="dxa" w:w="90"/>
            </w:tcMar>
            <w:vAlign w:val="top"/>
          </w:tcPr>
          <w:p>
            <w:pPr>
              <w:spacing w:after="20" w:line="250"/>
            </w:pPr>
            <w:r>
              <w:rPr>
                <w:rFonts w:ascii="Arial" w:cs="Arial" w:eastAsia="Arial" w:hAnsi="Arial"/>
                <w:b/>
                <w:bCs/>
                <w:sz w:val="18"/>
                <w:szCs w:val="18"/>
              </w:rPr>
              <w:t xml:space="preserve">Product Owner</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Bhawna</w:t>
            </w:r>
          </w:p>
        </w:tc>
      </w:tr>
      <w:tr>
        <w:trPr>
          <w:cantSplit/>
        </w:trPr>
        <w:tc>
          <w:tcPr>
            <w:tcW w:type="dxa" w:w="2600"/>
            <w:tcBorders>
              <w:top w:val="single" w:color="BFC9D4" w:sz="4"/>
              <w:left w:val="single" w:color="BFC9D4" w:sz="4"/>
              <w:bottom w:val="single" w:color="BFC9D4" w:sz="4"/>
              <w:right w:val="single" w:color="BFC9D4" w:sz="4"/>
            </w:tcBorders>
            <w:shd w:fill="EEF2F6" w:val="clear"/>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Approvers</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Business Sponsor (MVP scope); Steering Committee (High-impact scope changes)</w:t>
            </w:r>
          </w:p>
        </w:tc>
      </w:tr>
      <w:tr>
        <w:trPr>
          <w:cantSplit/>
        </w:trPr>
        <w:tc>
          <w:tcPr>
            <w:tcW w:type="dxa" w:w="2600"/>
            <w:tcBorders>
              <w:top w:val="single" w:color="BFC9D4" w:sz="4"/>
              <w:left w:val="single" w:color="BFC9D4" w:sz="4"/>
              <w:bottom w:val="single" w:color="BFC9D4" w:sz="4"/>
              <w:right w:val="single" w:color="BFC9D4" w:sz="4"/>
            </w:tcBorders>
            <w:shd w:fill="EEF2F6" w:val="clear"/>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Reviewers</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Ops Lead, Finance Lead, Tech Lead, Compliance Lead, InfoSec Lead, Merchant Relationship Lead</w:t>
            </w:r>
          </w:p>
        </w:tc>
      </w:tr>
      <w:tr>
        <w:trPr>
          <w:cantSplit/>
        </w:trPr>
        <w:tc>
          <w:tcPr>
            <w:tcW w:type="dxa" w:w="2600"/>
            <w:tcBorders>
              <w:top w:val="single" w:color="BFC9D4" w:sz="4"/>
              <w:left w:val="single" w:color="BFC9D4" w:sz="4"/>
              <w:bottom w:val="single" w:color="BFC9D4" w:sz="4"/>
              <w:right w:val="single" w:color="BFC9D4" w:sz="4"/>
            </w:tcBorders>
            <w:shd w:fill="EEF2F6" w:val="clear"/>
            <w:tcMar>
              <w:top w:type="dxa" w:w="60"/>
              <w:left w:type="dxa" w:w="90"/>
              <w:bottom w:type="dxa" w:w="60"/>
              <w:right w:type="dxa" w:w="90"/>
            </w:tcMar>
            <w:vAlign w:val="top"/>
          </w:tcPr>
          <w:p>
            <w:pPr>
              <w:spacing w:after="20" w:line="250"/>
            </w:pPr>
            <w:r>
              <w:rPr>
                <w:rFonts w:ascii="Arial" w:cs="Arial" w:eastAsia="Arial" w:hAnsi="Arial"/>
                <w:b/>
                <w:bCs/>
                <w:sz w:val="18"/>
                <w:szCs w:val="18"/>
              </w:rPr>
              <w:t xml:space="preserve">Target release</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MVP go-live 11 December 2026, followed by a 10-merchant pilot from 11 January 2027</w:t>
            </w:r>
          </w:p>
        </w:tc>
      </w:tr>
      <w:tr>
        <w:trPr>
          <w:cantSplit/>
        </w:trPr>
        <w:tc>
          <w:tcPr>
            <w:tcW w:type="dxa" w:w="2600"/>
            <w:tcBorders>
              <w:top w:val="single" w:color="BFC9D4" w:sz="4"/>
              <w:left w:val="single" w:color="BFC9D4" w:sz="4"/>
              <w:bottom w:val="single" w:color="BFC9D4" w:sz="4"/>
              <w:right w:val="single" w:color="BFC9D4" w:sz="4"/>
            </w:tcBorders>
            <w:shd w:fill="EEF2F6" w:val="clear"/>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Related documents</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RAID Log, Change Log, Product Backlog, Requirements Traceability Matrix, KPI Definitions, Business Case &amp; GTM Plan, Engagement Plan, Post-Launch Plan, Product Roadmap, Discovery &amp; Decision Log, Wireframes, SQL Practice Pack</w:t>
            </w:r>
          </w:p>
        </w:tc>
      </w:tr>
    </w:tbl>
    <w:p>
      <w:pPr>
        <w:spacing w:after="200"/>
      </w:pPr>
    </w:p>
    <w:p>
      <w:pPr>
        <w:pBdr>
          <w:left w:val="single" w:color="B7791F" w:sz="24" w:space="8"/>
        </w:pBdr>
        <w:shd w:fill="FFF4E5" w:val="clear"/>
        <w:spacing w:after="160" w:before="120" w:line="276"/>
        <w:ind w:left="160" w:right="160"/>
      </w:pPr>
      <w:r>
        <w:rPr>
          <w:rFonts w:ascii="Arial" w:cs="Arial" w:eastAsia="Arial" w:hAnsi="Arial"/>
          <w:b/>
          <w:bCs/>
          <w:sz w:val="20"/>
          <w:szCs w:val="20"/>
        </w:rPr>
        <w:t xml:space="preserve">Simulation project.</w:t>
      </w:r>
      <w:r>
        <w:rPr>
          <w:rFonts w:ascii="Arial" w:cs="Arial" w:eastAsia="Arial" w:hAnsi="Arial"/>
          <w:sz w:val="20"/>
          <w:szCs w:val="20"/>
        </w:rPr>
        <w:t xml:space="preserve"> This PRD was prepared as a portfolio exercise to demonstrate Product Owner practice. It does not describe an actual client system. Volumes, costs, dates, teams, vendors and reason codes are illustrative.</w:t>
      </w:r>
    </w:p>
    <w:p>
      <w:r>
        <w:br w:type="page"/>
      </w:r>
    </w:p>
    <w:p>
      <w:pPr>
        <w:spacing w:after="200"/>
      </w:pPr>
      <w:r>
        <w:rPr>
          <w:rFonts w:ascii="Arial" w:cs="Arial" w:eastAsia="Arial" w:hAnsi="Arial"/>
          <w:b/>
          <w:bCs/>
          <w:color w:val="1F3A5F"/>
          <w:sz w:val="32"/>
          <w:szCs w:val="32"/>
        </w:rPr>
        <w:t xml:space="preserve">Contents</w:t>
      </w:r>
    </w:p>
    <w:p>
      <w:pPr>
        <w:spacing w:after="80"/>
      </w:pPr>
      <w:r>
        <w:rPr>
          <w:rFonts w:ascii="Arial" w:cs="Arial" w:eastAsia="Arial" w:hAnsi="Arial"/>
          <w:sz w:val="22"/>
          <w:szCs w:val="22"/>
        </w:rPr>
        <w:t xml:space="preserve">The project in plain words</w:t>
      </w:r>
    </w:p>
    <w:p>
      <w:pPr>
        <w:spacing w:after="80"/>
      </w:pPr>
      <w:r>
        <w:rPr>
          <w:rFonts w:ascii="Arial" w:cs="Arial" w:eastAsia="Arial" w:hAnsi="Arial"/>
          <w:sz w:val="22"/>
          <w:szCs w:val="22"/>
        </w:rPr>
        <w:t xml:space="preserve">1.  Executive summary</w:t>
      </w:r>
    </w:p>
    <w:p>
      <w:pPr>
        <w:spacing w:after="80"/>
      </w:pPr>
      <w:r>
        <w:rPr>
          <w:rFonts w:ascii="Arial" w:cs="Arial" w:eastAsia="Arial" w:hAnsi="Arial"/>
          <w:sz w:val="22"/>
          <w:szCs w:val="22"/>
        </w:rPr>
        <w:t xml:space="preserve">2.  Problem statement</w:t>
      </w:r>
    </w:p>
    <w:p>
      <w:pPr>
        <w:spacing w:after="80"/>
      </w:pPr>
      <w:r>
        <w:rPr>
          <w:rFonts w:ascii="Arial" w:cs="Arial" w:eastAsia="Arial" w:hAnsi="Arial"/>
          <w:sz w:val="22"/>
          <w:szCs w:val="22"/>
        </w:rPr>
        <w:t xml:space="preserve">3.  Goals and non-goals</w:t>
      </w:r>
    </w:p>
    <w:p>
      <w:pPr>
        <w:spacing w:after="80"/>
      </w:pPr>
      <w:r>
        <w:rPr>
          <w:rFonts w:ascii="Arial" w:cs="Arial" w:eastAsia="Arial" w:hAnsi="Arial"/>
          <w:sz w:val="22"/>
          <w:szCs w:val="22"/>
        </w:rPr>
        <w:t xml:space="preserve">4.  Users and personas</w:t>
      </w:r>
    </w:p>
    <w:p>
      <w:pPr>
        <w:spacing w:after="80"/>
      </w:pPr>
      <w:r>
        <w:rPr>
          <w:rFonts w:ascii="Arial" w:cs="Arial" w:eastAsia="Arial" w:hAnsi="Arial"/>
          <w:sz w:val="22"/>
          <w:szCs w:val="22"/>
        </w:rPr>
        <w:t xml:space="preserve">5.  User journeys</w:t>
      </w:r>
    </w:p>
    <w:p>
      <w:pPr>
        <w:spacing w:after="80"/>
      </w:pPr>
      <w:r>
        <w:rPr>
          <w:rFonts w:ascii="Arial" w:cs="Arial" w:eastAsia="Arial" w:hAnsi="Arial"/>
          <w:sz w:val="22"/>
          <w:szCs w:val="22"/>
        </w:rPr>
        <w:t xml:space="preserve">6.  Scope</w:t>
      </w:r>
    </w:p>
    <w:p>
      <w:pPr>
        <w:spacing w:after="80"/>
      </w:pPr>
      <w:r>
        <w:rPr>
          <w:rFonts w:ascii="Arial" w:cs="Arial" w:eastAsia="Arial" w:hAnsi="Arial"/>
          <w:sz w:val="22"/>
          <w:szCs w:val="22"/>
        </w:rPr>
        <w:t xml:space="preserve">7.  Functional requirements</w:t>
      </w:r>
    </w:p>
    <w:p>
      <w:pPr>
        <w:spacing w:after="80"/>
      </w:pPr>
      <w:r>
        <w:rPr>
          <w:rFonts w:ascii="Arial" w:cs="Arial" w:eastAsia="Arial" w:hAnsi="Arial"/>
          <w:sz w:val="22"/>
          <w:szCs w:val="22"/>
        </w:rPr>
        <w:t xml:space="preserve">8.  Non-functional and compliance requirements</w:t>
      </w:r>
    </w:p>
    <w:p>
      <w:pPr>
        <w:spacing w:after="80"/>
      </w:pPr>
      <w:r>
        <w:rPr>
          <w:rFonts w:ascii="Arial" w:cs="Arial" w:eastAsia="Arial" w:hAnsi="Arial"/>
          <w:sz w:val="22"/>
          <w:szCs w:val="22"/>
        </w:rPr>
        <w:t xml:space="preserve">9.  Data, integrations and status model</w:t>
      </w:r>
    </w:p>
    <w:p>
      <w:pPr>
        <w:spacing w:after="80"/>
      </w:pPr>
      <w:r>
        <w:rPr>
          <w:rFonts w:ascii="Arial" w:cs="Arial" w:eastAsia="Arial" w:hAnsi="Arial"/>
          <w:sz w:val="22"/>
          <w:szCs w:val="22"/>
        </w:rPr>
        <w:t xml:space="preserve">10.  Experience requirements</w:t>
      </w:r>
    </w:p>
    <w:p>
      <w:pPr>
        <w:spacing w:after="80"/>
      </w:pPr>
      <w:r>
        <w:rPr>
          <w:rFonts w:ascii="Arial" w:cs="Arial" w:eastAsia="Arial" w:hAnsi="Arial"/>
          <w:sz w:val="22"/>
          <w:szCs w:val="22"/>
        </w:rPr>
        <w:t xml:space="preserve">11.  Analytics and instrumentation</w:t>
      </w:r>
    </w:p>
    <w:p>
      <w:pPr>
        <w:spacing w:after="80"/>
      </w:pPr>
      <w:r>
        <w:rPr>
          <w:rFonts w:ascii="Arial" w:cs="Arial" w:eastAsia="Arial" w:hAnsi="Arial"/>
          <w:sz w:val="22"/>
          <w:szCs w:val="22"/>
        </w:rPr>
        <w:t xml:space="preserve">12.  Success metrics</w:t>
      </w:r>
    </w:p>
    <w:p>
      <w:pPr>
        <w:spacing w:after="80"/>
      </w:pPr>
      <w:r>
        <w:rPr>
          <w:rFonts w:ascii="Arial" w:cs="Arial" w:eastAsia="Arial" w:hAnsi="Arial"/>
          <w:sz w:val="22"/>
          <w:szCs w:val="22"/>
        </w:rPr>
        <w:t xml:space="preserve">13.  Release plan and milestones</w:t>
      </w:r>
    </w:p>
    <w:p>
      <w:pPr>
        <w:spacing w:after="80"/>
      </w:pPr>
      <w:r>
        <w:rPr>
          <w:rFonts w:ascii="Arial" w:cs="Arial" w:eastAsia="Arial" w:hAnsi="Arial"/>
          <w:sz w:val="22"/>
          <w:szCs w:val="22"/>
        </w:rPr>
        <w:t xml:space="preserve">14.  Dependencies, risks and assumptions</w:t>
      </w:r>
    </w:p>
    <w:p>
      <w:pPr>
        <w:spacing w:after="80"/>
      </w:pPr>
      <w:r>
        <w:rPr>
          <w:rFonts w:ascii="Arial" w:cs="Arial" w:eastAsia="Arial" w:hAnsi="Arial"/>
          <w:sz w:val="22"/>
          <w:szCs w:val="22"/>
        </w:rPr>
        <w:t xml:space="preserve">15.  Open questions and decisions needed</w:t>
      </w:r>
    </w:p>
    <w:p>
      <w:pPr>
        <w:spacing w:after="80"/>
      </w:pPr>
      <w:r>
        <w:rPr>
          <w:rFonts w:ascii="Arial" w:cs="Arial" w:eastAsia="Arial" w:hAnsi="Arial"/>
          <w:sz w:val="22"/>
          <w:szCs w:val="22"/>
        </w:rPr>
        <w:t xml:space="preserve">16.  Launch readiness, post-launch and beyond MVP</w:t>
      </w:r>
    </w:p>
    <w:p>
      <w:pPr>
        <w:spacing w:after="80"/>
      </w:pPr>
      <w:r>
        <w:rPr>
          <w:rFonts w:ascii="Arial" w:cs="Arial" w:eastAsia="Arial" w:hAnsi="Arial"/>
          <w:sz w:val="22"/>
          <w:szCs w:val="22"/>
        </w:rPr>
        <w:t xml:space="preserve">17.  Appendices</w:t>
      </w:r>
    </w:p>
    <w:p>
      <w:r>
        <w:br w:type="page"/>
      </w:r>
    </w:p>
    <w:p>
      <w:pPr>
        <w:pStyle w:val="Heading1"/>
        <w:keepNext/>
        <w:spacing w:after="160" w:before="360"/>
      </w:pPr>
      <w:r>
        <w:rPr>
          <w:rFonts w:ascii="Arial" w:cs="Arial" w:eastAsia="Arial" w:hAnsi="Arial"/>
        </w:rPr>
        <w:t xml:space="preserve">The project in plain words</w:t>
      </w:r>
    </w:p>
    <w:p>
      <w:pPr>
        <w:spacing w:after="120" w:before="0" w:line="276"/>
      </w:pPr>
      <w:r>
        <w:rPr>
          <w:rFonts w:ascii="Arial" w:cs="Arial" w:eastAsia="Arial" w:hAnsi="Arial"/>
          <w:sz w:val="21"/>
          <w:szCs w:val="21"/>
        </w:rPr>
        <w:t xml:space="preserve">A short, non-technical explanation of the Dispute Hub for anyone new to payments or to this project.</w:t>
      </w:r>
    </w:p>
    <w:p>
      <w:pPr>
        <w:pStyle w:val="Heading2"/>
        <w:keepNext/>
        <w:spacing w:after="100" w:before="240"/>
      </w:pPr>
      <w:r>
        <w:rPr>
          <w:rFonts w:ascii="Arial" w:cs="Arial" w:eastAsia="Arial" w:hAnsi="Arial"/>
        </w:rPr>
        <w:t xml:space="preserve">What a dispute is</w:t>
      </w:r>
    </w:p>
    <w:p>
      <w:pPr>
        <w:spacing w:after="120" w:before="0" w:line="276"/>
      </w:pPr>
      <w:r>
        <w:rPr>
          <w:rFonts w:ascii="Arial" w:cs="Arial" w:eastAsia="Arial" w:hAnsi="Arial"/>
          <w:sz w:val="21"/>
          <w:szCs w:val="21"/>
        </w:rPr>
        <w:t xml:space="preserve">Sometimes a customer calls their bank and says “I didn't get what I paid for” or “I didn't make this purchase.” The bank takes the money back from the shop. This is called a dispute, or chargeback. The shop gets a deadline, usually 20 to 30 days, to prove the sale was genuine, for example with a receipt or proof of delivery. If the shop proves it, they get the money back. If they miss the deadline, they lose automatically, even if they were right.</w:t>
      </w:r>
    </w:p>
    <w:p>
      <w:pPr>
        <w:pStyle w:val="Heading2"/>
        <w:keepNext/>
        <w:spacing w:after="100" w:before="240"/>
      </w:pPr>
      <w:r>
        <w:rPr>
          <w:rFonts w:ascii="Arial" w:cs="Arial" w:eastAsia="Arial" w:hAnsi="Arial"/>
        </w:rPr>
        <w:t xml:space="preserve">The problem today</w:t>
      </w:r>
    </w:p>
    <w:p>
      <w:pPr>
        <w:keepNext/>
        <w:spacing w:after="60" w:before="0" w:line="276"/>
      </w:pPr>
      <w:r>
        <w:rPr>
          <w:rFonts w:ascii="Arial" w:cs="Arial" w:eastAsia="Arial" w:hAnsi="Arial"/>
          <w:sz w:val="21"/>
          <w:szCs w:val="21"/>
        </w:rPr>
        <w:t xml:space="preserve">All of this happens over email.</w:t>
      </w:r>
    </w:p>
    <w:p>
      <w:pPr>
        <w:pStyle w:val="ListParagraph"/>
        <w:numPr>
          <w:ilvl w:val="0"/>
          <w:numId w:val="2"/>
        </w:numPr>
        <w:spacing w:after="60" w:line="276"/>
      </w:pPr>
      <w:r>
        <w:rPr>
          <w:rFonts w:ascii="Arial" w:cs="Arial" w:eastAsia="Arial" w:hAnsi="Arial"/>
          <w:sz w:val="21"/>
          <w:szCs w:val="21"/>
        </w:rPr>
        <w:t xml:space="preserve">Shops don't notice the deadline and lose money they shouldn't have lost.</w:t>
      </w:r>
    </w:p>
    <w:p>
      <w:pPr>
        <w:pStyle w:val="ListParagraph"/>
        <w:numPr>
          <w:ilvl w:val="0"/>
          <w:numId w:val="2"/>
        </w:numPr>
        <w:spacing w:after="60" w:line="276"/>
      </w:pPr>
      <w:r>
        <w:rPr>
          <w:rFonts w:ascii="Arial" w:cs="Arial" w:eastAsia="Arial" w:hAnsi="Arial"/>
          <w:sz w:val="21"/>
          <w:szCs w:val="21"/>
        </w:rPr>
        <w:t xml:space="preserve">They email receipts and screenshots to the dispute team, who copy everything into another system by hand. That's slow and tiring.</w:t>
      </w:r>
    </w:p>
    <w:p>
      <w:pPr>
        <w:pStyle w:val="ListParagraph"/>
        <w:numPr>
          <w:ilvl w:val="0"/>
          <w:numId w:val="2"/>
        </w:numPr>
        <w:spacing w:after="60" w:line="276"/>
      </w:pPr>
      <w:r>
        <w:rPr>
          <w:rFonts w:ascii="Arial" w:cs="Arial" w:eastAsia="Arial" w:hAnsi="Arial"/>
          <w:sz w:val="21"/>
          <w:szCs w:val="21"/>
        </w:rPr>
        <w:t xml:space="preserve">Shops can't see what's happening with their dispute, so they keep calling for updates.</w:t>
      </w:r>
    </w:p>
    <w:p>
      <w:pPr>
        <w:pStyle w:val="ListParagraph"/>
        <w:numPr>
          <w:ilvl w:val="0"/>
          <w:numId w:val="2"/>
        </w:numPr>
        <w:spacing w:after="60" w:line="276"/>
      </w:pPr>
      <w:r>
        <w:rPr>
          <w:rFonts w:ascii="Arial" w:cs="Arial" w:eastAsia="Arial" w:hAnsi="Arial"/>
          <w:sz w:val="21"/>
          <w:szCs w:val="21"/>
        </w:rPr>
        <w:t xml:space="preserve">Some screenshots contain full card numbers sitting in email, which is a security risk.</w:t>
      </w:r>
    </w:p>
    <w:p>
      <w:pPr>
        <w:pStyle w:val="ListParagraph"/>
        <w:numPr>
          <w:ilvl w:val="0"/>
          <w:numId w:val="2"/>
        </w:numPr>
        <w:spacing w:after="60" w:line="276"/>
      </w:pPr>
      <w:r>
        <w:rPr>
          <w:rFonts w:ascii="Arial" w:cs="Arial" w:eastAsia="Arial" w:hAnsi="Arial"/>
          <w:sz w:val="21"/>
          <w:szCs w:val="21"/>
        </w:rPr>
        <w:t xml:space="preserve">Finance and operations can't agree on how many disputes are being won.</w:t>
      </w:r>
    </w:p>
    <w:p>
      <w:pPr>
        <w:pStyle w:val="Heading2"/>
        <w:keepNext/>
        <w:spacing w:after="100" w:before="240"/>
      </w:pPr>
      <w:r>
        <w:rPr>
          <w:rFonts w:ascii="Arial" w:cs="Arial" w:eastAsia="Arial" w:hAnsi="Arial"/>
        </w:rPr>
        <w:t xml:space="preserve">What the Dispute Hub does</w:t>
      </w:r>
    </w:p>
    <w:p>
      <w:pPr>
        <w:keepNext/>
        <w:spacing w:after="60" w:before="0" w:line="276"/>
      </w:pPr>
      <w:r>
        <w:rPr>
          <w:rFonts w:ascii="Arial" w:cs="Arial" w:eastAsia="Arial" w:hAnsi="Arial"/>
          <w:sz w:val="21"/>
          <w:szCs w:val="21"/>
        </w:rPr>
        <w:t xml:space="preserve">It gives every shop one simple online place to:</w:t>
      </w:r>
    </w:p>
    <w:p>
      <w:pPr>
        <w:pStyle w:val="ListParagraph"/>
        <w:numPr>
          <w:ilvl w:val="0"/>
          <w:numId w:val="2"/>
        </w:numPr>
        <w:spacing w:after="60" w:line="276"/>
      </w:pPr>
      <w:r>
        <w:rPr>
          <w:rFonts w:ascii="Arial" w:cs="Arial" w:eastAsia="Arial" w:hAnsi="Arial"/>
          <w:sz w:val="21"/>
          <w:szCs w:val="21"/>
        </w:rPr>
        <w:t xml:space="preserve">See all their disputes and how many days are left on each.</w:t>
      </w:r>
    </w:p>
    <w:p>
      <w:pPr>
        <w:pStyle w:val="ListParagraph"/>
        <w:numPr>
          <w:ilvl w:val="0"/>
          <w:numId w:val="2"/>
        </w:numPr>
        <w:spacing w:after="60" w:line="276"/>
      </w:pPr>
      <w:r>
        <w:rPr>
          <w:rFonts w:ascii="Arial" w:cs="Arial" w:eastAsia="Arial" w:hAnsi="Arial"/>
          <w:sz w:val="21"/>
          <w:szCs w:val="21"/>
        </w:rPr>
        <w:t xml:space="preserve">Get reminder emails before deadlines.</w:t>
      </w:r>
    </w:p>
    <w:p>
      <w:pPr>
        <w:pStyle w:val="ListParagraph"/>
        <w:numPr>
          <w:ilvl w:val="0"/>
          <w:numId w:val="2"/>
        </w:numPr>
        <w:spacing w:after="60" w:line="276"/>
      </w:pPr>
      <w:r>
        <w:rPr>
          <w:rFonts w:ascii="Arial" w:cs="Arial" w:eastAsia="Arial" w:hAnsi="Arial"/>
          <w:sz w:val="21"/>
          <w:szCs w:val="21"/>
        </w:rPr>
        <w:t xml:space="preserve">Upload their proof and send it in one step, with card numbers hidden automatically.</w:t>
      </w:r>
    </w:p>
    <w:p>
      <w:pPr>
        <w:pStyle w:val="ListParagraph"/>
        <w:numPr>
          <w:ilvl w:val="0"/>
          <w:numId w:val="2"/>
        </w:numPr>
        <w:spacing w:after="60" w:line="276"/>
      </w:pPr>
      <w:r>
        <w:rPr>
          <w:rFonts w:ascii="Arial" w:cs="Arial" w:eastAsia="Arial" w:hAnsi="Arial"/>
          <w:sz w:val="21"/>
          <w:szCs w:val="21"/>
        </w:rPr>
        <w:t xml:space="preserve">Track what happened and see how disputes affected their payouts.</w:t>
      </w:r>
    </w:p>
    <w:p>
      <w:pPr>
        <w:spacing w:after="120" w:before="80" w:line="276"/>
      </w:pPr>
      <w:r>
        <w:rPr>
          <w:rFonts w:ascii="Arial" w:cs="Arial" w:eastAsia="Arial" w:hAnsi="Arial"/>
          <w:sz w:val="21"/>
          <w:szCs w:val="21"/>
        </w:rPr>
        <w:t xml:space="preserve">Behind the scenes, the dispute team gets a tidy to-do list instead of a messy inbox, and everyone uses the same numbers.</w:t>
      </w:r>
    </w:p>
    <w:p>
      <w:pPr>
        <w:pStyle w:val="Heading2"/>
        <w:keepNext/>
        <w:spacing w:after="100" w:before="240"/>
      </w:pPr>
      <w:r>
        <w:rPr>
          <w:rFonts w:ascii="Arial" w:cs="Arial" w:eastAsia="Arial" w:hAnsi="Arial"/>
        </w:rPr>
        <w:t xml:space="preserve">Why it matters</w:t>
      </w:r>
    </w:p>
    <w:p>
      <w:pPr>
        <w:spacing w:after="120" w:before="0" w:line="276"/>
      </w:pPr>
      <w:r>
        <w:rPr>
          <w:rFonts w:ascii="Arial" w:cs="Arial" w:eastAsia="Arial" w:hAnsi="Arial"/>
          <w:sz w:val="21"/>
          <w:szCs w:val="21"/>
        </w:rPr>
        <w:t xml:space="preserve">Shops win more of the disputes they deserve to win. The dispute team saves time. Card data stays safe. And the company can show clearly whether it's working.</w:t>
      </w:r>
    </w:p>
    <w:p>
      <w:pPr>
        <w:pStyle w:val="Heading2"/>
        <w:keepNext/>
        <w:spacing w:after="100" w:before="240"/>
      </w:pPr>
      <w:r>
        <w:rPr>
          <w:rFonts w:ascii="Arial" w:cs="Arial" w:eastAsia="Arial" w:hAnsi="Arial"/>
        </w:rPr>
        <w:t xml:space="preserve">The Product Owner's role</w:t>
      </w:r>
    </w:p>
    <w:p>
      <w:pPr>
        <w:spacing w:after="120" w:before="0" w:line="276"/>
      </w:pPr>
      <w:r>
        <w:rPr>
          <w:rFonts w:ascii="Arial" w:cs="Arial" w:eastAsia="Arial" w:hAnsi="Arial"/>
          <w:sz w:val="21"/>
          <w:szCs w:val="21"/>
        </w:rPr>
        <w:t xml:space="preserve">The Product Owner decides what gets built first, keeps everyone agreeing on the plan, handles changes and risks, and measures whether the product succeeds. The PRD and its companion workbooks show how that work is run.</w:t>
      </w:r>
    </w:p>
    <w:p>
      <w:pPr>
        <w:pStyle w:val="Heading2"/>
        <w:keepNext/>
        <w:spacing w:after="100" w:before="240"/>
      </w:pPr>
      <w:r>
        <w:rPr>
          <w:rFonts w:ascii="Arial" w:cs="Arial" w:eastAsia="Arial" w:hAnsi="Arial"/>
        </w:rPr>
        <w:t xml:space="preserve">In one sentence</w:t>
      </w:r>
    </w:p>
    <w:p>
      <w:pPr>
        <w:pBdr>
          <w:left w:val="single" w:color="2E7D8C" w:sz="24" w:space="8"/>
        </w:pBdr>
        <w:shd w:fill="EEF6FB" w:val="clear"/>
        <w:spacing w:after="160" w:before="120" w:line="276"/>
        <w:ind w:left="160" w:right="160"/>
      </w:pPr>
      <w:r>
        <w:rPr>
          <w:rFonts w:ascii="Arial" w:cs="Arial" w:eastAsia="Arial" w:hAnsi="Arial"/>
          <w:sz w:val="20"/>
          <w:szCs w:val="20"/>
        </w:rPr>
        <w:t xml:space="preserve">A self-service portal where merchants track card disputes, get deadline reminders and submit evidence online, so they stop losing disputes to missed deadlines and the ops team stops processing everything by email.</w:t>
      </w:r>
    </w:p>
    <w:p>
      <w:pPr>
        <w:spacing w:after="120" w:before="80" w:line="276"/>
      </w:pPr>
      <w:r>
        <w:rPr>
          <w:rFonts w:ascii="Arial" w:cs="Arial" w:eastAsia="Arial" w:hAnsi="Arial"/>
          <w:color w:val="595959"/>
          <w:sz w:val="18"/>
          <w:szCs w:val="18"/>
        </w:rPr>
        <w:t xml:space="preserve">This is a simulation project built to demonstrate Product Owner practice. It isn't a real client system, but it is modelled on how payment dispute teams work.</w:t>
      </w:r>
    </w:p>
    <w:p>
      <w:r>
        <w:br w:type="page"/>
      </w:r>
    </w:p>
    <w:p>
      <w:pPr>
        <w:pStyle w:val="Heading1"/>
        <w:keepNext/>
        <w:spacing w:after="160" w:before="360"/>
      </w:pPr>
      <w:r>
        <w:rPr>
          <w:rFonts w:ascii="Arial" w:cs="Arial" w:eastAsia="Arial" w:hAnsi="Arial"/>
        </w:rPr>
        <w:t xml:space="preserve">1. Executive summary</w:t>
      </w:r>
    </w:p>
    <w:p>
      <w:pPr>
        <w:spacing w:after="120" w:before="0" w:line="276"/>
      </w:pPr>
      <w:r>
        <w:rPr>
          <w:rFonts w:ascii="Arial" w:cs="Arial" w:eastAsia="Arial" w:hAnsi="Arial"/>
          <w:sz w:val="21"/>
          <w:szCs w:val="21"/>
        </w:rPr>
        <w:t xml:space="preserve">Merchants currently handle card disputes through email and spreadsheets. Deadlines are tracked by hand, evidence is emailed back and forth to dispute operations, and neither merchants nor servicing agents can see where a dispute stands. The result is disputes lost simply because nobody responded in time, high manual effort for dispute ops, avoidable settlement queries, and card data sitting in email attachments.</w:t>
      </w:r>
    </w:p>
    <w:p>
      <w:pPr>
        <w:spacing w:after="120" w:before="0" w:line="276"/>
      </w:pPr>
      <w:r>
        <w:rPr>
          <w:rFonts w:ascii="Arial" w:cs="Arial" w:eastAsia="Arial" w:hAnsi="Arial"/>
          <w:sz w:val="21"/>
          <w:szCs w:val="21"/>
        </w:rPr>
        <w:t xml:space="preserve">The Dispute Hub gives merchants one self-service place to see every open dispute and its deadline, upload and submit evidence safely, and understand how disputes affect their payouts. Behind the portal, it connects to the payment processor for real-time status updates, redacts card numbers from evidence, gives dispute ops a prioritized work queue, and gives ops and finance one trusted set of dispute numbers.</w:t>
      </w:r>
    </w:p>
    <w:p>
      <w:pPr>
        <w:spacing w:after="120" w:before="0" w:line="276"/>
      </w:pPr>
      <w:r>
        <w:rPr>
          <w:rFonts w:ascii="Arial" w:cs="Arial" w:eastAsia="Arial" w:hAnsi="Arial"/>
          <w:sz w:val="21"/>
          <w:szCs w:val="21"/>
        </w:rPr>
        <w:t xml:space="preserve">The MVP covers nine epics and 42 backlog items (252 story points), delivered in ten two-week sprints for go-live on 11 December 2026. Rollout is pilot-led: 10 enterprise merchants first, then two waves by segment, then general availability in Q4 2027, with KPI-based go / no-go gates between each phase.</w:t>
      </w:r>
    </w:p>
    <w:p>
      <w:pPr>
        <w:keepNext/>
        <w:spacing w:after="60" w:before="0" w:line="276"/>
      </w:pPr>
      <w:r>
        <w:rPr>
          <w:rFonts w:ascii="Arial" w:cs="Arial" w:eastAsia="Arial" w:hAnsi="Arial"/>
          <w:b/>
          <w:bCs/>
          <w:sz w:val="21"/>
          <w:szCs w:val="21"/>
        </w:rPr>
        <w:t xml:space="preserve">What success looks like:</w:t>
      </w:r>
    </w:p>
    <w:p>
      <w:pPr>
        <w:pStyle w:val="ListParagraph"/>
        <w:numPr>
          <w:ilvl w:val="0"/>
          <w:numId w:val="2"/>
        </w:numPr>
        <w:spacing w:after="60" w:line="276"/>
      </w:pPr>
      <w:r>
        <w:rPr>
          <w:rFonts w:ascii="Arial" w:cs="Arial" w:eastAsia="Arial" w:hAnsi="Arial"/>
          <w:sz w:val="21"/>
          <w:szCs w:val="21"/>
        </w:rPr>
        <w:t xml:space="preserve">On-time responses rise from 78% to 95%, and disputes lost to missed deadlines fall from 9% to 3%.</w:t>
      </w:r>
    </w:p>
    <w:p>
      <w:pPr>
        <w:pStyle w:val="ListParagraph"/>
        <w:numPr>
          <w:ilvl w:val="0"/>
          <w:numId w:val="2"/>
        </w:numPr>
        <w:spacing w:after="60" w:line="276"/>
      </w:pPr>
      <w:r>
        <w:rPr>
          <w:rFonts w:ascii="Arial" w:cs="Arial" w:eastAsia="Arial" w:hAnsi="Arial"/>
          <w:sz w:val="21"/>
          <w:szCs w:val="21"/>
        </w:rPr>
        <w:t xml:space="preserve">Dispute ops handling time falls from 42 to 25 minutes per dispute, and 70% of evidence arrives through the portal.</w:t>
      </w:r>
    </w:p>
    <w:p>
      <w:pPr>
        <w:pStyle w:val="ListParagraph"/>
        <w:numPr>
          <w:ilvl w:val="0"/>
          <w:numId w:val="2"/>
        </w:numPr>
        <w:spacing w:after="60" w:line="276"/>
      </w:pPr>
      <w:r>
        <w:rPr>
          <w:rFonts w:ascii="Arial" w:cs="Arial" w:eastAsia="Arial" w:hAnsi="Arial"/>
          <w:sz w:val="21"/>
          <w:szCs w:val="21"/>
        </w:rPr>
        <w:t xml:space="preserve">No full card numbers are stored or displayed anywhere in the hub.</w:t>
      </w:r>
    </w:p>
    <w:p>
      <w:pPr>
        <w:pStyle w:val="ListParagraph"/>
        <w:numPr>
          <w:ilvl w:val="0"/>
          <w:numId w:val="2"/>
        </w:numPr>
        <w:spacing w:after="60" w:line="276"/>
      </w:pPr>
      <w:r>
        <w:rPr>
          <w:rFonts w:ascii="Arial" w:cs="Arial" w:eastAsia="Arial" w:hAnsi="Arial"/>
          <w:sz w:val="21"/>
          <w:szCs w:val="21"/>
        </w:rPr>
        <w:t xml:space="preserve">The base business case returns an NPV of about $149k over three years with payback 2.3 years after go-live. The conservative case is negative, which makes adoption and ops capacity treatment the assumptions to validate early.</w:t>
      </w:r>
    </w:p>
    <w:p>
      <w:pPr>
        <w:spacing w:after="120" w:before="80" w:line="276"/>
      </w:pPr>
      <w:r>
        <w:rPr>
          <w:rFonts w:ascii="Arial" w:cs="Arial" w:eastAsia="Arial" w:hAnsi="Arial"/>
          <w:b/>
          <w:bCs/>
          <w:sz w:val="21"/>
          <w:szCs w:val="21"/>
        </w:rPr>
        <w:t xml:space="preserve">Decisions needed now:</w:t>
      </w:r>
      <w:r>
        <w:rPr>
          <w:rFonts w:ascii="Arial" w:cs="Arial" w:eastAsia="Arial" w:hAnsi="Arial"/>
          <w:sz w:val="21"/>
          <w:szCs w:val="21"/>
        </w:rPr>
        <w:t xml:space="preserve"> the CR-05 dispute outcome definitions (due 18 September), the CR-01 fraud case management scope (steering committee, 24 September), the CR-06 UAT approach while the penetration test date is late (25 September), and approval of the analytics tracking plan (I-06).</w:t>
      </w:r>
    </w:p>
    <w:p>
      <w:pPr>
        <w:pStyle w:val="Heading1"/>
        <w:keepNext/>
        <w:spacing w:after="160" w:before="360"/>
      </w:pPr>
      <w:r>
        <w:rPr>
          <w:rFonts w:ascii="Arial" w:cs="Arial" w:eastAsia="Arial" w:hAnsi="Arial"/>
        </w:rPr>
        <w:t xml:space="preserve">2. Problem statement</w:t>
      </w:r>
    </w:p>
    <w:p>
      <w:pPr>
        <w:pStyle w:val="Heading2"/>
        <w:keepNext/>
        <w:spacing w:after="100" w:before="240"/>
      </w:pPr>
      <w:r>
        <w:rPr>
          <w:rFonts w:ascii="Arial" w:cs="Arial" w:eastAsia="Arial" w:hAnsi="Arial"/>
        </w:rPr>
        <w:t xml:space="preserve">2.1 How disputes work today</w:t>
      </w:r>
    </w:p>
    <w:p>
      <w:pPr>
        <w:spacing w:after="120" w:before="0" w:line="276"/>
      </w:pPr>
      <w:r>
        <w:rPr>
          <w:rFonts w:ascii="Arial" w:cs="Arial" w:eastAsia="Arial" w:hAnsi="Arial"/>
          <w:sz w:val="21"/>
          <w:szCs w:val="21"/>
        </w:rPr>
        <w:t xml:space="preserve">When a cardholder disputes a transaction, the processor notifies the provider and dispute ops emails the merchant, who must respond with evidence before a deadline set by card network rules. Merchants reply by email with receipts, invoices and screenshots. Dispute ops re-keys the evidence into the processor, chases missing documents and tracks deadlines in spreadsheets. Merchants can't see status or deadlines themselves, servicing agents can't answer dispute calls, and finance and ops calculate dispute results differently.</w:t>
      </w:r>
    </w:p>
    <w:p>
      <w:pPr>
        <w:pStyle w:val="Heading2"/>
        <w:keepNext/>
        <w:spacing w:after="100" w:before="240"/>
      </w:pPr>
      <w:r>
        <w:rPr>
          <w:rFonts w:ascii="Arial" w:cs="Arial" w:eastAsia="Arial" w:hAnsi="Arial"/>
        </w:rPr>
        <w:t xml:space="preserve">2.2 Who is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900"/>
        <w:gridCol w:w="3838"/>
      </w:tblGrid>
      <w:tr>
        <w:trPr>
          <w:cantSplit/>
          <w:tblHeader/>
        </w:trPr>
        <w:tc>
          <w:tcPr>
            <w:tcW w:type="dxa" w:w="19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Who</w:t>
            </w:r>
          </w:p>
        </w:tc>
        <w:tc>
          <w:tcPr>
            <w:tcW w:type="dxa" w:w="39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Pain today</w:t>
            </w:r>
          </w:p>
        </w:tc>
        <w:tc>
          <w:tcPr>
            <w:tcW w:type="dxa" w:w="38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Evidence (baseline, illustrative)</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Merchants</w:t>
            </w:r>
          </w:p>
        </w:tc>
        <w:tc>
          <w:tcPr>
            <w:tcW w:type="dxa" w:w="3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Miss deadlines they didn't know about; lose money on disputes they could have won; can't explain payout changes</w:t>
            </w:r>
          </w:p>
        </w:tc>
        <w:tc>
          <w:tcPr>
            <w:tcW w:type="dxa" w:w="3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78% on-time response rate (KPI-03); 9% of closed disputes lost to missed deadlines (KPI-04); 38% value recovery rate (KPI-01)</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Dispute operations</w:t>
            </w:r>
          </w:p>
        </w:tc>
        <w:tc>
          <w:tcPr>
            <w:tcW w:type="dxa" w:w="3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Manual email intake, re-keying evidence and chasing merchants; no prioritized queue</w:t>
            </w:r>
          </w:p>
        </w:tc>
        <w:tc>
          <w:tcPr>
            <w:tcW w:type="dxa" w:w="3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42 minutes of handling per dispute (August 2026 time study, KPI-05); 100% of evidence arrives by email (KPI-06)</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Finance</w:t>
            </w:r>
          </w:p>
        </w:tc>
        <w:tc>
          <w:tcPr>
            <w:tcW w:type="dxa" w:w="3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Two conflicting win-rate definitions; settlement debits and reversals hard to reconcile</w:t>
            </w:r>
          </w:p>
        </w:tc>
        <w:tc>
          <w:tcPr>
            <w:tcW w:type="dxa" w:w="3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Finance and ops win rates differ by more than 20 points on the same disputes (I-05)</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Customer servicing</w:t>
            </w:r>
          </w:p>
        </w:tc>
        <w:tc>
          <w:tcPr>
            <w:tcW w:type="dxa" w:w="3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Can't see dispute status, so transfers callers to dispute ops</w:t>
            </w:r>
          </w:p>
        </w:tc>
        <w:tc>
          <w:tcPr>
            <w:tcW w:type="dxa" w:w="3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14 settlement queries per 100 merchants per month (KPI-07)</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Compliance</w:t>
            </w:r>
          </w:p>
        </w:tc>
        <w:tc>
          <w:tcPr>
            <w:tcW w:type="dxa" w:w="3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Card numbers appear in emailed evidence, expanding PCI DSS exposure</w:t>
            </w:r>
          </w:p>
        </w:tc>
        <w:tc>
          <w:tcPr>
            <w:tcW w:type="dxa" w:w="3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Card data in unmanaged mailboxes (R-02)</w:t>
            </w:r>
          </w:p>
        </w:tc>
      </w:tr>
    </w:tbl>
    <w:p>
      <w:pPr>
        <w:spacing w:after="120"/>
      </w:pPr>
    </w:p>
    <w:p>
      <w:pPr>
        <w:pStyle w:val="Heading2"/>
        <w:keepNext/>
        <w:spacing w:after="100" w:before="240"/>
      </w:pPr>
      <w:r>
        <w:rPr>
          <w:rFonts w:ascii="Arial" w:cs="Arial" w:eastAsia="Arial" w:hAnsi="Arial"/>
        </w:rPr>
        <w:t xml:space="preserve">2.3 Cost of not solving it</w:t>
      </w:r>
    </w:p>
    <w:p>
      <w:pPr>
        <w:spacing w:after="120" w:before="0" w:line="276"/>
      </w:pPr>
      <w:r>
        <w:rPr>
          <w:rFonts w:ascii="Arial" w:cs="Arial" w:eastAsia="Arial" w:hAnsi="Arial"/>
          <w:sz w:val="21"/>
          <w:szCs w:val="21"/>
        </w:rPr>
        <w:t xml:space="preserve">Merchants keep losing disputes to process failures rather than on merits, which drives dissatisfaction and attrition. Ops cost scales linearly with dispute volume, and seasonal peaks stretch the team. Card data in email remains a compliance exposure, and leadership continues to receive dispute numbers that finance and ops don't agree on.</w:t>
      </w:r>
    </w:p>
    <w:p>
      <w:pPr>
        <w:pStyle w:val="Heading1"/>
        <w:keepNext/>
        <w:spacing w:after="160" w:before="360"/>
      </w:pPr>
      <w:r>
        <w:rPr>
          <w:rFonts w:ascii="Arial" w:cs="Arial" w:eastAsia="Arial" w:hAnsi="Arial"/>
        </w:rPr>
        <w:t xml:space="preserve">3. Goals and non-goals</w:t>
      </w:r>
    </w:p>
    <w:p>
      <w:pPr>
        <w:pStyle w:val="Heading2"/>
        <w:keepNext/>
        <w:spacing w:after="100" w:before="240"/>
      </w:pPr>
      <w:r>
        <w:rPr>
          <w:rFonts w:ascii="Arial" w:cs="Arial" w:eastAsia="Arial" w:hAnsi="Arial"/>
        </w:rPr>
        <w:t xml:space="preserve">3.1 Goals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700"/>
        <w:gridCol w:w="1300"/>
        <w:gridCol w:w="1519"/>
        <w:gridCol w:w="1619"/>
      </w:tblGrid>
      <w:tr>
        <w:trPr>
          <w:cantSplit/>
          <w:tblHeader/>
        </w:trPr>
        <w:tc>
          <w:tcPr>
            <w:tcW w:type="dxa" w:w="25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Goal</w:t>
            </w:r>
          </w:p>
        </w:tc>
        <w:tc>
          <w:tcPr>
            <w:tcW w:type="dxa" w:w="27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Measure</w:t>
            </w:r>
          </w:p>
        </w:tc>
        <w:tc>
          <w:tcPr>
            <w:tcW w:type="dxa" w:w="13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Baseline</w:t>
            </w:r>
          </w:p>
        </w:tc>
        <w:tc>
          <w:tcPr>
            <w:tcW w:type="dxa" w:w="1519"/>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End of 2027</w:t>
            </w:r>
          </w:p>
        </w:tc>
        <w:tc>
          <w:tcPr>
            <w:tcW w:type="dxa" w:w="1619"/>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End of 2028</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G1. Merchants respond before deadlines</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On-time response rate (KPI-03)</w:t>
            </w:r>
          </w:p>
          <w:p>
            <w:pPr>
              <w:spacing w:after="20" w:line="250"/>
            </w:pPr>
            <w:r>
              <w:rPr>
                <w:rFonts w:ascii="Arial" w:cs="Arial" w:eastAsia="Arial" w:hAnsi="Arial"/>
                <w:sz w:val="18"/>
                <w:szCs w:val="18"/>
              </w:rPr>
              <w:t xml:space="preserve">Missed-deadline loss rate (KPI-04)</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78%</w:t>
            </w:r>
          </w:p>
          <w:p>
            <w:pPr>
              <w:spacing w:after="20" w:line="250"/>
            </w:pPr>
            <w:r>
              <w:rPr>
                <w:rFonts w:ascii="Arial" w:cs="Arial" w:eastAsia="Arial" w:hAnsi="Arial"/>
                <w:sz w:val="18"/>
                <w:szCs w:val="18"/>
              </w:rPr>
              <w:t xml:space="preserve">9%</w:t>
            </w:r>
          </w:p>
        </w:tc>
        <w:tc>
          <w:tcPr>
            <w:tcW w:type="dxa" w:w="1519"/>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91%</w:t>
            </w:r>
          </w:p>
          <w:p>
            <w:pPr>
              <w:spacing w:after="20" w:line="250"/>
            </w:pPr>
            <w:r>
              <w:rPr>
                <w:rFonts w:ascii="Arial" w:cs="Arial" w:eastAsia="Arial" w:hAnsi="Arial"/>
                <w:sz w:val="18"/>
                <w:szCs w:val="18"/>
              </w:rPr>
              <w:t xml:space="preserve">5%</w:t>
            </w:r>
          </w:p>
        </w:tc>
        <w:tc>
          <w:tcPr>
            <w:tcW w:type="dxa" w:w="1619"/>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95%</w:t>
            </w:r>
          </w:p>
          <w:p>
            <w:pPr>
              <w:spacing w:after="20" w:line="250"/>
            </w:pPr>
            <w:r>
              <w:rPr>
                <w:rFonts w:ascii="Arial" w:cs="Arial" w:eastAsia="Arial" w:hAnsi="Arial"/>
                <w:sz w:val="18"/>
                <w:szCs w:val="18"/>
              </w:rPr>
              <w:t xml:space="preserve">3%</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G2. Reduce manual dispute ops effort</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Ops handling time per dispute (KPI-05)</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42 min</w:t>
            </w:r>
          </w:p>
        </w:tc>
        <w:tc>
          <w:tcPr>
            <w:tcW w:type="dxa" w:w="1519"/>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29 min</w:t>
            </w:r>
          </w:p>
        </w:tc>
        <w:tc>
          <w:tcPr>
            <w:tcW w:type="dxa" w:w="1619"/>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25 min</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G3. Make the portal the default dispute channel</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Portal evidence share (KPI-06)</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0%</w:t>
            </w:r>
          </w:p>
        </w:tc>
        <w:tc>
          <w:tcPr>
            <w:tcW w:type="dxa" w:w="1519"/>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55%</w:t>
            </w:r>
          </w:p>
        </w:tc>
        <w:tc>
          <w:tcPr>
            <w:tcW w:type="dxa" w:w="1619"/>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62% (70% in 2029)</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G4. Help merchants recover more disputed value</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Value recovery rate (KPI-01, pending CR-05)</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38%</w:t>
            </w:r>
          </w:p>
        </w:tc>
        <w:tc>
          <w:tcPr>
            <w:tcW w:type="dxa" w:w="1519"/>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42%</w:t>
            </w:r>
          </w:p>
        </w:tc>
        <w:tc>
          <w:tcPr>
            <w:tcW w:type="dxa" w:w="1619"/>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45%</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G5. Keep card data protected</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Card data exposure incidents (KPI-16)</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Not measured</w:t>
            </w:r>
          </w:p>
        </w:tc>
        <w:tc>
          <w:tcPr>
            <w:tcW w:type="dxa" w:w="1519"/>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0</w:t>
            </w:r>
          </w:p>
        </w:tc>
        <w:tc>
          <w:tcPr>
            <w:tcW w:type="dxa" w:w="1619"/>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0</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G6. One trusted set of dispute numbers</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Agreed outcome definitions; reconciliation variance (KPI-15)</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Two definitions</w:t>
            </w:r>
          </w:p>
        </w:tc>
        <w:tc>
          <w:tcPr>
            <w:tcW w:type="dxa" w:w="1519"/>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One definition; ≤ 0.5%</w:t>
            </w:r>
          </w:p>
        </w:tc>
        <w:tc>
          <w:tcPr>
            <w:tcW w:type="dxa" w:w="1619"/>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 0.5%</w:t>
            </w:r>
          </w:p>
        </w:tc>
      </w:tr>
    </w:tbl>
    <w:p>
      <w:pPr>
        <w:spacing w:after="120" w:before="80" w:line="276"/>
      </w:pPr>
      <w:r>
        <w:rPr>
          <w:rFonts w:ascii="Arial" w:cs="Arial" w:eastAsia="Arial" w:hAnsi="Arial"/>
          <w:color w:val="595959"/>
          <w:sz w:val="18"/>
          <w:szCs w:val="18"/>
        </w:rPr>
        <w:t xml:space="preserve">Interim targets follow the quarterly benefits path in the Post-Launch Plan, which rolls up to the base business case.</w:t>
      </w:r>
    </w:p>
    <w:p>
      <w:pPr>
        <w:pStyle w:val="Heading2"/>
        <w:keepNext/>
        <w:spacing w:after="100" w:before="240"/>
      </w:pPr>
      <w:r>
        <w:rPr>
          <w:rFonts w:ascii="Arial" w:cs="Arial" w:eastAsia="Arial" w:hAnsi="Arial"/>
        </w:rPr>
        <w:t xml:space="preserve">3.2 Non-goals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4600"/>
        <w:gridCol w:w="2338"/>
      </w:tblGrid>
      <w:tr>
        <w:trPr>
          <w:cantSplit/>
          <w:tblHeader/>
        </w:trPr>
        <w:tc>
          <w:tcPr>
            <w:tcW w:type="dxa" w:w="27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Not in the MVP</w:t>
            </w:r>
          </w:p>
        </w:tc>
        <w:tc>
          <w:tcPr>
            <w:tcW w:type="dxa" w:w="46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Why</w:t>
            </w:r>
          </w:p>
        </w:tc>
        <w:tc>
          <w:tcPr>
            <w:tcW w:type="dxa" w:w="23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Where it's tracked</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Fraud case management inside the hub</w:t>
            </w:r>
          </w:p>
        </w:tc>
        <w:tc>
          <w:tcPr>
            <w:tcW w:type="dxa" w:w="4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Adds about two sprints and depends on a fraud service that is already late. A read-only fraud case reference may be included if CR-01 Option C is approved.</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CR-01, D-07, roadmap IR-06</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Spanish language portal</w:t>
            </w:r>
          </w:p>
        </w:tc>
        <w:tc>
          <w:tcPr>
            <w:tcW w:type="dxa" w:w="4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Pilot merchants accepted an English portal with a Spanish PDF guide.</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CR-04 (deferred), IR-07</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SMS deadline reminders</w:t>
            </w:r>
          </w:p>
        </w:tc>
        <w:tc>
          <w:tcPr>
            <w:tcW w:type="dxa" w:w="4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Needs an SMS vendor and consent review before sizing.</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CR-09 (under assessment), IR-05</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Marketplace sub-merchant disputes</w:t>
            </w:r>
          </w:p>
        </w:tc>
        <w:tc>
          <w:tcPr>
            <w:tcW w:type="dxa" w:w="4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Requires a sub-merchant data model not in MVP scope.</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Segments tab, IR-10</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Admin screen for editing reason codes</w:t>
            </w:r>
          </w:p>
        </w:tc>
        <w:tc>
          <w:tcPr>
            <w:tcW w:type="dxa" w:w="4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Reason codes are configurable reference data in MVP; a self-service screen can follow.</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CR-02 Option C, IR-04</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Nightly email files of dispute data</w:t>
            </w:r>
          </w:p>
        </w:tc>
        <w:tc>
          <w:tcPr>
            <w:tcW w:type="dxa" w:w="4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Doesn't meet data security requirements; the need is met by CSV export.</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CR-08 (rejected)</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Automated dispute decisions (for example auto-accept rules)</w:t>
            </w:r>
          </w:p>
        </w:tc>
        <w:tc>
          <w:tcPr>
            <w:tcW w:type="dxa" w:w="4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Needs outcome data from the live product first.</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IR-09</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Prevention and AI capabilities: pre-dispute alerts, AI evidence copilot, friendly fraud automation, dispute ratio health, root-cause insights, AI agent purchase readiness</w:t>
            </w:r>
          </w:p>
        </w:tc>
        <w:tc>
          <w:tcPr>
            <w:tcW w:type="dxa" w:w="4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Beyond-MVP differentiators. Each needs discovery, compliance review and a business case before commitment.</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RM-25 to RM-30, DSC-07 to DSC-15, section 16.4</w:t>
            </w:r>
          </w:p>
        </w:tc>
      </w:tr>
    </w:tbl>
    <w:p>
      <w:pPr>
        <w:pStyle w:val="Heading1"/>
        <w:keepNext/>
        <w:spacing w:after="160" w:before="360"/>
      </w:pPr>
      <w:r>
        <w:rPr>
          <w:rFonts w:ascii="Arial" w:cs="Arial" w:eastAsia="Arial" w:hAnsi="Arial"/>
        </w:rPr>
        <w:t xml:space="preserve">4. Users and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400"/>
        <w:gridCol w:w="2500"/>
        <w:gridCol w:w="2838"/>
      </w:tblGrid>
      <w:tr>
        <w:trPr>
          <w:cantSplit/>
          <w:tblHeader/>
        </w:trPr>
        <w:tc>
          <w:tcPr>
            <w:tcW w:type="dxa" w:w="19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Persona</w:t>
            </w:r>
          </w:p>
        </w:tc>
        <w:tc>
          <w:tcPr>
            <w:tcW w:type="dxa" w:w="24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Goal</w:t>
            </w:r>
          </w:p>
        </w:tc>
        <w:tc>
          <w:tcPr>
            <w:tcW w:type="dxa" w:w="25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Key pain today</w:t>
            </w:r>
          </w:p>
        </w:tc>
        <w:tc>
          <w:tcPr>
            <w:tcW w:type="dxa" w:w="28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What they do in the hub</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Merchant operations user</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Respond to every dispute on time with the right evidence</w:t>
            </w:r>
          </w:p>
        </w:tc>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Deadlines hidden in email; unclear what evidence wins</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Works the dispute inbox, uploads evidence, submits or accepts disputes</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Merchant finance user</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Reconcile payouts and understand dispute impact</w:t>
            </w:r>
          </w:p>
        </w:tc>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Payout changes arrive without explanation</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Reviews settlements, debits and reversals; exports to CSV</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Merchant admin</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Give the team the right access and see results</w:t>
            </w:r>
          </w:p>
        </w:tc>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No control over who handles disputes</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Invites users, assigns roles, completes onboarding</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Dispute ops analyst</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Clear disputes in priority order with less re-keying</w:t>
            </w:r>
          </w:p>
        </w:tc>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Manual intake and chasing</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Works the ops queue and manual review queue</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Servicing agent</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Answer dispute and payout questions on the first call</w:t>
            </w:r>
          </w:p>
        </w:tc>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No visibility of dispute status</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Looks up dispute status through the agent console</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Compliance officer</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Keep card data protected and evidence auditable</w:t>
            </w:r>
          </w:p>
        </w:tc>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Card data in email; no audit trail</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Reviews audit history, redaction results and control evidence</w:t>
            </w:r>
          </w:p>
        </w:tc>
      </w:tr>
    </w:tbl>
    <w:p>
      <w:pPr>
        <w:pStyle w:val="Heading1"/>
        <w:keepNext/>
        <w:spacing w:after="160" w:before="360"/>
      </w:pPr>
      <w:r>
        <w:rPr>
          <w:rFonts w:ascii="Arial" w:cs="Arial" w:eastAsia="Arial" w:hAnsi="Arial"/>
        </w:rPr>
        <w:t xml:space="preserve">5. User journeys</w:t>
      </w:r>
    </w:p>
    <w:p>
      <w:pPr>
        <w:pStyle w:val="Heading2"/>
        <w:keepNext/>
        <w:spacing w:after="100" w:before="240"/>
      </w:pPr>
      <w:r>
        <w:rPr>
          <w:rFonts w:ascii="Arial" w:cs="Arial" w:eastAsia="Arial" w:hAnsi="Arial"/>
        </w:rPr>
        <w:t xml:space="preserve">5.1 Merchant responds to a dispute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700"/>
        <w:gridCol w:w="4338"/>
      </w:tblGrid>
      <w:tr>
        <w:trPr>
          <w:cantSplit/>
          <w:tblHeader/>
        </w:trPr>
        <w:tc>
          <w:tcPr>
            <w:tcW w:type="dxa" w:w="16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Step</w:t>
            </w:r>
          </w:p>
        </w:tc>
        <w:tc>
          <w:tcPr>
            <w:tcW w:type="dxa" w:w="37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Today</w:t>
            </w:r>
          </w:p>
        </w:tc>
        <w:tc>
          <w:tcPr>
            <w:tcW w:type="dxa" w:w="43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With the Dispute Hub</w:t>
            </w:r>
          </w:p>
        </w:tc>
      </w:tr>
      <w:tr>
        <w:trPr>
          <w:cantSplit/>
        </w:trPr>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Notice</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Email from dispute ops, sometimes missed</w:t>
            </w:r>
          </w:p>
        </w:tc>
        <w:tc>
          <w:tcPr>
            <w:tcW w:type="dxa" w:w="4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appears in the inbox with its due date; email reminders at 5 and 2 days</w:t>
            </w:r>
          </w:p>
        </w:tc>
      </w:tr>
      <w:tr>
        <w:trPr>
          <w:cantSplit/>
        </w:trPr>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Understand</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Look up the reason code or call servicing</w:t>
            </w:r>
          </w:p>
        </w:tc>
        <w:tc>
          <w:tcPr>
            <w:tcW w:type="dxa" w:w="4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Plain-language reason with suggested evidence types</w:t>
            </w:r>
          </w:p>
        </w:tc>
      </w:tr>
      <w:tr>
        <w:trPr>
          <w:cantSplit/>
        </w:trPr>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Gather evidence</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Collect files and email them to ops</w:t>
            </w:r>
          </w:p>
        </w:tc>
        <w:tc>
          <w:tcPr>
            <w:tcW w:type="dxa" w:w="4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Upload PDF, JPG or PNG files; card numbers redacted automatically</w:t>
            </w:r>
          </w:p>
        </w:tc>
      </w:tr>
      <w:tr>
        <w:trPr>
          <w:cantSplit/>
        </w:trPr>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Respond</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Ops re-keys evidence into the processor</w:t>
            </w:r>
          </w:p>
        </w:tc>
        <w:tc>
          <w:tcPr>
            <w:tcW w:type="dxa" w:w="4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Submit in one step, or accept the dispute with a clear warning</w:t>
            </w:r>
          </w:p>
        </w:tc>
      </w:tr>
      <w:tr>
        <w:trPr>
          <w:cantSplit/>
        </w:trPr>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Track</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Chase ops by email or phone</w:t>
            </w:r>
          </w:p>
        </w:tc>
        <w:tc>
          <w:tcPr>
            <w:tcW w:type="dxa" w:w="4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Status and 'last synced' time visible; outcome notification when closed</w:t>
            </w:r>
          </w:p>
        </w:tc>
      </w:tr>
    </w:tbl>
    <w:p>
      <w:pPr>
        <w:pStyle w:val="Heading2"/>
        <w:keepNext/>
        <w:spacing w:after="100" w:before="240"/>
      </w:pPr>
      <w:r>
        <w:rPr>
          <w:rFonts w:ascii="Arial" w:cs="Arial" w:eastAsia="Arial" w:hAnsi="Arial"/>
        </w:rPr>
        <w:t xml:space="preserve">5.2 Dispute ops handles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700"/>
        <w:gridCol w:w="4338"/>
      </w:tblGrid>
      <w:tr>
        <w:trPr>
          <w:cantSplit/>
          <w:tblHeader/>
        </w:trPr>
        <w:tc>
          <w:tcPr>
            <w:tcW w:type="dxa" w:w="16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Step</w:t>
            </w:r>
          </w:p>
        </w:tc>
        <w:tc>
          <w:tcPr>
            <w:tcW w:type="dxa" w:w="37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Today</w:t>
            </w:r>
          </w:p>
        </w:tc>
        <w:tc>
          <w:tcPr>
            <w:tcW w:type="dxa" w:w="43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With the Dispute Hub</w:t>
            </w:r>
          </w:p>
        </w:tc>
      </w:tr>
      <w:tr>
        <w:trPr>
          <w:cantSplit/>
        </w:trPr>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Intake</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Read mailbox, match emails to disputes</w:t>
            </w:r>
          </w:p>
        </w:tc>
        <w:tc>
          <w:tcPr>
            <w:tcW w:type="dxa" w:w="4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Portal submissions go straight to the processor; only exceptions reach ops</w:t>
            </w:r>
          </w:p>
        </w:tc>
      </w:tr>
      <w:tr>
        <w:trPr>
          <w:cantSplit/>
        </w:trPr>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Prioritize</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Spreadsheet sorted by hand</w:t>
            </w:r>
          </w:p>
        </w:tc>
        <w:tc>
          <w:tcPr>
            <w:tcW w:type="dxa" w:w="4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Work queue ordered by due date with the reason each item needs action</w:t>
            </w:r>
          </w:p>
        </w:tc>
      </w:tr>
      <w:tr>
        <w:trPr>
          <w:cantSplit/>
        </w:trPr>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Exceptions</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Unknown reason codes found late</w:t>
            </w:r>
          </w:p>
        </w:tc>
        <w:tc>
          <w:tcPr>
            <w:tcW w:type="dxa" w:w="4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Unmapped codes routed to a manual review queue; feed outage alert after 2 hours</w:t>
            </w:r>
          </w:p>
        </w:tc>
      </w:tr>
      <w:tr>
        <w:trPr>
          <w:cantSplit/>
        </w:trPr>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Report</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Manual extracts; figures disputed by finance</w:t>
            </w:r>
          </w:p>
        </w:tc>
        <w:tc>
          <w:tcPr>
            <w:tcW w:type="dxa" w:w="4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Power BI dashboard using agreed outcome definitions</w:t>
            </w:r>
          </w:p>
        </w:tc>
      </w:tr>
    </w:tbl>
    <w:p>
      <w:pPr>
        <w:pStyle w:val="Heading2"/>
        <w:keepNext/>
        <w:spacing w:after="100" w:before="240"/>
      </w:pPr>
      <w:r>
        <w:rPr>
          <w:rFonts w:ascii="Arial" w:cs="Arial" w:eastAsia="Arial" w:hAnsi="Arial"/>
        </w:rPr>
        <w:t xml:space="preserve">5.3 Finance user reconciles a payout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700"/>
        <w:gridCol w:w="4338"/>
      </w:tblGrid>
      <w:tr>
        <w:trPr>
          <w:cantSplit/>
          <w:tblHeader/>
        </w:trPr>
        <w:tc>
          <w:tcPr>
            <w:tcW w:type="dxa" w:w="16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Step</w:t>
            </w:r>
          </w:p>
        </w:tc>
        <w:tc>
          <w:tcPr>
            <w:tcW w:type="dxa" w:w="37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Today</w:t>
            </w:r>
          </w:p>
        </w:tc>
        <w:tc>
          <w:tcPr>
            <w:tcW w:type="dxa" w:w="43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With the Dispute Hub</w:t>
            </w:r>
          </w:p>
        </w:tc>
      </w:tr>
      <w:tr>
        <w:trPr>
          <w:cantSplit/>
        </w:trPr>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Spot a change</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Payout lower than expected</w:t>
            </w:r>
          </w:p>
        </w:tc>
        <w:tc>
          <w:tcPr>
            <w:tcW w:type="dxa" w:w="4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Settlement summary shows gross sales, fees, chargeback debits, reversals and net payout</w:t>
            </w:r>
          </w:p>
        </w:tc>
      </w:tr>
      <w:tr>
        <w:trPr>
          <w:cantSplit/>
        </w:trPr>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Explain it</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Call servicing and wait</w:t>
            </w:r>
          </w:p>
        </w:tc>
        <w:tc>
          <w:tcPr>
            <w:tcW w:type="dxa" w:w="4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Each debit and reversal links to its dispute</w:t>
            </w:r>
          </w:p>
        </w:tc>
      </w:tr>
      <w:tr>
        <w:trPr>
          <w:cantSplit/>
        </w:trPr>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Reconcile</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Manual matching in spreadsheets</w:t>
            </w:r>
          </w:p>
        </w:tc>
        <w:tc>
          <w:tcPr>
            <w:tcW w:type="dxa" w:w="4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CSV export of the filtered view; provisional label where data failed quality checks</w:t>
            </w:r>
          </w:p>
        </w:tc>
      </w:tr>
    </w:tbl>
    <w:p>
      <w:pPr>
        <w:pStyle w:val="Heading1"/>
        <w:keepNext/>
        <w:spacing w:after="160" w:before="360"/>
      </w:pPr>
      <w:r>
        <w:rPr>
          <w:rFonts w:ascii="Arial" w:cs="Arial" w:eastAsia="Arial" w:hAnsi="Arial"/>
        </w:rPr>
        <w:t xml:space="preserve">6. Scope</w:t>
      </w:r>
    </w:p>
    <w:p>
      <w:pPr>
        <w:spacing w:after="120" w:before="0" w:line="276"/>
      </w:pPr>
      <w:r>
        <w:rPr>
          <w:rFonts w:ascii="Arial" w:cs="Arial" w:eastAsia="Arial" w:hAnsi="Arial"/>
          <w:sz w:val="21"/>
          <w:szCs w:val="21"/>
        </w:rPr>
        <w:t xml:space="preserve">The MVP is organized into nine epics. Story counts and points come from the Product Backlog (MVP items only; items awaiting a change decision are excluded).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300"/>
        <w:gridCol w:w="2638"/>
        <w:gridCol w:w="800"/>
        <w:gridCol w:w="800"/>
      </w:tblGrid>
      <w:tr>
        <w:trPr>
          <w:cantSplit/>
          <w:tblHeader/>
        </w:trPr>
        <w:tc>
          <w:tcPr>
            <w:tcW w:type="dxa" w:w="21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Epic</w:t>
            </w:r>
          </w:p>
        </w:tc>
        <w:tc>
          <w:tcPr>
            <w:tcW w:type="dxa" w:w="33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Outcome</w:t>
            </w:r>
          </w:p>
        </w:tc>
        <w:tc>
          <w:tcPr>
            <w:tcW w:type="dxa" w:w="26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Success measure</w:t>
            </w:r>
          </w:p>
        </w:tc>
        <w:tc>
          <w:tcPr>
            <w:tcW w:type="dxa" w:w="8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MVP items</w:t>
            </w:r>
          </w:p>
        </w:tc>
        <w:tc>
          <w:tcPr>
            <w:tcW w:type="dxa" w:w="8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Points</w:t>
            </w:r>
          </w:p>
        </w:tc>
      </w:tr>
      <w:tr>
        <w:trPr>
          <w:cantSplit/>
        </w:trPr>
        <w:tc>
          <w:tcPr>
            <w:tcW w:type="dxa" w:w="2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EP-01 Merchant Access &amp; Onboarding</w:t>
            </w:r>
          </w:p>
        </w:tc>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Merchants sign in securely, get the right access for their role and start using the portal without training calls.</w:t>
            </w:r>
          </w:p>
        </w:tc>
        <w:tc>
          <w:tcPr>
            <w:tcW w:type="dxa" w:w="2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Pilot activation rate of at least 60% within 4 weeks</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5</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28</w:t>
            </w:r>
          </w:p>
        </w:tc>
      </w:tr>
      <w:tr>
        <w:trPr>
          <w:cantSplit/>
        </w:trPr>
        <w:tc>
          <w:tcPr>
            <w:tcW w:type="dxa" w:w="2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EP-02 Dispute Inbox &amp; Tracking</w:t>
            </w:r>
          </w:p>
        </w:tc>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Merchants see every open dispute, its status and deadline in one place.</w:t>
            </w:r>
          </w:p>
        </w:tc>
        <w:tc>
          <w:tcPr>
            <w:tcW w:type="dxa" w:w="2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Share of disputes opened in the portal before their deadline</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6</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32</w:t>
            </w:r>
          </w:p>
        </w:tc>
      </w:tr>
      <w:tr>
        <w:trPr>
          <w:cantSplit/>
        </w:trPr>
        <w:tc>
          <w:tcPr>
            <w:tcW w:type="dxa" w:w="2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EP-03 Evidence Submission</w:t>
            </w:r>
          </w:p>
        </w:tc>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Merchants respond to disputes with evidence through the portal instead of email, without exposing card data.</w:t>
            </w:r>
          </w:p>
        </w:tc>
        <w:tc>
          <w:tcPr>
            <w:tcW w:type="dxa" w:w="2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Share of evidence submitted through the portal</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6</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45</w:t>
            </w:r>
          </w:p>
        </w:tc>
      </w:tr>
      <w:tr>
        <w:trPr>
          <w:cantSplit/>
        </w:trPr>
        <w:tc>
          <w:tcPr>
            <w:tcW w:type="dxa" w:w="2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EP-04 Processor Integration</w:t>
            </w:r>
          </w:p>
        </w:tc>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data and statuses flow reliably between the processor and the hub.</w:t>
            </w:r>
          </w:p>
        </w:tc>
        <w:tc>
          <w:tcPr>
            <w:tcW w:type="dxa" w:w="2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Status update latency under 5 minutes; no missed deadlines caused by sync failures</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7</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47</w:t>
            </w:r>
          </w:p>
        </w:tc>
      </w:tr>
      <w:tr>
        <w:trPr>
          <w:cantSplit/>
        </w:trPr>
        <w:tc>
          <w:tcPr>
            <w:tcW w:type="dxa" w:w="2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EP-05 Notifications &amp; Reminders</w:t>
            </w:r>
          </w:p>
        </w:tc>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Merchants are reminded before deadlines and told about outcomes.</w:t>
            </w:r>
          </w:p>
        </w:tc>
        <w:tc>
          <w:tcPr>
            <w:tcW w:type="dxa" w:w="2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Rate of disputes lost due to missed deadlines</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2</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10</w:t>
            </w:r>
          </w:p>
        </w:tc>
      </w:tr>
      <w:tr>
        <w:trPr>
          <w:cantSplit/>
        </w:trPr>
        <w:tc>
          <w:tcPr>
            <w:tcW w:type="dxa" w:w="2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EP-06 Settlement Visibility</w:t>
            </w:r>
          </w:p>
        </w:tc>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Merchants understand their payouts, including chargeback debits and reversals.</w:t>
            </w:r>
          </w:p>
        </w:tc>
        <w:tc>
          <w:tcPr>
            <w:tcW w:type="dxa" w:w="2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Reduction in settlement-related support contacts</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3</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19</w:t>
            </w:r>
          </w:p>
        </w:tc>
      </w:tr>
      <w:tr>
        <w:trPr>
          <w:cantSplit/>
        </w:trPr>
        <w:tc>
          <w:tcPr>
            <w:tcW w:type="dxa" w:w="2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EP-07 Reporting &amp; Analytics</w:t>
            </w:r>
          </w:p>
        </w:tc>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Ops, finance and product teams work from consistent, trusted numbers.</w:t>
            </w:r>
          </w:p>
        </w:tc>
        <w:tc>
          <w:tcPr>
            <w:tcW w:type="dxa" w:w="2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Reconciliation variance within 0.5%; weekly dashboard use by ops and finance</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4</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23</w:t>
            </w:r>
          </w:p>
        </w:tc>
      </w:tr>
      <w:tr>
        <w:trPr>
          <w:cantSplit/>
        </w:trPr>
        <w:tc>
          <w:tcPr>
            <w:tcW w:type="dxa" w:w="2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EP-08 Internal Ops Workbench</w:t>
            </w:r>
          </w:p>
        </w:tc>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ops work disputes in priority order with full context.</w:t>
            </w:r>
          </w:p>
        </w:tc>
        <w:tc>
          <w:tcPr>
            <w:tcW w:type="dxa" w:w="2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Average handling time per dispute</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8</w:t>
            </w:r>
          </w:p>
        </w:tc>
      </w:tr>
      <w:tr>
        <w:trPr>
          <w:cantSplit/>
        </w:trPr>
        <w:tc>
          <w:tcPr>
            <w:tcW w:type="dxa" w:w="2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EP-09 Platform Quality &amp; Compliance</w:t>
            </w:r>
          </w:p>
        </w:tc>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The platform is secure, accessible, performant and ready for go-live sign-off.</w:t>
            </w:r>
          </w:p>
        </w:tc>
        <w:tc>
          <w:tcPr>
            <w:tcW w:type="dxa" w:w="2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Security, accessibility and performance sign-offs complete before go-live</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8</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40</w:t>
            </w:r>
          </w:p>
        </w:tc>
      </w:tr>
      <w:tr>
        <w:trPr>
          <w:cantSplit/>
        </w:trPr>
        <w:tc>
          <w:tcPr>
            <w:tcW w:type="dxa" w:w="2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Total</w:t>
            </w:r>
          </w:p>
        </w:tc>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p>
        </w:tc>
        <w:tc>
          <w:tcPr>
            <w:tcW w:type="dxa" w:w="2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42</w:t>
            </w:r>
          </w:p>
        </w:tc>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252</w:t>
            </w:r>
          </w:p>
        </w:tc>
      </w:tr>
    </w:tbl>
    <w:p>
      <w:pPr>
        <w:spacing w:after="120" w:before="80" w:line="276"/>
      </w:pPr>
      <w:r>
        <w:rPr>
          <w:rFonts w:ascii="Arial" w:cs="Arial" w:eastAsia="Arial" w:hAnsi="Arial"/>
          <w:color w:val="595959"/>
          <w:sz w:val="18"/>
          <w:szCs w:val="18"/>
        </w:rPr>
        <w:t xml:space="preserve">Awaiting a decision: US-036 fraud case reference (CR-01) and US-027 SMS reminders (CR-09). Phase 2 candidates: fraud case management, Spanish portal and reason code admin screen.</w:t>
      </w:r>
    </w:p>
    <w:p>
      <w:pPr>
        <w:pStyle w:val="Heading1"/>
        <w:keepNext/>
        <w:spacing w:after="160" w:before="360"/>
      </w:pPr>
      <w:r>
        <w:rPr>
          <w:rFonts w:ascii="Arial" w:cs="Arial" w:eastAsia="Arial" w:hAnsi="Arial"/>
        </w:rPr>
        <w:t xml:space="preserve">7. Functional requirements</w:t>
      </w:r>
    </w:p>
    <w:p>
      <w:pPr>
        <w:spacing w:after="120" w:before="0" w:line="276"/>
      </w:pPr>
      <w:r>
        <w:rPr>
          <w:rFonts w:ascii="Arial" w:cs="Arial" w:eastAsia="Arial" w:hAnsi="Arial"/>
          <w:sz w:val="21"/>
          <w:szCs w:val="21"/>
        </w:rPr>
        <w:t xml:space="preserve">Priority: </w:t>
      </w:r>
      <w:r>
        <w:rPr>
          <w:rFonts w:ascii="Arial" w:cs="Arial" w:eastAsia="Arial" w:hAnsi="Arial"/>
          <w:b/>
          <w:bCs/>
          <w:sz w:val="21"/>
          <w:szCs w:val="21"/>
        </w:rPr>
        <w:t xml:space="preserve">P0</w:t>
      </w:r>
      <w:r>
        <w:rPr>
          <w:rFonts w:ascii="Arial" w:cs="Arial" w:eastAsia="Arial" w:hAnsi="Arial"/>
          <w:sz w:val="21"/>
          <w:szCs w:val="21"/>
        </w:rPr>
        <w:t xml:space="preserve"> means the MVP can't launch without it; </w:t>
      </w:r>
      <w:r>
        <w:rPr>
          <w:rFonts w:ascii="Arial" w:cs="Arial" w:eastAsia="Arial" w:hAnsi="Arial"/>
          <w:b/>
          <w:bCs/>
          <w:sz w:val="21"/>
          <w:szCs w:val="21"/>
        </w:rPr>
        <w:t xml:space="preserve">P1</w:t>
      </w:r>
      <w:r>
        <w:rPr>
          <w:rFonts w:ascii="Arial" w:cs="Arial" w:eastAsia="Arial" w:hAnsi="Arial"/>
          <w:sz w:val="21"/>
          <w:szCs w:val="21"/>
        </w:rPr>
        <w:t xml:space="preserve"> is important, with a workaround available. Requirement IDs match the Requirements Traceability Matrix, and full Given / When / Then acceptance criteria live on the linked backlog stories.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00"/>
        <w:gridCol w:w="900"/>
        <w:gridCol w:w="4038"/>
        <w:gridCol w:w="1200"/>
      </w:tblGrid>
      <w:tr>
        <w:trPr>
          <w:cantSplit/>
          <w:tblHeader/>
        </w:trPr>
        <w:tc>
          <w:tcPr>
            <w:tcW w:type="dxa" w:w="9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ID</w:t>
            </w:r>
          </w:p>
        </w:tc>
        <w:tc>
          <w:tcPr>
            <w:tcW w:type="dxa" w:w="26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Requirement</w:t>
            </w:r>
          </w:p>
        </w:tc>
        <w:tc>
          <w:tcPr>
            <w:tcW w:type="dxa" w:w="9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Priority</w:t>
            </w:r>
          </w:p>
        </w:tc>
        <w:tc>
          <w:tcPr>
            <w:tcW w:type="dxa" w:w="40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Acceptance summary</w:t>
            </w:r>
          </w:p>
        </w:tc>
        <w:tc>
          <w:tcPr>
            <w:tcW w:type="dxa" w:w="12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Stories</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BR-01</w:t>
            </w:r>
          </w:p>
        </w:tc>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Merchants can view all open disputes, their status and response deadlines in one self-service portal.</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P0</w:t>
            </w:r>
          </w:p>
        </w:tc>
        <w:tc>
          <w:tcPr>
            <w:tcW w:type="dxa" w:w="4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Inbox shows ID, amount, reason, status and due date for every open dispute. Filters by status, reason and due date. Due within 5 days shows amber; within 2 days shows red at the top. Passed deadlines are marked.</w:t>
            </w:r>
          </w:p>
        </w:tc>
        <w:tc>
          <w:tcPr>
            <w:tcW w:type="dxa" w:w="1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US-006</w:t>
            </w:r>
          </w:p>
          <w:p>
            <w:pPr>
              <w:spacing w:after="20" w:line="250"/>
            </w:pPr>
            <w:r>
              <w:rPr>
                <w:rFonts w:ascii="Arial" w:cs="Arial" w:eastAsia="Arial" w:hAnsi="Arial"/>
                <w:sz w:val="18"/>
                <w:szCs w:val="18"/>
              </w:rPr>
              <w:t xml:space="preserve">US-008</w:t>
            </w:r>
          </w:p>
          <w:p>
            <w:pPr>
              <w:spacing w:after="20" w:line="250"/>
            </w:pPr>
            <w:r>
              <w:rPr>
                <w:rFonts w:ascii="Arial" w:cs="Arial" w:eastAsia="Arial" w:hAnsi="Arial"/>
                <w:sz w:val="18"/>
                <w:szCs w:val="18"/>
              </w:rPr>
              <w:t xml:space="preserve">US-009</w:t>
            </w:r>
          </w:p>
          <w:p>
            <w:pPr>
              <w:spacing w:after="20" w:line="250"/>
            </w:pPr>
            <w:r>
              <w:rPr>
                <w:rFonts w:ascii="Arial" w:cs="Arial" w:eastAsia="Arial" w:hAnsi="Arial"/>
                <w:sz w:val="18"/>
                <w:szCs w:val="18"/>
              </w:rPr>
              <w:t xml:space="preserve">US-011</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BR-02</w:t>
            </w:r>
          </w:p>
        </w:tc>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 users sign in with company single sign-on and receive role-based access (Admin, Finance, Operations).</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P0</w:t>
            </w:r>
          </w:p>
        </w:tc>
        <w:tc>
          <w:tcPr>
            <w:tcW w:type="dxa" w:w="4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SSO sign-in lands on the inbox. Admin, Finance and Operations roles control screens and actions. Disabled accounts are denied and logged. Sessions expire after 15 minutes idle.</w:t>
            </w:r>
          </w:p>
        </w:tc>
        <w:tc>
          <w:tcPr>
            <w:tcW w:type="dxa" w:w="1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US-001</w:t>
            </w:r>
          </w:p>
          <w:p>
            <w:pPr>
              <w:spacing w:after="20" w:line="250"/>
            </w:pPr>
            <w:r>
              <w:rPr>
                <w:rFonts w:ascii="Arial" w:cs="Arial" w:eastAsia="Arial" w:hAnsi="Arial"/>
                <w:sz w:val="18"/>
                <w:szCs w:val="18"/>
              </w:rPr>
              <w:t xml:space="preserve">US-002</w:t>
            </w:r>
          </w:p>
          <w:p>
            <w:pPr>
              <w:spacing w:after="20" w:line="250"/>
            </w:pPr>
            <w:r>
              <w:rPr>
                <w:rFonts w:ascii="Arial" w:cs="Arial" w:eastAsia="Arial" w:hAnsi="Arial"/>
                <w:sz w:val="18"/>
                <w:szCs w:val="18"/>
              </w:rPr>
              <w:t xml:space="preserve">US-003</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BR-03</w:t>
            </w:r>
          </w:p>
        </w:tc>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Merchants can upload evidence and submit a dispute response to the processor before the deadline.</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P0</w:t>
            </w:r>
          </w:p>
        </w:tc>
        <w:tc>
          <w:tcPr>
            <w:tcW w:type="dxa" w:w="4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PDF, JPG and PNG up to 10 MB each. Invalid files show a clear error and nothing is stored. One-step submission changes status to Evidence submitted. Processor rejections show the reason and allow resubmission. Attachments become read-only after submission; upload is disabled after the deadline.</w:t>
            </w:r>
          </w:p>
        </w:tc>
        <w:tc>
          <w:tcPr>
            <w:tcW w:type="dxa" w:w="1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US-012</w:t>
            </w:r>
          </w:p>
          <w:p>
            <w:pPr>
              <w:spacing w:after="20" w:line="250"/>
            </w:pPr>
            <w:r>
              <w:rPr>
                <w:rFonts w:ascii="Arial" w:cs="Arial" w:eastAsia="Arial" w:hAnsi="Arial"/>
                <w:sz w:val="18"/>
                <w:szCs w:val="18"/>
              </w:rPr>
              <w:t xml:space="preserve">US-015</w:t>
            </w:r>
          </w:p>
          <w:p>
            <w:pPr>
              <w:spacing w:after="20" w:line="250"/>
            </w:pPr>
            <w:r>
              <w:rPr>
                <w:rFonts w:ascii="Arial" w:cs="Arial" w:eastAsia="Arial" w:hAnsi="Arial"/>
                <w:sz w:val="18"/>
                <w:szCs w:val="18"/>
              </w:rPr>
              <w:t xml:space="preserve">US-017</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BR-05</w:t>
            </w:r>
          </w:p>
        </w:tc>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Merchants can accept a dispute without contesting it.</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P1</w:t>
            </w:r>
          </w:p>
        </w:tc>
        <w:tc>
          <w:tcPr>
            <w:tcW w:type="dxa" w:w="4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Accepting requires confirmation that states the amount won't be recovered. Status changes to Accepted and the acceptance is sent to the processor.</w:t>
            </w:r>
          </w:p>
        </w:tc>
        <w:tc>
          <w:tcPr>
            <w:tcW w:type="dxa" w:w="1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US-016</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BR-06</w:t>
            </w:r>
          </w:p>
        </w:tc>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New disputes are received from the processor automatically without duplicates, and status changes are reflected within 5 minutes.</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P0</w:t>
            </w:r>
          </w:p>
        </w:tc>
        <w:tc>
          <w:tcPr>
            <w:tcW w:type="dxa" w:w="4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New disputes are created once with all mandatory fields; duplicates are prevented. Invalid records go to an error queue. Status updates apply within 5 minutes (p95). Unknown statuses keep the last status and raise an alert; polling is the fallback.</w:t>
            </w:r>
          </w:p>
        </w:tc>
        <w:tc>
          <w:tcPr>
            <w:tcW w:type="dxa" w:w="1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US-018</w:t>
            </w:r>
          </w:p>
          <w:p>
            <w:pPr>
              <w:spacing w:after="20" w:line="250"/>
            </w:pPr>
            <w:r>
              <w:rPr>
                <w:rFonts w:ascii="Arial" w:cs="Arial" w:eastAsia="Arial" w:hAnsi="Arial"/>
                <w:sz w:val="18"/>
                <w:szCs w:val="18"/>
              </w:rPr>
              <w:t xml:space="preserve">US-019</w:t>
            </w:r>
          </w:p>
          <w:p>
            <w:pPr>
              <w:spacing w:after="20" w:line="250"/>
            </w:pPr>
            <w:r>
              <w:rPr>
                <w:rFonts w:ascii="Arial" w:cs="Arial" w:eastAsia="Arial" w:hAnsi="Arial"/>
                <w:sz w:val="18"/>
                <w:szCs w:val="18"/>
              </w:rPr>
              <w:t xml:space="preserve">US-020</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BR-07</w:t>
            </w:r>
          </w:p>
        </w:tc>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reason codes and response windows can be updated without a code release, with a history of each change.</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P0</w:t>
            </w:r>
          </w:p>
        </w:tc>
        <w:tc>
          <w:tcPr>
            <w:tcW w:type="dxa" w:w="4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Reason codes and response windows update through reference data without a release. Previous values, change date and approver are kept. Unmapped codes route to manual review.</w:t>
            </w:r>
          </w:p>
        </w:tc>
        <w:tc>
          <w:tcPr>
            <w:tcW w:type="dxa" w:w="1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US-021</w:t>
            </w:r>
          </w:p>
          <w:p>
            <w:pPr>
              <w:spacing w:after="20" w:line="250"/>
            </w:pPr>
            <w:r>
              <w:rPr>
                <w:rFonts w:ascii="Arial" w:cs="Arial" w:eastAsia="Arial" w:hAnsi="Arial"/>
                <w:sz w:val="18"/>
                <w:szCs w:val="18"/>
              </w:rPr>
              <w:t xml:space="preserve">US-022</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BR-08</w:t>
            </w:r>
          </w:p>
        </w:tc>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Ops are alerted when the processor feed stops updating, and merchants can see when data was last synced.</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P0</w:t>
            </w:r>
          </w:p>
        </w:tc>
        <w:tc>
          <w:tcPr>
            <w:tcW w:type="dxa" w:w="4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'Last synced' time shown in the user's time zone, with a warning after 2 hours. Ops are alerted after 2 hours without updates during business hours, with a recovery message when the feed resumes.</w:t>
            </w:r>
          </w:p>
        </w:tc>
        <w:tc>
          <w:tcPr>
            <w:tcW w:type="dxa" w:w="1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US-010</w:t>
            </w:r>
          </w:p>
          <w:p>
            <w:pPr>
              <w:spacing w:after="20" w:line="250"/>
            </w:pPr>
            <w:r>
              <w:rPr>
                <w:rFonts w:ascii="Arial" w:cs="Arial" w:eastAsia="Arial" w:hAnsi="Arial"/>
                <w:sz w:val="18"/>
                <w:szCs w:val="18"/>
              </w:rPr>
              <w:t xml:space="preserve">US-023</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BR-09</w:t>
            </w:r>
          </w:p>
        </w:tc>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Merchants receive reminders before deadlines and notifications of dispute outcomes, and can opt out of emails.</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P0</w:t>
            </w:r>
          </w:p>
        </w:tc>
        <w:tc>
          <w:tcPr>
            <w:tcW w:type="dxa" w:w="4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Reminder emails at 5 and 2 days before the due date when no evidence is submitted; none after submission. Opt-outs are honored and recorded. Finance and Admin users are notified of final outcomes.</w:t>
            </w:r>
          </w:p>
        </w:tc>
        <w:tc>
          <w:tcPr>
            <w:tcW w:type="dxa" w:w="1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US-025</w:t>
            </w:r>
          </w:p>
          <w:p>
            <w:pPr>
              <w:spacing w:after="20" w:line="250"/>
            </w:pPr>
            <w:r>
              <w:rPr>
                <w:rFonts w:ascii="Arial" w:cs="Arial" w:eastAsia="Arial" w:hAnsi="Arial"/>
                <w:sz w:val="18"/>
                <w:szCs w:val="18"/>
              </w:rPr>
              <w:t xml:space="preserve">US-026</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BR-10</w:t>
            </w:r>
          </w:p>
        </w:tc>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Merchants can view settlements, including chargeback debits and reversals, and export them to CSV.</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P0</w:t>
            </w:r>
          </w:p>
        </w:tc>
        <w:tc>
          <w:tcPr>
            <w:tcW w:type="dxa" w:w="4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Settlement summary by payout date shows gross sales, fees, chargeback debits, reversals and net payout. Debits and reversals link to disputes. CSV export matches the filtered view and contains no full card numbers.</w:t>
            </w:r>
          </w:p>
        </w:tc>
        <w:tc>
          <w:tcPr>
            <w:tcW w:type="dxa" w:w="1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US-028</w:t>
            </w:r>
          </w:p>
          <w:p>
            <w:pPr>
              <w:spacing w:after="20" w:line="250"/>
            </w:pPr>
            <w:r>
              <w:rPr>
                <w:rFonts w:ascii="Arial" w:cs="Arial" w:eastAsia="Arial" w:hAnsi="Arial"/>
                <w:sz w:val="18"/>
                <w:szCs w:val="18"/>
              </w:rPr>
              <w:t xml:space="preserve">US-029</w:t>
            </w:r>
          </w:p>
          <w:p>
            <w:pPr>
              <w:spacing w:after="20" w:line="250"/>
            </w:pPr>
            <w:r>
              <w:rPr>
                <w:rFonts w:ascii="Arial" w:cs="Arial" w:eastAsia="Arial" w:hAnsi="Arial"/>
                <w:sz w:val="18"/>
                <w:szCs w:val="18"/>
              </w:rPr>
              <w:t xml:space="preserve">US-030</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BR-11</w:t>
            </w:r>
          </w:p>
        </w:tc>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Ops and finance report dispute outcomes and win rate using one agreed definition.</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P0</w:t>
            </w:r>
          </w:p>
        </w:tc>
        <w:tc>
          <w:tcPr>
            <w:tcW w:type="dxa" w:w="4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Each closed dispute counts in exactly one outcome category under the agreed definitions. The ops dashboard shows volume by status, ageing bands and disputes due in 5 days.</w:t>
            </w:r>
          </w:p>
        </w:tc>
        <w:tc>
          <w:tcPr>
            <w:tcW w:type="dxa" w:w="1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US-031</w:t>
            </w:r>
          </w:p>
          <w:p>
            <w:pPr>
              <w:spacing w:after="20" w:line="250"/>
            </w:pPr>
            <w:r>
              <w:rPr>
                <w:rFonts w:ascii="Arial" w:cs="Arial" w:eastAsia="Arial" w:hAnsi="Arial"/>
                <w:sz w:val="18"/>
                <w:szCs w:val="18"/>
              </w:rPr>
              <w:t xml:space="preserve">US-032</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BR-18</w:t>
            </w:r>
          </w:p>
        </w:tc>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ops work disputes from a prioritized queue, including disputes with unmapped reason codes.</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P0</w:t>
            </w:r>
          </w:p>
        </w:tc>
        <w:tc>
          <w:tcPr>
            <w:tcW w:type="dxa" w:w="4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Queue lists disputes needing ops action by due date with the reason. Assignments are visible to other analysts. Analysts can categorize unmapped codes and release disputes from manual review.</w:t>
            </w:r>
          </w:p>
        </w:tc>
        <w:tc>
          <w:tcPr>
            <w:tcW w:type="dxa" w:w="1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US-035</w:t>
            </w:r>
          </w:p>
          <w:p>
            <w:pPr>
              <w:spacing w:after="20" w:line="250"/>
            </w:pPr>
            <w:r>
              <w:rPr>
                <w:rFonts w:ascii="Arial" w:cs="Arial" w:eastAsia="Arial" w:hAnsi="Arial"/>
                <w:sz w:val="18"/>
                <w:szCs w:val="18"/>
              </w:rPr>
              <w:t xml:space="preserve">US-022</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BR-19</w:t>
            </w:r>
          </w:p>
        </w:tc>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Servicing agents can retrieve a merchant's dispute status through an API for their agent console.</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P1</w:t>
            </w:r>
          </w:p>
        </w:tc>
        <w:tc>
          <w:tcPr>
            <w:tcW w:type="dxa" w:w="4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Authorized agents retrieve status, due date and last update within 2 seconds. Unauthorized calls are denied and logged.</w:t>
            </w:r>
          </w:p>
        </w:tc>
        <w:tc>
          <w:tcPr>
            <w:tcW w:type="dxa" w:w="1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US-024</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BR-20</w:t>
            </w:r>
          </w:p>
        </w:tc>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Product team can measure pilot adoption without collecting personal or card data.</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P0</w:t>
            </w:r>
          </w:p>
        </w:tc>
        <w:tc>
          <w:tcPr>
            <w:tcW w:type="dxa" w:w="4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Sign-in, dispute views, uploads and submissions are tracked under the approved plan. No personal or card data is included in events.</w:t>
            </w:r>
          </w:p>
        </w:tc>
        <w:tc>
          <w:tcPr>
            <w:tcW w:type="dxa" w:w="1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US-034</w:t>
            </w:r>
          </w:p>
          <w:p>
            <w:pPr>
              <w:spacing w:after="20" w:line="250"/>
            </w:pPr>
            <w:r>
              <w:rPr>
                <w:rFonts w:ascii="Arial" w:cs="Arial" w:eastAsia="Arial" w:hAnsi="Arial"/>
                <w:sz w:val="18"/>
                <w:szCs w:val="18"/>
              </w:rPr>
              <w:t xml:space="preserve">US-005</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BR-21</w:t>
            </w:r>
          </w:p>
        </w:tc>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reasons are shown in plain language with suggested evidence types.</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P1</w:t>
            </w:r>
          </w:p>
        </w:tc>
        <w:tc>
          <w:tcPr>
            <w:tcW w:type="dxa" w:w="4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Every mapped reason code shows a plain-language description and suggested evidence types. Codes without a description show the raw code with a 'description pending' label.</w:t>
            </w:r>
          </w:p>
        </w:tc>
        <w:tc>
          <w:tcPr>
            <w:tcW w:type="dxa" w:w="1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US-007</w:t>
            </w:r>
          </w:p>
        </w:tc>
      </w:tr>
      <w:tr>
        <w:trPr>
          <w:cantSplit/>
        </w:trPr>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BR-23</w:t>
            </w:r>
          </w:p>
        </w:tc>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ops can see a linked fraud case reference on a dispute. (pending CR-01)</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P1, TBD</w:t>
            </w:r>
          </w:p>
        </w:tc>
        <w:tc>
          <w:tcPr>
            <w:tcW w:type="dxa" w:w="4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Linked fraud case ID and status shown read-only. The dispute still loads if the fraud service is unavailable.</w:t>
            </w:r>
          </w:p>
        </w:tc>
        <w:tc>
          <w:tcPr>
            <w:tcW w:type="dxa" w:w="1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US-036</w:t>
            </w:r>
          </w:p>
        </w:tc>
      </w:tr>
    </w:tbl>
    <w:p>
      <w:pPr>
        <w:pStyle w:val="Heading1"/>
        <w:keepNext/>
        <w:spacing w:after="160" w:before="360"/>
      </w:pPr>
      <w:r>
        <w:rPr>
          <w:rFonts w:ascii="Arial" w:cs="Arial" w:eastAsia="Arial" w:hAnsi="Arial"/>
        </w:rPr>
        <w:t xml:space="preserve">8. Non-functional and compliance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700"/>
        <w:gridCol w:w="2338"/>
        <w:gridCol w:w="1700"/>
      </w:tblGrid>
      <w:tr>
        <w:trPr>
          <w:cantSplit/>
          <w:tblHeader/>
        </w:trPr>
        <w:tc>
          <w:tcPr>
            <w:tcW w:type="dxa" w:w="19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Area</w:t>
            </w:r>
          </w:p>
        </w:tc>
        <w:tc>
          <w:tcPr>
            <w:tcW w:type="dxa" w:w="37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Requirement</w:t>
            </w:r>
          </w:p>
        </w:tc>
        <w:tc>
          <w:tcPr>
            <w:tcW w:type="dxa" w:w="23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How it's verified</w:t>
            </w:r>
          </w:p>
        </w:tc>
        <w:tc>
          <w:tcPr>
            <w:tcW w:type="dxa" w:w="17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Links</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Card data protection (PCI DSS)</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Full card numbers are never stored or displayed in evidence, exports or analytics. Card numbers in uploaded files are masked to the last four digits before storage; files that can't be checked are quarantined.</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Redaction test set validated by InfoSec before UAT sign-off; weekly scans after launch (KPI-16)</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BR-04, CTL-01, CR-03</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Encryption</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Evidence encrypted at rest with the approved key management service; TLS 1.2 or higher in transit.</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Configuration review and TLS scan</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BR-14, CTL-02</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Access control</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Least-privilege roles through SSO; denied attempts logged; 15-minute idle timeout.</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Access tests; IAM configuration export</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BR-02, CTL-05</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Audit trail</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Every upload, deletion and submission recorded with user, time, dispute and action. Audit records can't be edited.</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Audit log tests</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BR-13, CTL-03</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Data retention</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Evidence retained and deleted according to the approved retention schedule.</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Deletion job tests once rules are confirmed</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BR-22, CTL-09, A-07</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Privacy</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No personal or card data in analytics events; pseudonymous user IDs; reminder opt-outs recorded.</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Tracking plan privacy review</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BR-20, CTL-04</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Accessibility</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 screens meet WCAG 2.1 AA, including keyboard-only and screen reader use.</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Automated and manual audit; no critical or serious issues open</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BR-15, CTL-07</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Performance</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95th percentile API response under 2 seconds at 3x forecast peak volume.</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60-minute load test before go-live</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BR-16, KPI-14</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Data freshness</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Status updates applied within 5 minutes at the 95th percentile; alert after 2 hours with no updates.</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Status event log monitoring</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BR-06, BR-08, KPI-12, KPI-13</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Security testing</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Independent penetration test; critical and high findings fixed and retested before go-live.</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Pen test report and retest</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BR-17, CTL-08, D-03</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Data quality</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Settlement reports reconcile to the finance ledger within 0.5% before release.</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Daily quality rules and monthly reconciliation</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BR-12, KPI-15</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Availability (proposed)</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99.9% monthly availability for the merchant portal, excluding planned maintenance windows.</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Uptime monitoring</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To be confirmed (Q-08)</w:t>
            </w:r>
          </w:p>
        </w:tc>
      </w:tr>
      <w:tr>
        <w:trPr>
          <w:cantSplit/>
        </w:trPr>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Supported browsers (proposed)</w:t>
            </w:r>
          </w:p>
        </w:tc>
        <w:tc>
          <w:tcPr>
            <w:tcW w:type="dxa" w:w="3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Latest two versions of Chrome, Edge, Safari and Firefox; responsive down to tablet width.</w:t>
            </w:r>
          </w:p>
        </w:tc>
        <w:tc>
          <w:tcPr>
            <w:tcW w:type="dxa" w:w="23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Cross-browser test pass in SIT</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To be confirmed (Q-08)</w:t>
            </w:r>
          </w:p>
        </w:tc>
      </w:tr>
    </w:tbl>
    <w:p>
      <w:pPr>
        <w:pStyle w:val="Heading1"/>
        <w:keepNext/>
        <w:spacing w:after="160" w:before="360"/>
      </w:pPr>
      <w:r>
        <w:rPr>
          <w:rFonts w:ascii="Arial" w:cs="Arial" w:eastAsia="Arial" w:hAnsi="Arial"/>
        </w:rPr>
        <w:t xml:space="preserve">9. Data, integrations and status model</w:t>
      </w:r>
    </w:p>
    <w:p>
      <w:pPr>
        <w:pStyle w:val="Heading2"/>
        <w:keepNext/>
        <w:spacing w:after="100" w:before="240"/>
      </w:pPr>
      <w:r>
        <w:rPr>
          <w:rFonts w:ascii="Arial" w:cs="Arial" w:eastAsia="Arial" w:hAnsi="Arial"/>
        </w:rPr>
        <w:t xml:space="preserve">9.1 Integrations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500"/>
        <w:gridCol w:w="2800"/>
        <w:gridCol w:w="2838"/>
      </w:tblGrid>
      <w:tr>
        <w:trPr>
          <w:cantSplit/>
          <w:tblHeader/>
        </w:trPr>
        <w:tc>
          <w:tcPr>
            <w:tcW w:type="dxa" w:w="25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System</w:t>
            </w:r>
          </w:p>
        </w:tc>
        <w:tc>
          <w:tcPr>
            <w:tcW w:type="dxa" w:w="15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Direction</w:t>
            </w:r>
          </w:p>
        </w:tc>
        <w:tc>
          <w:tcPr>
            <w:tcW w:type="dxa" w:w="28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Purpose</w:t>
            </w:r>
          </w:p>
        </w:tc>
        <w:tc>
          <w:tcPr>
            <w:tcW w:type="dxa" w:w="28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Dependency and status</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Payment processor dispute API and webhooks</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Inbound and outbound</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Ingest disputes, receive status updates, submit evidence and acceptances</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D-01 production access at risk (committed one week late); I-01 sandbox status values</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Identity platform (SSO)</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Inbound</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Sign-in and role-based access</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D-02 role configuration on track</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Card-number redaction service</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Internal</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Detect and mask card numbers in uploads</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CR-03 approved with InfoSec validation condition</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Document storage vendor</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Outbound</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Store redacted evidence files</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R-08 vendor security assessment</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Settlement pipeline and warehouse</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Inbound</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Payouts, debits and reversals for reports</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D-04 on track for 9 October</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Finance ledger extract</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Inbound</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Monthly reconciliation</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KPI-15</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Email service</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Outbound</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Reminders and outcome notifications</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US-025, US-026</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Amplitude</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Outbound</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Product analytics</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I-06 tracking plan awaiting approval</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Power BI</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Inbound</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Ops and finance dashboards</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US-031, US-032</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Servicing agent console</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Outbound (API)</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status lookup for agents</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D-06 on track</w:t>
            </w:r>
          </w:p>
        </w:tc>
      </w:tr>
      <w:tr>
        <w:trPr>
          <w:cantSplit/>
        </w:trPr>
        <w:tc>
          <w:tcPr>
            <w:tcW w:type="dxa" w:w="2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Fraud case service</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Inbound</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Fraud case reference on disputes</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D-07 late; only if CR-01 Option C is approved</w:t>
            </w:r>
          </w:p>
        </w:tc>
      </w:tr>
    </w:tbl>
    <w:p>
      <w:pPr>
        <w:pStyle w:val="Heading2"/>
        <w:keepNext/>
        <w:spacing w:after="100" w:before="240"/>
      </w:pPr>
      <w:r>
        <w:rPr>
          <w:rFonts w:ascii="Arial" w:cs="Arial" w:eastAsia="Arial" w:hAnsi="Arial"/>
        </w:rPr>
        <w:t xml:space="preserve">9.2 Dispute status model</w:t>
      </w:r>
    </w:p>
    <w:p>
      <w:pPr>
        <w:spacing w:after="120" w:before="0" w:line="276"/>
      </w:pPr>
      <w:r>
        <w:rPr>
          <w:rFonts w:ascii="Arial" w:cs="Arial" w:eastAsia="Arial" w:hAnsi="Arial"/>
          <w:sz w:val="21"/>
          <w:szCs w:val="21"/>
        </w:rPr>
        <w:t xml:space="preserve">Processor status values are normalized into nine internal statuses. Processor values below are illustrative and must be confirmed against the processor API documentation (A-02).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400"/>
        <w:gridCol w:w="2300"/>
        <w:gridCol w:w="1000"/>
        <w:gridCol w:w="1238"/>
      </w:tblGrid>
      <w:tr>
        <w:trPr>
          <w:cantSplit/>
          <w:tblHeader/>
        </w:trPr>
        <w:tc>
          <w:tcPr>
            <w:tcW w:type="dxa" w:w="17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Internal status</w:t>
            </w:r>
          </w:p>
        </w:tc>
        <w:tc>
          <w:tcPr>
            <w:tcW w:type="dxa" w:w="34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Meaning</w:t>
            </w:r>
          </w:p>
        </w:tc>
        <w:tc>
          <w:tcPr>
            <w:tcW w:type="dxa" w:w="23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Example processor values</w:t>
            </w:r>
          </w:p>
        </w:tc>
        <w:tc>
          <w:tcPr>
            <w:tcW w:type="dxa" w:w="10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Open or closed</w:t>
            </w:r>
          </w:p>
        </w:tc>
        <w:tc>
          <w:tcPr>
            <w:tcW w:type="dxa" w:w="12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Merchant label</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New</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received from the processor; no merchant or ops action yet.</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NEW, OPENED</w:t>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Open</w:t>
            </w:r>
          </w:p>
        </w:tc>
        <w:tc>
          <w:tcPr>
            <w:tcW w:type="dxa" w:w="12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New</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Awaiting evidence</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 can respond and the response deadline is running.</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EVIDENCE_REQUIRED, ACTION_NEEDED</w:t>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Open</w:t>
            </w:r>
          </w:p>
        </w:tc>
        <w:tc>
          <w:tcPr>
            <w:tcW w:type="dxa" w:w="12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Action needed</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Evidence submitted</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 response has been sent to the processor.</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RESPONSE_SUBMITTED</w:t>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Open</w:t>
            </w:r>
          </w:p>
        </w:tc>
        <w:tc>
          <w:tcPr>
            <w:tcW w:type="dxa" w:w="12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Response sent</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Under review</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Processor or card network is reviewing the dispute.</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UNDER_REVIEW, IN_REVIEW</w:t>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Open</w:t>
            </w:r>
          </w:p>
        </w:tc>
        <w:tc>
          <w:tcPr>
            <w:tcW w:type="dxa" w:w="12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Under review</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Accepted</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 accepted the dispute without contesting.</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ACCEPTED, MERCHANT_ACCEPTED</w:t>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Closed</w:t>
            </w:r>
          </w:p>
        </w:tc>
        <w:tc>
          <w:tcPr>
            <w:tcW w:type="dxa" w:w="12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Accepted</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Expired</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Response deadline passed with no evidence submitted and no acceptance.</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EXPIRED, NO_RESPONSE</w:t>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Closed</w:t>
            </w:r>
          </w:p>
        </w:tc>
        <w:tc>
          <w:tcPr>
            <w:tcW w:type="dxa" w:w="12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Deadline passed</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Won</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Resolved fully in the merchant's favor.</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WON, RESOLVED_MERCHANT</w:t>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Closed</w:t>
            </w:r>
          </w:p>
        </w:tc>
        <w:tc>
          <w:tcPr>
            <w:tcW w:type="dxa" w:w="12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Won</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Partially won</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Resolved with part of the disputed amount returned to the merchant.</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PARTIAL_WIN, SPLIT_DECISION</w:t>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Closed</w:t>
            </w:r>
          </w:p>
        </w:tc>
        <w:tc>
          <w:tcPr>
            <w:tcW w:type="dxa" w:w="12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Partially won</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Lost</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Resolved in the cardholder's favor after the merchant responded.</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LOST, RESOLVED_CARDHOLDER</w:t>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Closed</w:t>
            </w:r>
          </w:p>
        </w:tc>
        <w:tc>
          <w:tcPr>
            <w:tcW w:type="dxa" w:w="12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Lost</w:t>
            </w:r>
          </w:p>
        </w:tc>
      </w:tr>
    </w:tbl>
    <w:p>
      <w:pPr>
        <w:pBdr>
          <w:left w:val="single" w:color="2E7D8C" w:sz="24" w:space="8"/>
        </w:pBdr>
        <w:shd w:fill="EEF6FB" w:val="clear"/>
        <w:spacing w:after="160" w:before="120" w:line="276"/>
        <w:ind w:left="160" w:right="160"/>
      </w:pPr>
      <w:r>
        <w:rPr>
          <w:rFonts w:ascii="Arial" w:cs="Arial" w:eastAsia="Arial" w:hAnsi="Arial"/>
          <w:sz w:val="20"/>
          <w:szCs w:val="20"/>
        </w:rPr>
        <w:t xml:space="preserve">Known defect: during SIT the processor value IN_REVIEW was mapped to Closed instead of Under review (DEF-03). The mapping is covered by test cases TC-029 and TC-030 and a monitoring query that flags any processor status mapped to more than one internal status.</w:t>
      </w:r>
    </w:p>
    <w:p>
      <w:pPr>
        <w:pStyle w:val="Heading2"/>
        <w:keepNext/>
        <w:spacing w:after="100" w:before="240"/>
      </w:pPr>
      <w:r>
        <w:rPr>
          <w:rFonts w:ascii="Arial" w:cs="Arial" w:eastAsia="Arial" w:hAnsi="Arial"/>
        </w:rPr>
        <w:t xml:space="preserve">9.3 Dispute outcome definitions (proposed under CR-05)</w:t>
      </w:r>
    </w:p>
    <w:p>
      <w:pPr>
        <w:spacing w:after="120" w:before="0" w:line="276"/>
      </w:pPr>
      <w:r>
        <w:rPr>
          <w:rFonts w:ascii="Arial" w:cs="Arial" w:eastAsia="Arial" w:hAnsi="Arial"/>
          <w:sz w:val="21"/>
          <w:szCs w:val="21"/>
        </w:rPr>
        <w:t xml:space="preserve">Finance currently counts partially won disputes as lost; ops counts them as won. The proposal reports each outcome explicitly. It is pending a Business Sponsor decision due 18 September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600"/>
        <w:gridCol w:w="1700"/>
        <w:gridCol w:w="2000"/>
        <w:gridCol w:w="2838"/>
      </w:tblGrid>
      <w:tr>
        <w:trPr>
          <w:cantSplit/>
          <w:tblHeader/>
        </w:trPr>
        <w:tc>
          <w:tcPr>
            <w:tcW w:type="dxa" w:w="15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Outcome</w:t>
            </w:r>
          </w:p>
        </w:tc>
        <w:tc>
          <w:tcPr>
            <w:tcW w:type="dxa" w:w="16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Counts as contested</w:t>
            </w:r>
          </w:p>
        </w:tc>
        <w:tc>
          <w:tcPr>
            <w:tcW w:type="dxa" w:w="17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Counts as a win</w:t>
            </w:r>
          </w:p>
        </w:tc>
        <w:tc>
          <w:tcPr>
            <w:tcW w:type="dxa" w:w="20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Recovered amount in KPI-01</w:t>
            </w:r>
          </w:p>
        </w:tc>
        <w:tc>
          <w:tcPr>
            <w:tcW w:type="dxa" w:w="28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Proposed rule</w:t>
            </w:r>
          </w:p>
        </w:tc>
      </w:tr>
      <w:tr>
        <w:trPr>
          <w:cantSplit/>
        </w:trPr>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Won</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Yes</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Yes</w:t>
            </w:r>
          </w:p>
        </w:tc>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Full dispute_amount</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Won; counts as a win.</w:t>
            </w:r>
          </w:p>
        </w:tc>
      </w:tr>
      <w:tr>
        <w:trPr>
          <w:cantSplit/>
        </w:trPr>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Partially won</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Yes</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No (reported separately)</w:t>
            </w:r>
          </w:p>
        </w:tc>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Amount returned</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Own category; recovered amount included in KPI-01.</w:t>
            </w:r>
          </w:p>
        </w:tc>
      </w:tr>
      <w:tr>
        <w:trPr>
          <w:cantSplit/>
        </w:trPr>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Lost</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Yes</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No</w:t>
            </w:r>
          </w:p>
        </w:tc>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0</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Lost.</w:t>
            </w:r>
          </w:p>
        </w:tc>
      </w:tr>
      <w:tr>
        <w:trPr>
          <w:cantSplit/>
        </w:trPr>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Accepted</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No</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No</w:t>
            </w:r>
          </w:p>
        </w:tc>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0</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Excluded from win rate; tracked as acceptance volume.</w:t>
            </w:r>
          </w:p>
        </w:tc>
      </w:tr>
      <w:tr>
        <w:trPr>
          <w:cantSplit/>
        </w:trPr>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Expired</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No</w:t>
            </w:r>
          </w:p>
        </w:tc>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No</w:t>
            </w:r>
          </w:p>
        </w:tc>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0</w:t>
            </w:r>
          </w:p>
        </w:tc>
        <w:tc>
          <w:tcPr>
            <w:tcW w:type="dxa" w:w="2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Excluded from win rate; counted in KPI-04 missed-deadline loss rate.</w:t>
            </w:r>
          </w:p>
        </w:tc>
      </w:tr>
    </w:tbl>
    <w:p>
      <w:pPr>
        <w:spacing w:after="120" w:before="80" w:line="276"/>
      </w:pPr>
      <w:r>
        <w:rPr>
          <w:rFonts w:ascii="Arial" w:cs="Arial" w:eastAsia="Arial" w:hAnsi="Arial"/>
          <w:sz w:val="21"/>
          <w:szCs w:val="21"/>
        </w:rPr>
        <w:t xml:space="preserve">Win rate (KPI-02) = Won ÷ (Won + Partially won + Lost). Partial win rate is reported alongside. On the same 100 illustrative disputes, Finance's current method gives 40%, Ops' gives 62.5%, and the proposal gives 50% with a 12.5% partial win rate.</w:t>
      </w:r>
    </w:p>
    <w:p>
      <w:pPr>
        <w:pStyle w:val="Heading2"/>
        <w:keepNext/>
        <w:spacing w:after="100" w:before="240"/>
      </w:pPr>
      <w:r>
        <w:rPr>
          <w:rFonts w:ascii="Arial" w:cs="Arial" w:eastAsia="Arial" w:hAnsi="Arial"/>
        </w:rPr>
        <w:t xml:space="preserve">9.4 Key data entities</w:t>
      </w:r>
    </w:p>
    <w:p>
      <w:pPr>
        <w:spacing w:after="120" w:before="0" w:line="276"/>
      </w:pPr>
      <w:r>
        <w:rPr>
          <w:rFonts w:ascii="Arial" w:cs="Arial" w:eastAsia="Arial" w:hAnsi="Arial"/>
          <w:sz w:val="21"/>
          <w:szCs w:val="21"/>
        </w:rPr>
        <w:t xml:space="preserve">Merchant, dispute, reason code, status event, evidence file, portal user, analytics event, ops work item, settlement and ledger entry. Field definitions, owners, quality rules and sensitivity classifications are maintained in the Data Dictionary tab of the KPI Definitions workbook.</w:t>
      </w:r>
    </w:p>
    <w:p>
      <w:pPr>
        <w:pStyle w:val="Heading1"/>
        <w:keepNext/>
        <w:spacing w:after="160" w:before="360"/>
      </w:pPr>
      <w:r>
        <w:rPr>
          <w:rFonts w:ascii="Arial" w:cs="Arial" w:eastAsia="Arial" w:hAnsi="Arial"/>
        </w:rPr>
        <w:t xml:space="preserve">10. Experience requirements</w:t>
      </w:r>
    </w:p>
    <w:p>
      <w:pPr>
        <w:pStyle w:val="Heading2"/>
        <w:keepNext/>
        <w:spacing w:after="100" w:before="240"/>
      </w:pPr>
      <w:r>
        <w:rPr>
          <w:rFonts w:ascii="Arial" w:cs="Arial" w:eastAsia="Arial" w:hAnsi="Arial"/>
        </w:rPr>
        <w:t xml:space="preserve">10.1 Design principles</w:t>
      </w:r>
    </w:p>
    <w:p>
      <w:pPr>
        <w:pStyle w:val="ListParagraph"/>
        <w:numPr>
          <w:ilvl w:val="0"/>
          <w:numId w:val="2"/>
        </w:numPr>
        <w:spacing w:after="60" w:line="276"/>
      </w:pPr>
      <w:r>
        <w:rPr>
          <w:rFonts w:ascii="Arial" w:cs="Arial" w:eastAsia="Arial" w:hAnsi="Arial"/>
          <w:b/>
          <w:bCs/>
          <w:sz w:val="21"/>
          <w:szCs w:val="21"/>
        </w:rPr>
        <w:t xml:space="preserve">Deadline first.</w:t>
      </w:r>
      <w:r>
        <w:rPr>
          <w:rFonts w:ascii="Arial" w:cs="Arial" w:eastAsia="Arial" w:hAnsi="Arial"/>
          <w:sz w:val="21"/>
          <w:szCs w:val="21"/>
        </w:rPr>
        <w:t xml:space="preserve"> Every dispute view leads with how much time is left and what to do next.</w:t>
      </w:r>
    </w:p>
    <w:p>
      <w:pPr>
        <w:pStyle w:val="ListParagraph"/>
        <w:numPr>
          <w:ilvl w:val="0"/>
          <w:numId w:val="2"/>
        </w:numPr>
        <w:spacing w:after="60" w:line="276"/>
      </w:pPr>
      <w:r>
        <w:rPr>
          <w:rFonts w:ascii="Arial" w:cs="Arial" w:eastAsia="Arial" w:hAnsi="Arial"/>
          <w:b/>
          <w:bCs/>
          <w:sz w:val="21"/>
          <w:szCs w:val="21"/>
        </w:rPr>
        <w:t xml:space="preserve">Plain language.</w:t>
      </w:r>
      <w:r>
        <w:rPr>
          <w:rFonts w:ascii="Arial" w:cs="Arial" w:eastAsia="Arial" w:hAnsi="Arial"/>
          <w:sz w:val="21"/>
          <w:szCs w:val="21"/>
        </w:rPr>
        <w:t xml:space="preserve"> Reason codes, statuses and errors are written for merchants, not for card network specialists.</w:t>
      </w:r>
    </w:p>
    <w:p>
      <w:pPr>
        <w:pStyle w:val="ListParagraph"/>
        <w:numPr>
          <w:ilvl w:val="0"/>
          <w:numId w:val="2"/>
        </w:numPr>
        <w:spacing w:after="60" w:line="276"/>
      </w:pPr>
      <w:r>
        <w:rPr>
          <w:rFonts w:ascii="Arial" w:cs="Arial" w:eastAsia="Arial" w:hAnsi="Arial"/>
          <w:b/>
          <w:bCs/>
          <w:sz w:val="21"/>
          <w:szCs w:val="21"/>
        </w:rPr>
        <w:t xml:space="preserve">No dead ends.</w:t>
      </w:r>
      <w:r>
        <w:rPr>
          <w:rFonts w:ascii="Arial" w:cs="Arial" w:eastAsia="Arial" w:hAnsi="Arial"/>
          <w:sz w:val="21"/>
          <w:szCs w:val="21"/>
        </w:rPr>
        <w:t xml:space="preserve"> Every error explains what happened and how to fix it before the deadline.</w:t>
      </w:r>
    </w:p>
    <w:p>
      <w:pPr>
        <w:pStyle w:val="ListParagraph"/>
        <w:numPr>
          <w:ilvl w:val="0"/>
          <w:numId w:val="2"/>
        </w:numPr>
        <w:spacing w:after="60" w:line="276"/>
      </w:pPr>
      <w:r>
        <w:rPr>
          <w:rFonts w:ascii="Arial" w:cs="Arial" w:eastAsia="Arial" w:hAnsi="Arial"/>
          <w:b/>
          <w:bCs/>
          <w:sz w:val="21"/>
          <w:szCs w:val="21"/>
        </w:rPr>
        <w:t xml:space="preserve">Accessible by default.</w:t>
      </w:r>
      <w:r>
        <w:rPr>
          <w:rFonts w:ascii="Arial" w:cs="Arial" w:eastAsia="Arial" w:hAnsi="Arial"/>
          <w:sz w:val="21"/>
          <w:szCs w:val="21"/>
        </w:rPr>
        <w:t xml:space="preserve"> Accessibility checks are part of the Definition of Done for every screen.</w:t>
      </w:r>
    </w:p>
    <w:p>
      <w:pPr>
        <w:pStyle w:val="ListParagraph"/>
        <w:numPr>
          <w:ilvl w:val="0"/>
          <w:numId w:val="2"/>
        </w:numPr>
        <w:spacing w:after="60" w:line="276"/>
      </w:pPr>
      <w:r>
        <w:rPr>
          <w:rFonts w:ascii="Arial" w:cs="Arial" w:eastAsia="Arial" w:hAnsi="Arial"/>
          <w:b/>
          <w:bCs/>
          <w:sz w:val="21"/>
          <w:szCs w:val="21"/>
        </w:rPr>
        <w:t xml:space="preserve">Trustworthy data.</w:t>
      </w:r>
      <w:r>
        <w:rPr>
          <w:rFonts w:ascii="Arial" w:cs="Arial" w:eastAsia="Arial" w:hAnsi="Arial"/>
          <w:sz w:val="21"/>
          <w:szCs w:val="21"/>
        </w:rPr>
        <w:t xml:space="preserve"> Show when data was last synced and label anything provisional.</w:t>
      </w:r>
    </w:p>
    <w:p>
      <w:pPr>
        <w:pStyle w:val="Heading2"/>
        <w:keepNext/>
        <w:spacing w:after="100" w:before="240"/>
      </w:pPr>
      <w:r>
        <w:rPr>
          <w:rFonts w:ascii="Arial" w:cs="Arial" w:eastAsia="Arial" w:hAnsi="Arial"/>
        </w:rPr>
        <w:t xml:space="preserve">10.2 Key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3638"/>
        <w:gridCol w:w="1800"/>
      </w:tblGrid>
      <w:tr>
        <w:trPr>
          <w:cantSplit/>
          <w:tblHeader/>
        </w:trPr>
        <w:tc>
          <w:tcPr>
            <w:tcW w:type="dxa" w:w="20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Screen</w:t>
            </w:r>
          </w:p>
        </w:tc>
        <w:tc>
          <w:tcPr>
            <w:tcW w:type="dxa" w:w="22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Purpose</w:t>
            </w:r>
          </w:p>
        </w:tc>
        <w:tc>
          <w:tcPr>
            <w:tcW w:type="dxa" w:w="36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Must include</w:t>
            </w:r>
          </w:p>
        </w:tc>
        <w:tc>
          <w:tcPr>
            <w:tcW w:type="dxa" w:w="18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Design status</w:t>
            </w:r>
          </w:p>
        </w:tc>
      </w:tr>
      <w:tr>
        <w:trPr>
          <w:cantSplit/>
        </w:trPr>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Dispute inbox</w:t>
            </w:r>
          </w:p>
        </w:tc>
        <w:tc>
          <w:tcPr>
            <w:tcW w:type="dxa" w:w="2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See and prioritize open disputes</w:t>
            </w:r>
          </w:p>
        </w:tc>
        <w:tc>
          <w:tcPr>
            <w:tcW w:type="dxa" w:w="3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Due date and days left, status, amount, reason; filters; last synced time</w:t>
            </w:r>
          </w:p>
        </w:tc>
        <w:tc>
          <w:tcPr>
            <w:tcW w:type="dxa" w:w="1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Built in Sprints 2–4</w:t>
            </w:r>
          </w:p>
        </w:tc>
      </w:tr>
      <w:tr>
        <w:trPr>
          <w:cantSplit/>
        </w:trPr>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Dispute detail</w:t>
            </w:r>
          </w:p>
        </w:tc>
        <w:tc>
          <w:tcPr>
            <w:tcW w:type="dxa" w:w="2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Understand one dispute and act</w:t>
            </w:r>
          </w:p>
        </w:tc>
        <w:tc>
          <w:tcPr>
            <w:tcW w:type="dxa" w:w="3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Timeline, plain-language reason, suggested evidence, submit and accept actions</w:t>
            </w:r>
          </w:p>
        </w:tc>
        <w:tc>
          <w:tcPr>
            <w:tcW w:type="dxa" w:w="1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Built in Sprint 3</w:t>
            </w:r>
          </w:p>
        </w:tc>
      </w:tr>
      <w:tr>
        <w:trPr>
          <w:cantSplit/>
        </w:trPr>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Evidence upload and submit</w:t>
            </w:r>
          </w:p>
        </w:tc>
        <w:tc>
          <w:tcPr>
            <w:tcW w:type="dxa" w:w="2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Respond with evidence</w:t>
            </w:r>
          </w:p>
        </w:tc>
        <w:tc>
          <w:tcPr>
            <w:tcW w:type="dxa" w:w="3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File rules, redaction and quarantine messages, draft save (P1), confirmation</w:t>
            </w:r>
          </w:p>
        </w:tc>
        <w:tc>
          <w:tcPr>
            <w:tcW w:type="dxa" w:w="1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Awaiting merchant ops sign-off (I-03, due 15 September)</w:t>
            </w:r>
          </w:p>
        </w:tc>
      </w:tr>
      <w:tr>
        <w:trPr>
          <w:cantSplit/>
        </w:trPr>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Settlements</w:t>
            </w:r>
          </w:p>
        </w:tc>
        <w:tc>
          <w:tcPr>
            <w:tcW w:type="dxa" w:w="2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Explain payouts</w:t>
            </w:r>
          </w:p>
        </w:tc>
        <w:tc>
          <w:tcPr>
            <w:tcW w:type="dxa" w:w="3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Payout breakdown, linked debits and reversals, CSV export</w:t>
            </w:r>
          </w:p>
        </w:tc>
        <w:tc>
          <w:tcPr>
            <w:tcW w:type="dxa" w:w="1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Sprint 7</w:t>
            </w:r>
          </w:p>
        </w:tc>
      </w:tr>
      <w:tr>
        <w:trPr>
          <w:cantSplit/>
        </w:trPr>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Ops work queue</w:t>
            </w:r>
          </w:p>
        </w:tc>
        <w:tc>
          <w:tcPr>
            <w:tcW w:type="dxa" w:w="2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Work disputes in priority order</w:t>
            </w:r>
          </w:p>
        </w:tc>
        <w:tc>
          <w:tcPr>
            <w:tcW w:type="dxa" w:w="3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Reason for action, assignment, manual review queue</w:t>
            </w:r>
          </w:p>
        </w:tc>
        <w:tc>
          <w:tcPr>
            <w:tcW w:type="dxa" w:w="1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Built in Sprint 2</w:t>
            </w:r>
          </w:p>
        </w:tc>
      </w:tr>
      <w:tr>
        <w:trPr>
          <w:cantSplit/>
        </w:trPr>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User management</w:t>
            </w:r>
          </w:p>
        </w:tc>
        <w:tc>
          <w:tcPr>
            <w:tcW w:type="dxa" w:w="2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Control access</w:t>
            </w:r>
          </w:p>
        </w:tc>
        <w:tc>
          <w:tcPr>
            <w:tcW w:type="dxa" w:w="3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Invite, assign role, deactivate</w:t>
            </w:r>
          </w:p>
        </w:tc>
        <w:tc>
          <w:tcPr>
            <w:tcW w:type="dxa" w:w="1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Sprint 6</w:t>
            </w:r>
          </w:p>
        </w:tc>
      </w:tr>
      <w:tr>
        <w:trPr>
          <w:cantSplit/>
        </w:trPr>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Onboarding guide</w:t>
            </w:r>
          </w:p>
        </w:tc>
        <w:tc>
          <w:tcPr>
            <w:tcW w:type="dxa" w:w="2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Get new merchants started</w:t>
            </w:r>
          </w:p>
        </w:tc>
        <w:tc>
          <w:tcPr>
            <w:tcW w:type="dxa" w:w="3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Steps for inbox, evidence and reminders; reopen from help</w:t>
            </w:r>
          </w:p>
        </w:tc>
        <w:tc>
          <w:tcPr>
            <w:tcW w:type="dxa" w:w="1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Sprint 8</w:t>
            </w:r>
          </w:p>
        </w:tc>
      </w:tr>
    </w:tbl>
    <w:p>
      <w:pPr>
        <w:pStyle w:val="Heading1"/>
        <w:keepNext/>
        <w:spacing w:after="160" w:before="360"/>
      </w:pPr>
      <w:r>
        <w:rPr>
          <w:rFonts w:ascii="Arial" w:cs="Arial" w:eastAsia="Arial" w:hAnsi="Arial"/>
        </w:rPr>
        <w:t xml:space="preserve">11. Analytics and instrumentation</w:t>
      </w:r>
    </w:p>
    <w:p>
      <w:pPr>
        <w:spacing w:after="120" w:before="0" w:line="276"/>
      </w:pPr>
      <w:r>
        <w:rPr>
          <w:rFonts w:ascii="Arial" w:cs="Arial" w:eastAsia="Arial" w:hAnsi="Arial"/>
          <w:sz w:val="21"/>
          <w:szCs w:val="21"/>
        </w:rPr>
        <w:t xml:space="preserve">Events follow the approved tracking plan (pending I-06). User IDs are pseudonymous, and no names, emails or card data are sent.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2400"/>
        <w:gridCol w:w="2638"/>
        <w:gridCol w:w="1900"/>
      </w:tblGrid>
      <w:tr>
        <w:trPr>
          <w:cantSplit/>
          <w:tblHeader/>
        </w:trPr>
        <w:tc>
          <w:tcPr>
            <w:tcW w:type="dxa" w:w="27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Event</w:t>
            </w:r>
          </w:p>
        </w:tc>
        <w:tc>
          <w:tcPr>
            <w:tcW w:type="dxa" w:w="24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Fires when</w:t>
            </w:r>
          </w:p>
        </w:tc>
        <w:tc>
          <w:tcPr>
            <w:tcW w:type="dxa" w:w="26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Key properties</w:t>
            </w:r>
          </w:p>
        </w:tc>
        <w:tc>
          <w:tcPr>
            <w:tcW w:type="dxa" w:w="19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Used by</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sign_in</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 user signs in</w:t>
            </w:r>
          </w:p>
        </w:tc>
        <w:tc>
          <w:tcPr>
            <w:tcW w:type="dxa" w:w="2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user role, merchant segment</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KPI-09</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onboarding_completed</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 first-time user finishes the guide</w:t>
            </w:r>
          </w:p>
        </w:tc>
        <w:tc>
          <w:tcPr>
            <w:tcW w:type="dxa" w:w="2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steps completed</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KPI-11</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dispute_viewed</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 user opens a dispute</w:t>
            </w:r>
          </w:p>
        </w:tc>
        <w:tc>
          <w:tcPr>
            <w:tcW w:type="dxa" w:w="2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status, days to deadline</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KPI-08, KPI-09</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evidence_upload_started</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 user starts attaching evidence</w:t>
            </w:r>
          </w:p>
        </w:tc>
        <w:tc>
          <w:tcPr>
            <w:tcW w:type="dxa" w:w="2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file count, file types</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KPI-10</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evidence_submitted</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 response is submitted</w:t>
            </w:r>
          </w:p>
        </w:tc>
        <w:tc>
          <w:tcPr>
            <w:tcW w:type="dxa" w:w="2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files submitted, days before deadline</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KPI-06, KPI-10</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export_csv</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 user exports a list</w:t>
            </w:r>
          </w:p>
        </w:tc>
        <w:tc>
          <w:tcPr>
            <w:tcW w:type="dxa" w:w="2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export type, row count band</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KPI-09</w:t>
            </w:r>
          </w:p>
        </w:tc>
      </w:tr>
    </w:tbl>
    <w:p>
      <w:pPr>
        <w:pStyle w:val="Heading1"/>
        <w:keepNext/>
        <w:spacing w:after="160" w:before="360"/>
      </w:pPr>
      <w:r>
        <w:rPr>
          <w:rFonts w:ascii="Arial" w:cs="Arial" w:eastAsia="Arial" w:hAnsi="Arial"/>
        </w:rPr>
        <w:t xml:space="preserve">12. Success metrics</w:t>
      </w:r>
    </w:p>
    <w:p>
      <w:pPr>
        <w:spacing w:after="120" w:before="0" w:line="276"/>
      </w:pPr>
      <w:r>
        <w:rPr>
          <w:rFonts w:ascii="Arial" w:cs="Arial" w:eastAsia="Arial" w:hAnsi="Arial"/>
          <w:sz w:val="21"/>
          <w:szCs w:val="21"/>
        </w:rPr>
        <w:t xml:space="preserve">Full definitions, formulas, data sources and measurement readiness are in the KPI Definitions workbook. Targets below are steady-state targets (end-2028, or end-2029 for portal evidence share); the quarterly path is in the Post-Launch Plan. KPI-19 to KPI-21 are proposed metrics for beyond-MVP initiatives and are not yet approved.</w:t>
      </w:r>
    </w:p>
    <w:p>
      <w:pPr>
        <w:pStyle w:val="Heading2"/>
        <w:keepNext/>
        <w:spacing w:after="100" w:before="240"/>
      </w:pPr>
      <w:r>
        <w:rPr>
          <w:rFonts w:ascii="Arial" w:cs="Arial" w:eastAsia="Arial" w:hAnsi="Arial"/>
        </w:rPr>
        <w:t xml:space="preserve">12.1 North Star and outcome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300"/>
        <w:gridCol w:w="1300"/>
        <w:gridCol w:w="1900"/>
        <w:gridCol w:w="1538"/>
      </w:tblGrid>
      <w:tr>
        <w:trPr>
          <w:cantSplit/>
          <w:tblHeader/>
        </w:trPr>
        <w:tc>
          <w:tcPr>
            <w:tcW w:type="dxa" w:w="36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Metric</w:t>
            </w:r>
          </w:p>
        </w:tc>
        <w:tc>
          <w:tcPr>
            <w:tcW w:type="dxa" w:w="13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Baseline</w:t>
            </w:r>
          </w:p>
        </w:tc>
        <w:tc>
          <w:tcPr>
            <w:tcW w:type="dxa" w:w="13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Target</w:t>
            </w:r>
          </w:p>
        </w:tc>
        <w:tc>
          <w:tcPr>
            <w:tcW w:type="dxa" w:w="19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Owner</w:t>
            </w:r>
          </w:p>
        </w:tc>
        <w:tc>
          <w:tcPr>
            <w:tcW w:type="dxa" w:w="15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Definition status</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KPI-01 Dispute value recovery rate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38%</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45%</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Finance Lead</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Pending decision</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KPI-02 Dispute win rate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41%</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48%</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Finance Lead</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Pending decision</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KPI-03 On-time response rate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78%</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95%</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Ops Lead</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Approved</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KPI-04 Missed-deadline loss rate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9%</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3%</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Ops Lead</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Approved</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KPI-05 Average ops handling time per dispute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42 min</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25 min</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Ops Lead</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Approved</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KPI-06 Portal evidence submission share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0%</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70%</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Product Owner</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Approved</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KPI-07 Settlement support contacts per 100 merchants</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14</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8</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Finance Lead</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Proposed</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KPI-18 Merchant satisfaction with dispute handling</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4.2 / 5</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Product Owner</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Proposed</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KPI-19 Disputes resolved before chargeback</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70%</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Ops Lead</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Proposed</w:t>
            </w:r>
          </w:p>
        </w:tc>
      </w:tr>
    </w:tbl>
    <w:p>
      <w:pPr>
        <w:pStyle w:val="Heading2"/>
        <w:keepNext/>
        <w:spacing w:after="100" w:before="240"/>
      </w:pPr>
      <w:r>
        <w:rPr>
          <w:rFonts w:ascii="Arial" w:cs="Arial" w:eastAsia="Arial" w:hAnsi="Arial"/>
        </w:rPr>
        <w:t xml:space="preserve">12.2 Leading indicators (pilot and rollout)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300"/>
        <w:gridCol w:w="1300"/>
        <w:gridCol w:w="1900"/>
        <w:gridCol w:w="1538"/>
      </w:tblGrid>
      <w:tr>
        <w:trPr>
          <w:cantSplit/>
          <w:tblHeader/>
        </w:trPr>
        <w:tc>
          <w:tcPr>
            <w:tcW w:type="dxa" w:w="36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Metric</w:t>
            </w:r>
          </w:p>
        </w:tc>
        <w:tc>
          <w:tcPr>
            <w:tcW w:type="dxa" w:w="13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Baseline</w:t>
            </w:r>
          </w:p>
        </w:tc>
        <w:tc>
          <w:tcPr>
            <w:tcW w:type="dxa" w:w="13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Target</w:t>
            </w:r>
          </w:p>
        </w:tc>
        <w:tc>
          <w:tcPr>
            <w:tcW w:type="dxa" w:w="19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Owner</w:t>
            </w:r>
          </w:p>
        </w:tc>
        <w:tc>
          <w:tcPr>
            <w:tcW w:type="dxa" w:w="15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Definition status</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KPI-08 Pilot merchant activation rate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60%</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Product Owner</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Approved</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KPI-09 Weekly active user rate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60%</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Product Owner</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Approved</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KPI-10 Evidence submission completion rate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85%</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Product Owner</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Proposed</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KPI-11 Onboarding guide completion rate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70%</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Product Owner</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Proposed</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KPI-20 AI evidence packet acceptance rate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75%</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Product Owner</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Proposed</w:t>
            </w:r>
          </w:p>
        </w:tc>
      </w:tr>
    </w:tbl>
    <w:p>
      <w:pPr>
        <w:pStyle w:val="Heading2"/>
        <w:keepNext/>
        <w:spacing w:after="100" w:before="240"/>
      </w:pPr>
      <w:r>
        <w:rPr>
          <w:rFonts w:ascii="Arial" w:cs="Arial" w:eastAsia="Arial" w:hAnsi="Arial"/>
        </w:rPr>
        <w:t xml:space="preserve">12.3 Guardrails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300"/>
        <w:gridCol w:w="1300"/>
        <w:gridCol w:w="1900"/>
        <w:gridCol w:w="1538"/>
      </w:tblGrid>
      <w:tr>
        <w:trPr>
          <w:cantSplit/>
          <w:tblHeader/>
        </w:trPr>
        <w:tc>
          <w:tcPr>
            <w:tcW w:type="dxa" w:w="36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Metric</w:t>
            </w:r>
          </w:p>
        </w:tc>
        <w:tc>
          <w:tcPr>
            <w:tcW w:type="dxa" w:w="13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Baseline</w:t>
            </w:r>
          </w:p>
        </w:tc>
        <w:tc>
          <w:tcPr>
            <w:tcW w:type="dxa" w:w="13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Target</w:t>
            </w:r>
          </w:p>
        </w:tc>
        <w:tc>
          <w:tcPr>
            <w:tcW w:type="dxa" w:w="19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Owner</w:t>
            </w:r>
          </w:p>
        </w:tc>
        <w:tc>
          <w:tcPr>
            <w:tcW w:type="dxa" w:w="15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Definition status</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KPI-12 Status sync latency (95th percentile)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5 min</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Tech Lead</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Approved</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KPI-13 Feed freshness breaches</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0</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Tech Lead</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Approved</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KPI-14 API response time (95th percentile)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2 s</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Tech Lead</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Approved</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KPI-15 Settlement reconciliation variance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0.5%</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Finance Lead</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Approved</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KPI-16 Card data exposure incidents</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0</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Compliance Lead</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Approved</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KPI-17 Open critical or serious accessibility issues</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0</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UX Designer</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Approved</w:t>
            </w:r>
          </w:p>
        </w:tc>
      </w:tr>
      <w:tr>
        <w:trPr>
          <w:cantSplit/>
        </w:trPr>
        <w:tc>
          <w:tcPr>
            <w:tcW w:type="dxa" w:w="3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KPI-21 Merchants near a monitoring threshold</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 Relationship Lead</w:t>
            </w:r>
          </w:p>
        </w:tc>
        <w:tc>
          <w:tcPr>
            <w:tcW w:type="dxa" w:w="1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Proposed</w:t>
            </w:r>
          </w:p>
        </w:tc>
      </w:tr>
    </w:tbl>
    <w:p>
      <w:pPr>
        <w:pStyle w:val="Heading2"/>
        <w:keepNext/>
        <w:spacing w:after="100" w:before="240"/>
      </w:pPr>
      <w:r>
        <w:rPr>
          <w:rFonts w:ascii="Arial" w:cs="Arial" w:eastAsia="Arial" w:hAnsi="Arial"/>
        </w:rPr>
        <w:t xml:space="preserve">12.4 Business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46"/>
        <w:gridCol w:w="2346"/>
        <w:gridCol w:w="2346"/>
      </w:tblGrid>
      <w:tr>
        <w:trPr>
          <w:cantSplit/>
          <w:tblHeader/>
        </w:trPr>
        <w:tc>
          <w:tcPr>
            <w:tcW w:type="dxa" w:w="26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Scenario</w:t>
            </w:r>
          </w:p>
        </w:tc>
        <w:tc>
          <w:tcPr>
            <w:tcW w:type="dxa" w:w="2346"/>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NPV (3 years)</w:t>
            </w:r>
          </w:p>
        </w:tc>
        <w:tc>
          <w:tcPr>
            <w:tcW w:type="dxa" w:w="2346"/>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3-year ROI</w:t>
            </w:r>
          </w:p>
        </w:tc>
        <w:tc>
          <w:tcPr>
            <w:tcW w:type="dxa" w:w="2346"/>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Payback after go-live</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Conservative</w:t>
            </w:r>
          </w:p>
        </w:tc>
        <w:tc>
          <w:tcPr>
            <w:tcW w:type="dxa" w:w="2346"/>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($839k)</w:t>
            </w:r>
          </w:p>
        </w:tc>
        <w:tc>
          <w:tcPr>
            <w:tcW w:type="dxa" w:w="2346"/>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(59%)</w:t>
            </w:r>
          </w:p>
        </w:tc>
        <w:tc>
          <w:tcPr>
            <w:tcW w:type="dxa" w:w="2346"/>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Beyond 3 years</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Base</w:t>
            </w:r>
          </w:p>
        </w:tc>
        <w:tc>
          <w:tcPr>
            <w:tcW w:type="dxa" w:w="2346"/>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$149k</w:t>
            </w:r>
          </w:p>
        </w:tc>
        <w:tc>
          <w:tcPr>
            <w:tcW w:type="dxa" w:w="2346"/>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26%</w:t>
            </w:r>
          </w:p>
        </w:tc>
        <w:tc>
          <w:tcPr>
            <w:tcW w:type="dxa" w:w="2346"/>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2.3 years</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Optimistic</w:t>
            </w:r>
          </w:p>
        </w:tc>
        <w:tc>
          <w:tcPr>
            <w:tcW w:type="dxa" w:w="2346"/>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$1.34M</w:t>
            </w:r>
          </w:p>
        </w:tc>
        <w:tc>
          <w:tcPr>
            <w:tcW w:type="dxa" w:w="2346"/>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138%</w:t>
            </w:r>
          </w:p>
        </w:tc>
        <w:tc>
          <w:tcPr>
            <w:tcW w:type="dxa" w:w="2346"/>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1.2 years</w:t>
            </w:r>
          </w:p>
        </w:tc>
      </w:tr>
    </w:tbl>
    <w:p>
      <w:pPr>
        <w:spacing w:after="120" w:before="80" w:line="276"/>
      </w:pPr>
      <w:r>
        <w:rPr>
          <w:rFonts w:ascii="Arial" w:cs="Arial" w:eastAsia="Arial" w:hAnsi="Arial"/>
          <w:sz w:val="21"/>
          <w:szCs w:val="21"/>
        </w:rPr>
        <w:t xml:space="preserve">About 85% of base-case benefits come from released ops capacity, counted only at the cashable share. Merchant value of about $771k a year at Year 3 (money recovered or kept by merchants) is excluded from NPV.</w:t>
      </w:r>
    </w:p>
    <w:p>
      <w:pPr>
        <w:pStyle w:val="Heading1"/>
        <w:keepNext/>
        <w:spacing w:after="160" w:before="360"/>
      </w:pPr>
      <w:r>
        <w:rPr>
          <w:rFonts w:ascii="Arial" w:cs="Arial" w:eastAsia="Arial" w:hAnsi="Arial"/>
        </w:rPr>
        <w:t xml:space="preserve">13. Release plan and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000"/>
        <w:gridCol w:w="2900"/>
        <w:gridCol w:w="2538"/>
      </w:tblGrid>
      <w:tr>
        <w:trPr>
          <w:cantSplit/>
          <w:tblHeader/>
        </w:trPr>
        <w:tc>
          <w:tcPr>
            <w:tcW w:type="dxa" w:w="22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Phase</w:t>
            </w:r>
          </w:p>
        </w:tc>
        <w:tc>
          <w:tcPr>
            <w:tcW w:type="dxa" w:w="20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Dates</w:t>
            </w:r>
          </w:p>
        </w:tc>
        <w:tc>
          <w:tcPr>
            <w:tcW w:type="dxa" w:w="29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Scope or audience</w:t>
            </w:r>
          </w:p>
        </w:tc>
        <w:tc>
          <w:tcPr>
            <w:tcW w:type="dxa" w:w="25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Exit gate</w:t>
            </w:r>
          </w:p>
        </w:tc>
      </w:tr>
      <w:tr>
        <w:trPr>
          <w:cantSplit/>
        </w:trPr>
        <w:tc>
          <w:tcPr>
            <w:tcW w:type="dxa" w:w="2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Build (Sprints 1–8)</w:t>
            </w:r>
          </w:p>
        </w:tc>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20 Jul – 6 Nov 2026</w:t>
            </w:r>
          </w:p>
        </w:tc>
        <w:tc>
          <w:tcPr>
            <w:tcW w:type="dxa" w:w="2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MVP features; SIT each sprint</w:t>
            </w:r>
          </w:p>
        </w:tc>
        <w:tc>
          <w:tcPr>
            <w:tcW w:type="dxa" w:w="2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Sprint reviews; Definition of Done</w:t>
            </w:r>
          </w:p>
        </w:tc>
      </w:tr>
      <w:tr>
        <w:trPr>
          <w:cantSplit/>
        </w:trPr>
        <w:tc>
          <w:tcPr>
            <w:tcW w:type="dxa" w:w="2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Hardening and UAT (Sprints 9–10)</w:t>
            </w:r>
          </w:p>
        </w:tc>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9 Nov – 4 Dec 2026</w:t>
            </w:r>
          </w:p>
        </w:tc>
        <w:tc>
          <w:tcPr>
            <w:tcW w:type="dxa" w:w="2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Security remediation, UAT, load and accessibility testing</w:t>
            </w:r>
          </w:p>
        </w:tc>
        <w:tc>
          <w:tcPr>
            <w:tcW w:type="dxa" w:w="2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UAT sign-off; critical and high pen test findings fixed; redaction validated</w:t>
            </w:r>
          </w:p>
        </w:tc>
      </w:tr>
      <w:tr>
        <w:trPr>
          <w:cantSplit/>
        </w:trPr>
        <w:tc>
          <w:tcPr>
            <w:tcW w:type="dxa" w:w="2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Go-live</w:t>
            </w:r>
          </w:p>
        </w:tc>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11 Dec 2026</w:t>
            </w:r>
          </w:p>
        </w:tc>
        <w:tc>
          <w:tcPr>
            <w:tcW w:type="dxa" w:w="2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Production launch with internal users</w:t>
            </w:r>
          </w:p>
        </w:tc>
        <w:tc>
          <w:tcPr>
            <w:tcW w:type="dxa" w:w="2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Go / no-go on 4 Dec (RV-01)</w:t>
            </w:r>
          </w:p>
        </w:tc>
      </w:tr>
      <w:tr>
        <w:trPr>
          <w:cantSplit/>
        </w:trPr>
        <w:tc>
          <w:tcPr>
            <w:tcW w:type="dxa" w:w="2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Hypercare</w:t>
            </w:r>
          </w:p>
        </w:tc>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11 Dec 2026 – 22 Jan 2027</w:t>
            </w:r>
          </w:p>
        </w:tc>
        <w:tc>
          <w:tcPr>
            <w:tcW w:type="dxa" w:w="2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Stabilization through holiday change freeze</w:t>
            </w:r>
          </w:p>
        </w:tc>
        <w:tc>
          <w:tcPr>
            <w:tcW w:type="dxa" w:w="2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12 exit criteria, including 10 business days with no Sev 1 or Sev 2</w:t>
            </w:r>
          </w:p>
        </w:tc>
      </w:tr>
      <w:tr>
        <w:trPr>
          <w:cantSplit/>
        </w:trPr>
        <w:tc>
          <w:tcPr>
            <w:tcW w:type="dxa" w:w="2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Pilot</w:t>
            </w:r>
          </w:p>
        </w:tc>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11 Jan – 5 Mar 2027</w:t>
            </w:r>
          </w:p>
        </w:tc>
        <w:tc>
          <w:tcPr>
            <w:tcW w:type="dxa" w:w="2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10 enterprise e-commerce merchants</w:t>
            </w:r>
          </w:p>
        </w:tc>
        <w:tc>
          <w:tcPr>
            <w:tcW w:type="dxa" w:w="2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Activation ≥ 60% (KPI-08), on-time response ≥ 90%, zero card data incidents</w:t>
            </w:r>
          </w:p>
        </w:tc>
      </w:tr>
      <w:tr>
        <w:trPr>
          <w:cantSplit/>
        </w:trPr>
        <w:tc>
          <w:tcPr>
            <w:tcW w:type="dxa" w:w="2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Wave 1</w:t>
            </w:r>
          </w:p>
        </w:tc>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15 Mar – 28 May 2027</w:t>
            </w:r>
          </w:p>
        </w:tc>
        <w:tc>
          <w:tcPr>
            <w:tcW w:type="dxa" w:w="2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Enterprise e-commerce and mid-market online retail</w:t>
            </w:r>
          </w:p>
        </w:tc>
        <w:tc>
          <w:tcPr>
            <w:tcW w:type="dxa" w:w="2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Portal share ≥ 35%, missed-deadline loss ≤ 5%</w:t>
            </w:r>
          </w:p>
        </w:tc>
      </w:tr>
      <w:tr>
        <w:trPr>
          <w:cantSplit/>
        </w:trPr>
        <w:tc>
          <w:tcPr>
            <w:tcW w:type="dxa" w:w="2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Wave 2</w:t>
            </w:r>
          </w:p>
        </w:tc>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7 Jun – 24 Sep 2027</w:t>
            </w:r>
          </w:p>
        </w:tc>
        <w:tc>
          <w:tcPr>
            <w:tcW w:type="dxa" w:w="2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Subscription and digital services; travel and hospitality</w:t>
            </w:r>
          </w:p>
        </w:tc>
        <w:tc>
          <w:tcPr>
            <w:tcW w:type="dxa" w:w="2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Portal share ≥ 50%, handling time ≤ 30 min</w:t>
            </w:r>
          </w:p>
        </w:tc>
      </w:tr>
      <w:tr>
        <w:trPr>
          <w:cantSplit/>
        </w:trPr>
        <w:tc>
          <w:tcPr>
            <w:tcW w:type="dxa" w:w="2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General availability</w:t>
            </w:r>
          </w:p>
        </w:tc>
        <w:tc>
          <w:tcPr>
            <w:tcW w:type="dxa" w:w="2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4 Oct – 17 Dec 2027</w:t>
            </w:r>
          </w:p>
        </w:tc>
        <w:tc>
          <w:tcPr>
            <w:tcW w:type="dxa" w:w="2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All remaining merchants, self-serve</w:t>
            </w:r>
          </w:p>
        </w:tc>
        <w:tc>
          <w:tcPr>
            <w:tcW w:type="dxa" w:w="2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Email intake retired for portal-enabled merchants</w:t>
            </w:r>
          </w:p>
        </w:tc>
      </w:tr>
    </w:tbl>
    <w:p>
      <w:pPr>
        <w:spacing w:after="120" w:before="80" w:line="276"/>
      </w:pPr>
      <w:r>
        <w:rPr>
          <w:rFonts w:ascii="Arial" w:cs="Arial" w:eastAsia="Arial" w:hAnsi="Arial"/>
          <w:sz w:val="21"/>
          <w:szCs w:val="21"/>
        </w:rPr>
        <w:t xml:space="preserve">Status as of 10 September 2026: Sprint 4 of 10 in progress; 80 of 252 MVP points done (32%); two items blocked (US-019 by I-01, US-034 by I-06).</w:t>
      </w:r>
    </w:p>
    <w:p>
      <w:pPr>
        <w:pStyle w:val="Heading1"/>
        <w:keepNext/>
        <w:spacing w:after="160" w:before="360"/>
      </w:pPr>
      <w:r>
        <w:rPr>
          <w:rFonts w:ascii="Arial" w:cs="Arial" w:eastAsia="Arial" w:hAnsi="Arial"/>
        </w:rPr>
        <w:t xml:space="preserve">14. Dependencies, risks and assumptions</w:t>
      </w:r>
    </w:p>
    <w:p>
      <w:pPr>
        <w:pStyle w:val="Heading2"/>
        <w:keepNext/>
        <w:spacing w:after="100" w:before="240"/>
      </w:pPr>
      <w:r>
        <w:rPr>
          <w:rFonts w:ascii="Arial" w:cs="Arial" w:eastAsia="Arial" w:hAnsi="Arial"/>
        </w:rPr>
        <w:t xml:space="preserve">14.1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00"/>
        <w:gridCol w:w="1900"/>
        <w:gridCol w:w="1500"/>
        <w:gridCol w:w="2438"/>
      </w:tblGrid>
      <w:tr>
        <w:trPr>
          <w:cantSplit/>
          <w:tblHeader/>
        </w:trPr>
        <w:tc>
          <w:tcPr>
            <w:tcW w:type="dxa" w:w="8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ID</w:t>
            </w:r>
          </w:p>
        </w:tc>
        <w:tc>
          <w:tcPr>
            <w:tcW w:type="dxa" w:w="30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Dependency</w:t>
            </w:r>
          </w:p>
        </w:tc>
        <w:tc>
          <w:tcPr>
            <w:tcW w:type="dxa" w:w="19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Provider</w:t>
            </w:r>
          </w:p>
        </w:tc>
        <w:tc>
          <w:tcPr>
            <w:tcW w:type="dxa" w:w="15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Needed by</w:t>
            </w:r>
          </w:p>
        </w:tc>
        <w:tc>
          <w:tcPr>
            <w:tcW w:type="dxa" w:w="24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Status</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D-01</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Processor dispute API production access</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Payment processor</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16 Oct 2026</w:t>
            </w:r>
          </w:p>
        </w:tc>
        <w:tc>
          <w:tcPr>
            <w:tcW w:type="dxa" w:w="24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At risk (committed 23 Oct)</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D-02</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 roles in identity platform</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IAM team</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2 Oct 2026</w:t>
            </w:r>
          </w:p>
        </w:tc>
        <w:tc>
          <w:tcPr>
            <w:tcW w:type="dxa" w:w="24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On track</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D-03</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Penetration test before UAT</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InfoSec</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30 Oct 2026</w:t>
            </w:r>
          </w:p>
        </w:tc>
        <w:tc>
          <w:tcPr>
            <w:tcW w:type="dxa" w:w="24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At risk (committed 13 Nov); CR-06 raised</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D-04</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Settlement data pipeline</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Data Engineering</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9 Oct 2026</w:t>
            </w:r>
          </w:p>
        </w:tc>
        <w:tc>
          <w:tcPr>
            <w:tcW w:type="dxa" w:w="24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On track</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D-05</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 portal terms of use</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Legal &amp; Compliance</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23 Oct 2026</w:t>
            </w:r>
          </w:p>
        </w:tc>
        <w:tc>
          <w:tcPr>
            <w:tcW w:type="dxa" w:w="24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Not started</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D-06</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status API for servicing console</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Project team (outbound)</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27 Nov 2026</w:t>
            </w:r>
          </w:p>
        </w:tc>
        <w:tc>
          <w:tcPr>
            <w:tcW w:type="dxa" w:w="24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On track</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D-07</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Fraud case-ID service</w:t>
            </w:r>
          </w:p>
        </w:tc>
        <w:tc>
          <w:tcPr>
            <w:tcW w:type="dxa" w:w="1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Fraud Platform team</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6 Nov 2026</w:t>
            </w:r>
          </w:p>
        </w:tc>
        <w:tc>
          <w:tcPr>
            <w:tcW w:type="dxa" w:w="24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Late (committed 11 Dec); linking proposed for Phase 2</w:t>
            </w:r>
          </w:p>
        </w:tc>
      </w:tr>
    </w:tbl>
    <w:p>
      <w:pPr>
        <w:pStyle w:val="Heading2"/>
        <w:keepNext/>
        <w:spacing w:after="100" w:before="240"/>
      </w:pPr>
      <w:r>
        <w:rPr>
          <w:rFonts w:ascii="Arial" w:cs="Arial" w:eastAsia="Arial" w:hAnsi="Arial"/>
        </w:rPr>
        <w:t xml:space="preserve">14.2 Top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200"/>
        <w:gridCol w:w="1100"/>
        <w:gridCol w:w="4538"/>
      </w:tblGrid>
      <w:tr>
        <w:trPr>
          <w:cantSplit/>
          <w:tblHeader/>
        </w:trPr>
        <w:tc>
          <w:tcPr>
            <w:tcW w:type="dxa" w:w="8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ID</w:t>
            </w:r>
          </w:p>
        </w:tc>
        <w:tc>
          <w:tcPr>
            <w:tcW w:type="dxa" w:w="32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Risk</w:t>
            </w:r>
          </w:p>
        </w:tc>
        <w:tc>
          <w:tcPr>
            <w:tcW w:type="dxa" w:w="11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Score</w:t>
            </w:r>
          </w:p>
        </w:tc>
        <w:tc>
          <w:tcPr>
            <w:tcW w:type="dxa" w:w="45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Mitigation</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R-04</w:t>
            </w:r>
          </w:p>
        </w:tc>
        <w:tc>
          <w:tcPr>
            <w:tcW w:type="dxa" w:w="3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Merchants keep using email instead of the portal</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16 High</w:t>
            </w:r>
          </w:p>
        </w:tc>
        <w:tc>
          <w:tcPr>
            <w:tcW w:type="dxa" w:w="4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Pilot with 10 high-volume merchants, in-portal onboarding, adoption tracking, email intake retired wave by wave</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R-02</w:t>
            </w:r>
          </w:p>
        </w:tc>
        <w:tc>
          <w:tcPr>
            <w:tcW w:type="dxa" w:w="3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Card numbers in evidence expand PCI DSS scope</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15 High</w:t>
            </w:r>
          </w:p>
        </w:tc>
        <w:tc>
          <w:tcPr>
            <w:tcW w:type="dxa" w:w="4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Automated redaction on upload (CR-03), quarantine, InfoSec validation</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R-03</w:t>
            </w:r>
          </w:p>
        </w:tc>
        <w:tc>
          <w:tcPr>
            <w:tcW w:type="dxa" w:w="3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Status sync lag causes missed deadlines</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15 High</w:t>
            </w:r>
          </w:p>
        </w:tc>
        <w:tc>
          <w:tcPr>
            <w:tcW w:type="dxa" w:w="4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Feed freshness alerts, 'last synced' timestamp, reminders at 5 and 2 days</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R-01</w:t>
            </w:r>
          </w:p>
        </w:tc>
        <w:tc>
          <w:tcPr>
            <w:tcW w:type="dxa" w:w="3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Card network rule changes before go-live</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12 Medium</w:t>
            </w:r>
          </w:p>
        </w:tc>
        <w:tc>
          <w:tcPr>
            <w:tcW w:type="dxa" w:w="4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Configurable reason codes and response windows (CR-02)</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R-05</w:t>
            </w:r>
          </w:p>
        </w:tc>
        <w:tc>
          <w:tcPr>
            <w:tcW w:type="dxa" w:w="3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Legacy settlement data quality undermines reports</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12 Medium</w:t>
            </w:r>
          </w:p>
        </w:tc>
        <w:tc>
          <w:tcPr>
            <w:tcW w:type="dxa" w:w="4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Data quality rules, exception report, reconciliation before sign-off</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R-07</w:t>
            </w:r>
          </w:p>
        </w:tc>
        <w:tc>
          <w:tcPr>
            <w:tcW w:type="dxa" w:w="3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Scope creep from fraud case management requests</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12 Medium</w:t>
            </w:r>
          </w:p>
        </w:tc>
        <w:tc>
          <w:tcPr>
            <w:tcW w:type="dxa" w:w="4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Change control; Option C proposed; Phase 2 roadmap commitment</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R-06</w:t>
            </w:r>
          </w:p>
        </w:tc>
        <w:tc>
          <w:tcPr>
            <w:tcW w:type="dxa" w:w="3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Limited SME availability during Q4 peak</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9 Medium</w:t>
            </w:r>
          </w:p>
        </w:tc>
        <w:tc>
          <w:tcPr>
            <w:tcW w:type="dxa" w:w="4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Book UAT time now; backup SMEs; recorded walkthroughs</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R-09</w:t>
            </w:r>
          </w:p>
        </w:tc>
        <w:tc>
          <w:tcPr>
            <w:tcW w:type="dxa" w:w="3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Performance at peak chargeback volume</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8 Medium</w:t>
            </w:r>
          </w:p>
        </w:tc>
        <w:tc>
          <w:tcPr>
            <w:tcW w:type="dxa" w:w="45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Load test at 3x peak; autoscaling; performance targets in acceptance criteria</w:t>
            </w:r>
          </w:p>
        </w:tc>
      </w:tr>
    </w:tbl>
    <w:p>
      <w:pPr>
        <w:pStyle w:val="Heading2"/>
        <w:keepNext/>
        <w:spacing w:after="100" w:before="240"/>
      </w:pPr>
      <w:r>
        <w:rPr>
          <w:rFonts w:ascii="Arial" w:cs="Arial" w:eastAsia="Arial" w:hAnsi="Arial"/>
        </w:rPr>
        <w:t xml:space="preserve">14.3 Key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6400"/>
        <w:gridCol w:w="2438"/>
      </w:tblGrid>
      <w:tr>
        <w:trPr>
          <w:cantSplit/>
          <w:tblHeader/>
        </w:trPr>
        <w:tc>
          <w:tcPr>
            <w:tcW w:type="dxa" w:w="8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ID</w:t>
            </w:r>
          </w:p>
        </w:tc>
        <w:tc>
          <w:tcPr>
            <w:tcW w:type="dxa" w:w="64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Assumption</w:t>
            </w:r>
          </w:p>
        </w:tc>
        <w:tc>
          <w:tcPr>
            <w:tcW w:type="dxa" w:w="24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Status</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A-01</w:t>
            </w:r>
          </w:p>
        </w:tc>
        <w:tc>
          <w:tcPr>
            <w:tcW w:type="dxa" w:w="6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Merchants will submit evidence through the portal instead of email</w:t>
            </w:r>
          </w:p>
        </w:tc>
        <w:tc>
          <w:tcPr>
            <w:tcW w:type="dxa" w:w="24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Validating in pilot</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A-02</w:t>
            </w:r>
          </w:p>
        </w:tc>
        <w:tc>
          <w:tcPr>
            <w:tcW w:type="dxa" w:w="6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Processor webhooks provide near real-time status updates</w:t>
            </w:r>
          </w:p>
        </w:tc>
        <w:tc>
          <w:tcPr>
            <w:tcW w:type="dxa" w:w="24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Validating (sandbox issues, I-01)</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A-03</w:t>
            </w:r>
          </w:p>
        </w:tc>
        <w:tc>
          <w:tcPr>
            <w:tcW w:type="dxa" w:w="6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Identity platform supports Admin, Finance and Operations roles</w:t>
            </w:r>
          </w:p>
        </w:tc>
        <w:tc>
          <w:tcPr>
            <w:tcW w:type="dxa" w:w="24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Confirmed</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A-04</w:t>
            </w:r>
          </w:p>
        </w:tc>
        <w:tc>
          <w:tcPr>
            <w:tcW w:type="dxa" w:w="6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MVP supports USD and English only</w:t>
            </w:r>
          </w:p>
        </w:tc>
        <w:tc>
          <w:tcPr>
            <w:tcW w:type="dxa" w:w="24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Unvalidated; confirm at scope baseline</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A-05</w:t>
            </w:r>
          </w:p>
        </w:tc>
        <w:tc>
          <w:tcPr>
            <w:tcW w:type="dxa" w:w="6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ops headcount stays flat during MVP</w:t>
            </w:r>
          </w:p>
        </w:tc>
        <w:tc>
          <w:tcPr>
            <w:tcW w:type="dxa" w:w="24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Unvalidated</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A-06</w:t>
            </w:r>
          </w:p>
        </w:tc>
        <w:tc>
          <w:tcPr>
            <w:tcW w:type="dxa" w:w="6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12 months of dispute history available for baselines</w:t>
            </w:r>
          </w:p>
        </w:tc>
        <w:tc>
          <w:tcPr>
            <w:tcW w:type="dxa" w:w="24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Validating</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A-07</w:t>
            </w:r>
          </w:p>
        </w:tc>
        <w:tc>
          <w:tcPr>
            <w:tcW w:type="dxa" w:w="6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Evidence can follow the existing records retention policy</w:t>
            </w:r>
          </w:p>
        </w:tc>
        <w:tc>
          <w:tcPr>
            <w:tcW w:type="dxa" w:w="24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Validating with Legal</w:t>
            </w:r>
          </w:p>
        </w:tc>
      </w:tr>
    </w:tbl>
    <w:p>
      <w:pPr>
        <w:pStyle w:val="Heading1"/>
        <w:keepNext/>
        <w:spacing w:after="160" w:before="360"/>
      </w:pPr>
      <w:r>
        <w:rPr>
          <w:rFonts w:ascii="Arial" w:cs="Arial" w:eastAsia="Arial" w:hAnsi="Arial"/>
        </w:rPr>
        <w:t xml:space="preserve">15. Open questions and decisions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400"/>
        <w:gridCol w:w="2300"/>
        <w:gridCol w:w="1300"/>
        <w:gridCol w:w="1838"/>
      </w:tblGrid>
      <w:tr>
        <w:trPr>
          <w:cantSplit/>
          <w:tblHeader/>
        </w:trPr>
        <w:tc>
          <w:tcPr>
            <w:tcW w:type="dxa" w:w="8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ID</w:t>
            </w:r>
          </w:p>
        </w:tc>
        <w:tc>
          <w:tcPr>
            <w:tcW w:type="dxa" w:w="34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Question</w:t>
            </w:r>
          </w:p>
        </w:tc>
        <w:tc>
          <w:tcPr>
            <w:tcW w:type="dxa" w:w="23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Owner</w:t>
            </w:r>
          </w:p>
        </w:tc>
        <w:tc>
          <w:tcPr>
            <w:tcW w:type="dxa" w:w="13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Needed by</w:t>
            </w:r>
          </w:p>
        </w:tc>
        <w:tc>
          <w:tcPr>
            <w:tcW w:type="dxa" w:w="18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Blocking?</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Q-01</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How are dispute outcomes and win rate defined? (CR-05)</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Business Sponsor with Finance and Dispute Ops Leads</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18 Sep 2026</w:t>
            </w:r>
          </w:p>
        </w:tc>
        <w:tc>
          <w:tcPr>
            <w:tcW w:type="dxa" w:w="1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Yes, for reporting stories US-031 and US-032</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Q-02</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Are Merchant evidence upload designs approved? (I-03)</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Dispute Ops Lead via design authority</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15 Sep 2026</w:t>
            </w:r>
          </w:p>
        </w:tc>
        <w:tc>
          <w:tcPr>
            <w:tcW w:type="dxa" w:w="1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Yes, for Sprint 5</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Q-03</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Is a read-only fraud case reference in MVP scope? (CR-01 Option C)</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Steering Committee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24 Sep 2026</w:t>
            </w:r>
          </w:p>
        </w:tc>
        <w:tc>
          <w:tcPr>
            <w:tcW w:type="dxa" w:w="1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No; affects US-036 only</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Q-04</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Can UAT start in parallel with the delayed penetration test? (CR-06)</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Steering Committee with Compliance</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25 Sep 2026</w:t>
            </w:r>
          </w:p>
        </w:tc>
        <w:tc>
          <w:tcPr>
            <w:tcW w:type="dxa" w:w="1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Yes, for the UAT plan</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Q-05</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Is the analytics tracking plan approved? (I-06)</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Data Governance Lead</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 Oct 2026</w:t>
            </w:r>
          </w:p>
        </w:tc>
        <w:tc>
          <w:tcPr>
            <w:tcW w:type="dxa" w:w="1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Yes, for pilot activation metrics</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Q-06</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Should SMS reminders be added, and at what cost? (CR-09)</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Product Owner after assessment</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2 Oct 2026</w:t>
            </w:r>
          </w:p>
        </w:tc>
        <w:tc>
          <w:tcPr>
            <w:tcW w:type="dxa" w:w="1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No</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Q-07</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What are the evidence retention and deletion rules? (A-07)</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Legal Counsel</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9 Oct 2026</w:t>
            </w:r>
          </w:p>
        </w:tc>
        <w:tc>
          <w:tcPr>
            <w:tcW w:type="dxa" w:w="1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Yes, for US-014 and BR-22 tests</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Q-08</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Confirm availability target and supported browsers</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Tech Lead</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16 Oct 2026</w:t>
            </w:r>
          </w:p>
        </w:tc>
        <w:tc>
          <w:tcPr>
            <w:tcW w:type="dxa" w:w="1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No</w:t>
            </w:r>
          </w:p>
        </w:tc>
      </w:tr>
      <w:tr>
        <w:trPr>
          <w:cantSplit/>
        </w:trPr>
        <w:tc>
          <w:tcPr>
            <w:tcW w:type="dxa" w:w="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Q-09</w:t>
            </w:r>
          </w:p>
        </w:tc>
        <w:tc>
          <w:tcPr>
            <w:tcW w:type="dxa" w:w="3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How much released ops capacity is cashable? (LR-17)</w:t>
            </w:r>
          </w:p>
        </w:tc>
        <w:tc>
          <w:tcPr>
            <w:tcW w:type="dxa" w:w="2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Finance Lead with Dispute Ops Lead</w:t>
            </w:r>
          </w:p>
        </w:tc>
        <w:tc>
          <w:tcPr>
            <w:tcW w:type="dxa" w:w="1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30 Oct 2026</w:t>
            </w:r>
          </w:p>
        </w:tc>
        <w:tc>
          <w:tcPr>
            <w:tcW w:type="dxa" w:w="18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No; affects the business case</w:t>
            </w:r>
          </w:p>
        </w:tc>
      </w:tr>
    </w:tbl>
    <w:p>
      <w:pPr>
        <w:pStyle w:val="Heading1"/>
        <w:keepNext/>
        <w:spacing w:after="160" w:before="360"/>
      </w:pPr>
      <w:r>
        <w:rPr>
          <w:rFonts w:ascii="Arial" w:cs="Arial" w:eastAsia="Arial" w:hAnsi="Arial"/>
        </w:rPr>
        <w:t xml:space="preserve">16. Launch readiness and post-launch</w:t>
      </w:r>
    </w:p>
    <w:p>
      <w:pPr>
        <w:pStyle w:val="Heading2"/>
        <w:keepNext/>
        <w:spacing w:after="100" w:before="240"/>
      </w:pPr>
      <w:r>
        <w:rPr>
          <w:rFonts w:ascii="Arial" w:cs="Arial" w:eastAsia="Arial" w:hAnsi="Arial"/>
        </w:rPr>
        <w:t xml:space="preserve">16.1 Go-live readiness</w:t>
      </w:r>
    </w:p>
    <w:p>
      <w:pPr>
        <w:spacing w:after="120" w:before="0" w:line="276"/>
      </w:pPr>
      <w:r>
        <w:rPr>
          <w:rFonts w:ascii="Arial" w:cs="Arial" w:eastAsia="Arial" w:hAnsi="Arial"/>
          <w:sz w:val="21"/>
          <w:szCs w:val="21"/>
        </w:rPr>
        <w:t xml:space="preserve">Go-live requires UAT sign-off, critical and high penetration test findings fixed, InfoSec validation of redaction accuracy, a passed load test, trained dispute ops and servicing teams, a tested rollback plan, a hypercare rota, and all must-have KPIs ready to measure. Readiness is tracked item by item on the Launch Readiness tab of the Business Case &amp; GTM workbook.</w:t>
      </w:r>
    </w:p>
    <w:p>
      <w:pPr>
        <w:pStyle w:val="Heading2"/>
        <w:keepNext/>
        <w:spacing w:after="100" w:before="240"/>
      </w:pPr>
      <w:r>
        <w:rPr>
          <w:rFonts w:ascii="Arial" w:cs="Arial" w:eastAsia="Arial" w:hAnsi="Arial"/>
        </w:rPr>
        <w:t xml:space="preserve">16.2 Hypercare</w:t>
      </w:r>
    </w:p>
    <w:p>
      <w:pPr>
        <w:spacing w:after="120" w:before="0" w:line="276"/>
      </w:pPr>
      <w:r>
        <w:rPr>
          <w:rFonts w:ascii="Arial" w:cs="Arial" w:eastAsia="Arial" w:hAnsi="Arial"/>
          <w:sz w:val="21"/>
          <w:szCs w:val="21"/>
        </w:rPr>
        <w:t xml:space="preserve">Hypercare runs from 11 December 2026 to 22 January 2027 and ends on evidence, not on a date. Exit requires 10 consecutive business days with no open Sev 1 or Sev 2 incidents, status sync p95 at or under 5 minutes, zero card data incidents, runbooks accepted by the run team and support tiers operating without delivery team help.</w:t>
      </w:r>
    </w:p>
    <w:p>
      <w:pPr>
        <w:pStyle w:val="Heading2"/>
        <w:keepNext/>
        <w:spacing w:after="100" w:before="240"/>
      </w:pPr>
      <w:r>
        <w:rPr>
          <w:rFonts w:ascii="Arial" w:cs="Arial" w:eastAsia="Arial" w:hAnsi="Arial"/>
        </w:rPr>
        <w:t xml:space="preserve">16.3 Measuring and iterating</w:t>
      </w:r>
    </w:p>
    <w:p>
      <w:pPr>
        <w:spacing w:after="120" w:before="0" w:line="276"/>
      </w:pPr>
      <w:r>
        <w:rPr>
          <w:rFonts w:ascii="Arial" w:cs="Arial" w:eastAsia="Arial" w:hAnsi="Arial"/>
          <w:sz w:val="21"/>
          <w:szCs w:val="21"/>
        </w:rPr>
        <w:t xml:space="preserve">KPIs are reviewed daily during hypercare, weekly by the Product Owner, monthly with the Business Sponsor and quarterly with the steering committee. Twelve KPI triggers turn signals into named actions; for example, pilot activation below 45% at week 4 starts a call to every inactive merchant. Improvements from pilot feedback and KPI triggers are prioritized on the iteration roadmap, starting with pilot fixes and a merchant satisfaction survey.</w:t>
      </w:r>
    </w:p>
    <w:p>
      <w:pPr>
        <w:pStyle w:val="Heading2"/>
        <w:keepNext/>
        <w:spacing w:after="100" w:before="240"/>
      </w:pPr>
      <w:r>
        <w:rPr>
          <w:rFonts w:ascii="Arial" w:cs="Arial" w:eastAsia="Arial" w:hAnsi="Arial"/>
        </w:rPr>
        <w:t xml:space="preserve">16.4 Beyond MVP: from processing to prevention</w:t>
      </w:r>
    </w:p>
    <w:p>
      <w:pPr>
        <w:spacing w:after="120" w:before="0" w:line="276"/>
      </w:pPr>
      <w:r>
        <w:rPr>
          <w:rFonts w:ascii="Arial" w:cs="Arial" w:eastAsia="Arial" w:hAnsi="Arial"/>
          <w:sz w:val="21"/>
          <w:szCs w:val="21"/>
        </w:rPr>
        <w:t xml:space="preserve">Discovery showed that online dispute portals are already standard, including American Express's own online Disputes tool, Stripe and Razorpay (DSC-06). The MVP therefore competes on safety, clarity and operations, and the roadmap adds differentiation through prevention and explainable AI. These initiatives are proposals, not MVP commitments; wireframes S09 to S13 illustrate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250"/>
        <w:gridCol w:w="3000"/>
        <w:gridCol w:w="1150"/>
        <w:gridCol w:w="2088"/>
      </w:tblGrid>
      <w:tr>
        <w:trPr>
          <w:cantSplit/>
          <w:tblHeader/>
        </w:trPr>
        <w:tc>
          <w:tcPr>
            <w:tcW w:type="dxa" w:w="215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Initiative</w:t>
            </w:r>
          </w:p>
        </w:tc>
        <w:tc>
          <w:tcPr>
            <w:tcW w:type="dxa" w:w="125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Horizon</w:t>
            </w:r>
          </w:p>
        </w:tc>
        <w:tc>
          <w:tcPr>
            <w:tcW w:type="dxa" w:w="30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What it does</w:t>
            </w:r>
          </w:p>
        </w:tc>
        <w:tc>
          <w:tcPr>
            <w:tcW w:type="dxa" w:w="115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Measure</w:t>
            </w:r>
          </w:p>
        </w:tc>
        <w:tc>
          <w:tcPr>
            <w:tcW w:type="dxa" w:w="208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Gate before commitment</w:t>
            </w:r>
          </w:p>
        </w:tc>
      </w:tr>
      <w:tr>
        <w:trPr>
          <w:cantSplit/>
        </w:trPr>
        <w:tc>
          <w:tcPr>
            <w:tcW w:type="dxa" w:w="21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RM-28 Dispute ratio health alerts</w:t>
            </w:r>
          </w:p>
        </w:tc>
        <w:tc>
          <w:tcPr>
            <w:tcW w:type="dxa" w:w="12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Next (Q2 2027)</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Shows how close merchants are to card network monitoring thresholds, including Amex's own programs, with alerts at 60% and 80%</w:t>
            </w:r>
          </w:p>
        </w:tc>
        <w:tc>
          <w:tcPr>
            <w:tcW w:type="dxa" w:w="11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KPI-21</w:t>
            </w:r>
          </w:p>
        </w:tc>
        <w:tc>
          <w:tcPr>
            <w:tcW w:type="dxa" w:w="208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Ratio data source and thresholds confirmed with the acquirer</w:t>
            </w:r>
          </w:p>
        </w:tc>
      </w:tr>
      <w:tr>
        <w:trPr>
          <w:cantSplit/>
        </w:trPr>
        <w:tc>
          <w:tcPr>
            <w:tcW w:type="dxa" w:w="21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RM-25 Pre-dispute alerts and early refunds</w:t>
            </w:r>
          </w:p>
        </w:tc>
        <w:tc>
          <w:tcPr>
            <w:tcW w:type="dxa" w:w="12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Next (Q3 2027)</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Resolves eligible disputes before chargeback through programs such as Amex Accelerated Dispute Resolution</w:t>
            </w:r>
          </w:p>
        </w:tc>
        <w:tc>
          <w:tcPr>
            <w:tcW w:type="dxa" w:w="11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KPI-19</w:t>
            </w:r>
          </w:p>
        </w:tc>
        <w:tc>
          <w:tcPr>
            <w:tcW w:type="dxa" w:w="208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Alert programs and costs confirmed; Wave 1 exit</w:t>
            </w:r>
          </w:p>
        </w:tc>
      </w:tr>
      <w:tr>
        <w:trPr>
          <w:cantSplit/>
        </w:trPr>
        <w:tc>
          <w:tcPr>
            <w:tcW w:type="dxa" w:w="21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RM-26 AI evidence copilot (pilot)</w:t>
            </w:r>
          </w:p>
        </w:tc>
        <w:tc>
          <w:tcPr>
            <w:tcW w:type="dxa" w:w="12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Next (Q3–Q4 2027)</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Drafts evidence packets from connected systems with sources shown, win likelihood, and human review above a set amount</w:t>
            </w:r>
          </w:p>
        </w:tc>
        <w:tc>
          <w:tcPr>
            <w:tcW w:type="dxa" w:w="11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KPI-20</w:t>
            </w:r>
          </w:p>
        </w:tc>
        <w:tc>
          <w:tcPr>
            <w:tcW w:type="dxa" w:w="208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AI model risk review (MS-11, 17 Jun 2027); Phase 2 funding (MS-09)</w:t>
            </w:r>
          </w:p>
        </w:tc>
      </w:tr>
      <w:tr>
        <w:trPr>
          <w:cantSplit/>
        </w:trPr>
        <w:tc>
          <w:tcPr>
            <w:tcW w:type="dxa" w:w="21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RM-27 Friendly fraud evidence automation</w:t>
            </w:r>
          </w:p>
        </w:tc>
        <w:tc>
          <w:tcPr>
            <w:tcW w:type="dxa" w:w="12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Later (Q1 2028)</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Matches earlier undisputed purchases to meet Visa Compelling Evidence 3.0 and Mastercard First-Party Trust rules</w:t>
            </w:r>
          </w:p>
        </w:tc>
        <w:tc>
          <w:tcPr>
            <w:tcW w:type="dxa" w:w="11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KPI-02</w:t>
            </w:r>
          </w:p>
        </w:tc>
        <w:tc>
          <w:tcPr>
            <w:tcW w:type="dxa" w:w="208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Network eligibility rules confirmed</w:t>
            </w:r>
          </w:p>
        </w:tc>
      </w:tr>
      <w:tr>
        <w:trPr>
          <w:cantSplit/>
        </w:trPr>
        <w:tc>
          <w:tcPr>
            <w:tcW w:type="dxa" w:w="21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RM-29 Root-cause insights</w:t>
            </w:r>
          </w:p>
        </w:tc>
        <w:tc>
          <w:tcPr>
            <w:tcW w:type="dxa" w:w="12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Later (H1 2028)</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Shows which products, billing names and channels create disputes, with recommended fixes</w:t>
            </w:r>
          </w:p>
        </w:tc>
        <w:tc>
          <w:tcPr>
            <w:tcW w:type="dxa" w:w="11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KPI-04</w:t>
            </w:r>
          </w:p>
        </w:tc>
        <w:tc>
          <w:tcPr>
            <w:tcW w:type="dxa" w:w="208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Minimum data volume; 2028 planning</w:t>
            </w:r>
          </w:p>
        </w:tc>
      </w:tr>
      <w:tr>
        <w:trPr>
          <w:cantSplit/>
        </w:trPr>
        <w:tc>
          <w:tcPr>
            <w:tcW w:type="dxa" w:w="21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RM-30 AI agent purchase readiness</w:t>
            </w:r>
          </w:p>
        </w:tc>
        <w:tc>
          <w:tcPr>
            <w:tcW w:type="dxa" w:w="12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Later (Q2–Q3 2028)</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Stores AI shopping agent authorization records and tracks agent disputes as their own channel</w:t>
            </w:r>
          </w:p>
        </w:tc>
        <w:tc>
          <w:tcPr>
            <w:tcW w:type="dxa" w:w="11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KPI-21</w:t>
            </w:r>
          </w:p>
        </w:tc>
        <w:tc>
          <w:tcPr>
            <w:tcW w:type="dxa" w:w="208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Agent token standards mature; 2028 planning</w:t>
            </w:r>
          </w:p>
        </w:tc>
      </w:tr>
    </w:tbl>
    <w:p>
      <w:pPr>
        <w:pStyle w:val="Heading1"/>
        <w:keepNext/>
        <w:spacing w:after="160" w:before="360"/>
      </w:pPr>
      <w:r>
        <w:rPr>
          <w:rFonts w:ascii="Arial" w:cs="Arial" w:eastAsia="Arial" w:hAnsi="Arial"/>
        </w:rPr>
        <w:t xml:space="preserve">17. Appendices</w:t>
      </w:r>
    </w:p>
    <w:p>
      <w:pPr>
        <w:pStyle w:val="Heading2"/>
        <w:keepNext/>
        <w:spacing w:after="100" w:before="240"/>
      </w:pPr>
      <w:r>
        <w:rPr>
          <w:rFonts w:ascii="Arial" w:cs="Arial" w:eastAsia="Arial" w:hAnsi="Arial"/>
        </w:rPr>
        <w:t xml:space="preserve">Appendix A: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Term</w:t>
            </w:r>
          </w:p>
        </w:tc>
        <w:tc>
          <w:tcPr>
            <w:tcW w:type="dxa" w:w="70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Meaning</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Dispute (chargeback)</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 cardholder's challenge to a card transaction, raised through their card issuer and card network</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Reason code</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The card network code describing why a transaction was disputed; it sets evidence needs and the response window</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Response window</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Days a merchant has to respond before the dispute is lost by default</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Evidence package</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Files and a response note submitted to contest a dispute</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Contested dispute</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 dispute with a final outcome of Won, Partially won or Lost</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Chargeback debit and reversal</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Money taken from a merchant's payout when a dispute is raised, and returned if the merchant wins</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Portal evidence share</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Share of evidence packages submitted through the portal rather than by email</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p95</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95th percentile: the value that 95% of measurements are at or below</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PCI DSS</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Payment Card Industry Data Security Standard for protecting cardholder data</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WCAG 2.1 AA</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Web Content Accessibility Guidelines conformance level used for customer-facing screens</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Hypercare</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Period of heightened support straight after go-live</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SIT and UAT</w:t>
            </w:r>
          </w:p>
        </w:tc>
        <w:tc>
          <w:tcPr>
            <w:tcW w:type="dxa" w:w="70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System integration testing by the delivery team; user acceptance testing by business users</w:t>
            </w:r>
          </w:p>
        </w:tc>
      </w:tr>
    </w:tbl>
    <w:p>
      <w:pPr>
        <w:pStyle w:val="Heading2"/>
        <w:keepNext/>
        <w:spacing w:after="100" w:before="240"/>
      </w:pPr>
      <w:r>
        <w:rPr>
          <w:rFonts w:ascii="Arial" w:cs="Arial" w:eastAsia="Arial" w:hAnsi="Arial"/>
        </w:rPr>
        <w:t xml:space="preserve">Appendix B: Traceability to project artifacts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300"/>
        <w:gridCol w:w="2738"/>
      </w:tblGrid>
      <w:tr>
        <w:trPr>
          <w:cantSplit/>
          <w:tblHeader/>
        </w:trPr>
        <w:tc>
          <w:tcPr>
            <w:tcW w:type="dxa" w:w="26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Artifact</w:t>
            </w:r>
          </w:p>
        </w:tc>
        <w:tc>
          <w:tcPr>
            <w:tcW w:type="dxa" w:w="43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What it holds</w:t>
            </w:r>
          </w:p>
        </w:tc>
        <w:tc>
          <w:tcPr>
            <w:tcW w:type="dxa" w:w="27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IDs referenced in this PRD</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RAID Log</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Risks, assumptions, issues and dependencies</w:t>
            </w:r>
          </w:p>
        </w:tc>
        <w:tc>
          <w:tcPr>
            <w:tcW w:type="dxa" w:w="27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 A-, I-, D-</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Change Log</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Change requests, impact assessments and decisions</w:t>
            </w:r>
          </w:p>
        </w:tc>
        <w:tc>
          <w:tcPr>
            <w:tcW w:type="dxa" w:w="27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CR-</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Product Backlog</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Epics, user stories with acceptance criteria, sprint plan</w:t>
            </w:r>
          </w:p>
        </w:tc>
        <w:tc>
          <w:tcPr>
            <w:tcW w:type="dxa" w:w="27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EP-, US-</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Requirements Traceability Matrix</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Requirements, test cases, defects and compliance controls</w:t>
            </w:r>
          </w:p>
        </w:tc>
        <w:tc>
          <w:tcPr>
            <w:tcW w:type="dxa" w:w="27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BR-, TC-, DEF-, CTL-</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KPI Definitions</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Metric catalog, outcome definitions, data dictionary</w:t>
            </w:r>
          </w:p>
        </w:tc>
        <w:tc>
          <w:tcPr>
            <w:tcW w:type="dxa" w:w="27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KPI-</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Business Case &amp; GTM Plan</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Financial model, segments, rollout plan, launch readiness</w:t>
            </w:r>
          </w:p>
        </w:tc>
        <w:tc>
          <w:tcPr>
            <w:tcW w:type="dxa" w:w="27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LR-, BC-</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Engagement Plan</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Stakeholders, RACI, governance, communications, deliverables</w:t>
            </w:r>
          </w:p>
        </w:tc>
        <w:tc>
          <w:tcPr>
            <w:tcW w:type="dxa" w:w="27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SH-, RA-, CM-, DL-</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Post-Launch Plan</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Hypercare, support model, KPI triggers, benefits tracker, roadmap</w:t>
            </w:r>
          </w:p>
        </w:tc>
        <w:tc>
          <w:tcPr>
            <w:tcW w:type="dxa" w:w="27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EX-, TR-, IR-, RV-, LL-</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SQL Practice Pack</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Queries for every KPI and data quality check on simulated data</w:t>
            </w:r>
          </w:p>
        </w:tc>
        <w:tc>
          <w:tcPr>
            <w:tcW w:type="dxa" w:w="27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KPI-, DEF-, I-</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Product Roadmap</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Themes, initiatives, milestones and gates, July 2026 to December 2028</w:t>
            </w:r>
          </w:p>
        </w:tc>
        <w:tc>
          <w:tcPr>
            <w:tcW w:type="dxa" w:w="27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RM-, MS-</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Product Discovery &amp; Decision Log</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Market and internal findings, sources, and decisions with status</w:t>
            </w:r>
          </w:p>
        </w:tc>
        <w:tc>
          <w:tcPr>
            <w:tcW w:type="dxa" w:w="27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DSC-, SRC-</w:t>
            </w:r>
          </w:p>
        </w:tc>
      </w:tr>
      <w:tr>
        <w:trPr>
          <w:cantSplit/>
        </w:trPr>
        <w:tc>
          <w:tcPr>
            <w:tcW w:type="dxa" w:w="2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b/>
                <w:bCs/>
                <w:sz w:val="18"/>
                <w:szCs w:val="18"/>
              </w:rPr>
              <w:t xml:space="preserve">Wireframes</w:t>
            </w:r>
          </w:p>
        </w:tc>
        <w:tc>
          <w:tcPr>
            <w:tcW w:type="dxa" w:w="4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Annotated MVP and concept screens with rules and open questions</w:t>
            </w:r>
          </w:p>
        </w:tc>
        <w:tc>
          <w:tcPr>
            <w:tcW w:type="dxa" w:w="27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S01 to S13</w:t>
            </w:r>
          </w:p>
        </w:tc>
      </w:tr>
    </w:tbl>
    <w:p>
      <w:pPr>
        <w:pStyle w:val="Heading2"/>
        <w:keepNext/>
        <w:spacing w:after="100" w:before="240"/>
      </w:pPr>
      <w:r>
        <w:rPr>
          <w:rFonts w:ascii="Arial" w:cs="Arial" w:eastAsia="Arial" w:hAnsi="Arial"/>
        </w:rPr>
        <w:t xml:space="preserve">Appendix C: 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500"/>
        <w:gridCol w:w="1500"/>
        <w:gridCol w:w="5638"/>
      </w:tblGrid>
      <w:tr>
        <w:trPr>
          <w:cantSplit/>
          <w:tblHeader/>
        </w:trPr>
        <w:tc>
          <w:tcPr>
            <w:tcW w:type="dxa" w:w="10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Version</w:t>
            </w:r>
          </w:p>
        </w:tc>
        <w:tc>
          <w:tcPr>
            <w:tcW w:type="dxa" w:w="15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Date</w:t>
            </w:r>
          </w:p>
        </w:tc>
        <w:tc>
          <w:tcPr>
            <w:tcW w:type="dxa" w:w="1500"/>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Author</w:t>
            </w:r>
          </w:p>
        </w:tc>
        <w:tc>
          <w:tcPr>
            <w:tcW w:type="dxa" w:w="5638"/>
            <w:tcBorders>
              <w:top w:val="single" w:color="BFC9D4" w:sz="4"/>
              <w:left w:val="single" w:color="BFC9D4" w:sz="4"/>
              <w:bottom w:val="single" w:color="BFC9D4" w:sz="4"/>
              <w:right w:val="single" w:color="BFC9D4" w:sz="4"/>
            </w:tcBorders>
            <w:shd w:fill="1F3A5F"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Changes</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1.0</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11 Sep 2026</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Bhawna</w:t>
            </w:r>
          </w:p>
        </w:tc>
        <w:tc>
          <w:tcPr>
            <w:tcW w:type="dxa" w:w="5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First complete draft for review, consolidating discovery findings, backlog, RTM, KPI definitions, business case and rollout plan</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1.1</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11 Sep 2026</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Bhawna</w:t>
            </w:r>
          </w:p>
        </w:tc>
        <w:tc>
          <w:tcPr>
            <w:tcW w:type="dxa" w:w="5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Added 'The project in plain words' overview before the executive summary</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1.2</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11 Sep 2026</w:t>
            </w:r>
          </w:p>
        </w:tc>
        <w:tc>
          <w:tcPr>
            <w:tcW w:type="dxa" w:w="15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Bhawna</w:t>
            </w:r>
          </w:p>
        </w:tc>
        <w:tc>
          <w:tcPr>
            <w:tcW w:type="dxa" w:w="5638"/>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20" w:line="250"/>
            </w:pPr>
            <w:r>
              <w:rPr>
                <w:rFonts w:ascii="Arial" w:cs="Arial" w:eastAsia="Arial" w:hAnsi="Arial"/>
                <w:sz w:val="18"/>
                <w:szCs w:val="18"/>
              </w:rPr>
              <w:t xml:space="preserve">Added beyond-MVP section 16.4 and non-goal, proposed KPI-19 to KPI-21, steady-state target timing, and traceability to the roadmap, decision log and wireframes</w:t>
            </w:r>
          </w:p>
        </w:tc>
      </w:tr>
    </w:tbl>
    <w:sectPr>
      <w:headerReference w:type="default" r:id="rId7"/>
      <w:headerReference w:type="first" r:id="rId8"/>
      <w:footerReference w:type="default" r:id="rId9"/>
      <w:footerReference w:type="first" r:id="rId10"/>
      <w:pgSz w:w="11906" w:h="16838" w:orient="portrait"/>
      <w:pgMar w:top="1134" w:right="1134" w:bottom="1134" w:left="1134"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95959"/>
        <w:sz w:val="16"/>
        <w:szCs w:val="16"/>
      </w:rPr>
      <w:t xml:space="preserve">Simulation project. Not an actual client system.</w:t>
    </w:r>
    <w:r>
      <w:rPr>
        <w:rFonts w:ascii="Arial" w:cs="Arial" w:eastAsia="Arial" w:hAnsi="Arial"/>
        <w:color w:val="595959"/>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PRD: Merchant Payment Operations &amp; Dispute Hub (MVP), version 1.2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D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Merchant Payment Operations &amp; Dispute Hub</dc:title>
  <dc:creator>Bhawna</dc:creator>
  <cp:lastModifiedBy>Un-named</cp:lastModifiedBy>
  <cp:revision>1</cp:revision>
  <dcterms:created xsi:type="dcterms:W3CDTF">2026-09-11T18:42:51.577Z</dcterms:created>
  <dcterms:modified xsi:type="dcterms:W3CDTF">2026-09-11T18:42:51.577Z</dcterms:modified>
</cp:coreProperties>
</file>

<file path=docProps/custom.xml><?xml version="1.0" encoding="utf-8"?>
<Properties xmlns="http://schemas.openxmlformats.org/officeDocument/2006/custom-properties" xmlns:vt="http://schemas.openxmlformats.org/officeDocument/2006/docPropsVTypes"/>
</file>