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E8C" w:sz="12" w:space="8"/>
        </w:pBdr>
        <w:spacing w:after="0" w:before="1400"/>
      </w:pPr>
      <w:r>
        <w:rPr>
          <w:b/>
          <w:bCs/>
          <w:color w:val="1F3864"/>
          <w:sz w:val="56"/>
          <w:szCs w:val="56"/>
        </w:rPr>
        <w:t xml:space="preserve">TECHNICAL SPECIFICATION</w:t>
      </w:r>
    </w:p>
    <w:p>
      <w:pPr>
        <w:spacing w:after="0" w:before="200"/>
      </w:pPr>
      <w:r>
        <w:rPr>
          <w:b/>
          <w:bCs/>
          <w:color w:val="2E5E8C"/>
          <w:sz w:val="40"/>
          <w:szCs w:val="40"/>
        </w:rPr>
        <w:t xml:space="preserve">AW Client Report Portal</w:t>
      </w:r>
    </w:p>
    <w:p>
      <w:pPr>
        <w:spacing w:after="600" w:before="60"/>
      </w:pPr>
      <w:r>
        <w:rPr>
          <w:i/>
          <w:iCs/>
          <w:color w:val="595959"/>
          <w:sz w:val="26"/>
          <w:szCs w:val="26"/>
        </w:rPr>
        <w:t xml:space="preserve">Automated SACS (Cash-Flow) &amp; TCC (Net-Worth) Reporting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Technical Specification — for executive evaluation &amp; authorisation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Product / project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AW Client Report Portal (working name; traceable to PRD v1.0)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Specification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v1.0 (Draft for approval)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18 June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Engineering (AI Practice)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Prepared for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Product Owner / Product Manager and Executive Sponsors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26A00"/>
              </w:rPr>
              <w:t xml:space="preserve">AWAITING AUTHORISATION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B22222"/>
              </w:rPr>
              <w:t xml:space="preserve">CONFIDENTIAL — contains client &amp; financial process 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Source basis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PRD v1.0 (2026-04-09) + discovery-call recording (2026-04-01) and a prior call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5E8C" w:sz="18"/>
              <w:bottom w:val="single" w:color="CCCCCC" w:sz="1"/>
              <w:right w:val="single" w:color="CCCCCC" w:sz="1"/>
            </w:tcBorders>
            <w:shd w:fill="E8F1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2E5E8C"/>
              </w:rPr>
              <w:t xml:space="preserve">PURPOSE.  </w:t>
            </w:r>
            <w:r>
              <w:t xml:space="preserve">This document translates the approved PRD into an engineering design and a phased delivery plan. It specifies the full target system — the immediately-authorised V1 build and the later phases that will be productised and released more broadly — so decision-makers can authorise V1 with full sight of where it leads. Sign-off page: Section 20.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Control</w:t>
      </w:r>
    </w:p>
    <w:p>
      <w:pPr>
        <w:pStyle w:val="Heading2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6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Summary of change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0.1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16 Jun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Engineering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Initial structure from PRD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0.9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17 Jun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Engineering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Full architecture, phasing, security sections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18 Jun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Engineering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Draft issued for executive evaluation &amp; PM/Owner authorisation</w:t>
            </w:r>
          </w:p>
        </w:tc>
      </w:tr>
    </w:tbl>
    <w:p>
      <w:pPr>
        <w:pStyle w:val="Heading2"/>
      </w:pPr>
      <w:r>
        <w:t xml:space="preserve">Distribution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Name /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Product Owner / 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Approval authority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Authorise scope &amp; phasing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Executive Sponsor(s)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Funding / 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Evaluate value &amp; commercial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Engineering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Confirm feasibility &amp; estimates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Compliance /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Confirm data-handling posture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 stakeholders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Andrew, Rebecca, Maryann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Validate business rules</w:t>
            </w:r>
          </w:p>
        </w:tc>
      </w:tr>
    </w:tbl>
    <w:p>
      <w:pPr>
        <w:pStyle w:val="Heading2"/>
      </w:pPr>
      <w:r>
        <w:t xml:space="preserve">Approvals Required</w:t>
      </w:r>
    </w:p>
    <w:p>
      <w:pPr>
        <w:spacing w:after="120" w:line="276"/>
      </w:pPr>
      <w:r>
        <w:t xml:space="preserve">This specification is not in force until the Authorisation block in </w:t>
      </w:r>
      <w:r>
        <w:rPr>
          <w:b/>
          <w:bCs/>
        </w:rPr>
        <w:t xml:space="preserve">Section 20</w:t>
      </w:r>
      <w:r>
        <w:t xml:space="preserve"> is signed by the Product Owner / Owner. Executive sponsors evaluate; the Product Owner authorises.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t xml:space="preserve">If the contents above appear empty, open in Word and choose </w:t>
      </w:r>
      <w:r>
        <w:rPr>
          <w:i/>
          <w:iCs/>
        </w:rPr>
        <w:t xml:space="preserve">Update Field</w:t>
      </w:r>
      <w:r>
        <w:t xml:space="preserve"> (the document is configured to refresh on open).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The firm produces two client-facing financial reports each quarter — a cash-flow summary (SACS) and a net-worth overview (TCC) — by manually gathering balances from several systems and assembling them in Canva and Word. The process takes roughly one full day per client meeting and is error-prone. This specification defines a secure web portal that reduces that preparation from a day to under an hour, eliminates manual arithmetic, and produces consistent, presentation-quality PDFs.</w:t>
      </w:r>
    </w:p>
    <w:p>
      <w:pPr>
        <w:pStyle w:val="Heading2"/>
      </w:pPr>
      <w:r>
        <w:t xml:space="preserve">1.1 The recommendation</w:t>
      </w:r>
    </w:p>
    <w:p>
      <w:pPr>
        <w:spacing w:after="120" w:line="276"/>
      </w:pPr>
      <w:r>
        <w:t xml:space="preserve">Authorise </w:t>
      </w:r>
      <w:r>
        <w:rPr>
          <w:b/>
          <w:bCs/>
        </w:rPr>
        <w:t xml:space="preserve">Phase 1 (V1)</w:t>
      </w:r>
      <w:r>
        <w:t xml:space="preserve"> now: a single-firm portal for client setup, guided quarterly data entry, a deterministic calculation engine, and pixel-stable SACS &amp; TCC PDF generation with export. V1 deliberately uses </w:t>
      </w:r>
      <w:r>
        <w:rPr>
          <w:b/>
          <w:bCs/>
        </w:rPr>
        <w:t xml:space="preserve">no external integrations and no AI</w:t>
      </w:r>
      <w:r>
        <w:t xml:space="preserve"> — all data is entered by the team — which keeps it low-risk, fast, and fully within compliance constraints.</w:t>
      </w:r>
    </w:p>
    <w:p>
      <w:pPr>
        <w:pStyle w:val="Heading2"/>
      </w:pPr>
      <w:r>
        <w:t xml:space="preserve">1.2 The forward vision (designed now, released later)</w:t>
      </w:r>
    </w:p>
    <w:p>
      <w:pPr>
        <w:spacing w:after="120" w:line="276"/>
      </w:pPr>
      <w:r>
        <w:t xml:space="preserve">Per direction, this document also fully designs the later phases so the architecture chosen for V1 deliberately enables them with no rework: automated data integration (Phase 2), an AI agent layer for onboarding and data extraction (Phase 3), and a multi-tenant, productised release to other advisory firms (Phase 4). These are specified but not authorised by this document; each is its own funding decision. Designing them now means V1 is built multi-tenant-ready and integration-ready from day one.</w:t>
      </w:r>
    </w:p>
    <w:p>
      <w:pPr>
        <w:pStyle w:val="Heading2"/>
      </w:pPr>
      <w:r>
        <w:t xml:space="preserve">1.3 What executives are being asked to decide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Authorise the V1 build</w:t>
      </w:r>
      <w:r>
        <w:t xml:space="preserve"> and its acceptance criteria (Sections 8–9, 18).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Note and steer the phased roadmap</w:t>
      </w:r>
      <w:r>
        <w:t xml:space="preserve"> (Section 4 &amp; 15) — including the intent to productise later phases for public release.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Resolve the open decisions</w:t>
      </w:r>
      <w:r>
        <w:t xml:space="preserve"> in Section 19 (e.g., Canva export priority, report storage, hosting region).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Accept the security &amp; compliance posture</w:t>
      </w:r>
      <w:r>
        <w:t xml:space="preserve"> in Section 13.</w:t>
      </w:r>
    </w:p>
    <w:p>
      <w:pPr>
        <w:pStyle w:val="Heading2"/>
      </w:pPr>
      <w:r>
        <w:t xml:space="preserve">1.4 Headline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Today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With the portal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Prep time / client / quarter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~1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&lt; 1 hour (target)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Manual math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All totals by hand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Fully automated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Report consistency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Canva drift / misalignment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Fixed, pixel-stable layout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Scale ceiling (no new hires)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~6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12+ clients (V1); unbounded (Phase 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External data risk (V1)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None — manual entry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Background &amp; Context</w:t>
      </w:r>
    </w:p>
    <w:p>
      <w:pPr>
        <w:pStyle w:val="Heading2"/>
      </w:pPr>
      <w:r>
        <w:t xml:space="preserve">2.1 The client and the problem</w:t>
      </w:r>
    </w:p>
    <w:p>
      <w:pPr>
        <w:spacing w:after="120" w:line="276"/>
      </w:pPr>
      <w:r>
        <w:t xml:space="preserve">A lean, three-person financial-planning firm (principal Andrew; planner Rebecca, who holds Schwab access and compliance responsibility; and executive assistant Maryann) serves roughly six high- and ultra-high-net-worth households on retainer, with quarterly review meetings plus assets under management. Clients expect high professionalism and accuracy.</w:t>
      </w:r>
    </w:p>
    <w:p>
      <w:pPr>
        <w:spacing w:after="120" w:line="276"/>
      </w:pPr>
      <w:r>
        <w:t xml:space="preserve">For every quarterly meeting the team hand-builds two reports, pulling data from </w:t>
      </w:r>
      <w:r>
        <w:rPr>
          <w:b/>
          <w:bCs/>
        </w:rPr>
        <w:t xml:space="preserve">Pinnacle Bank, Charles Schwab, RightCapital and Zillow</w:t>
      </w:r>
      <w:r>
        <w:t xml:space="preserve">, then assembling the figures in Canva and Word. The work is slow, repetitive, and a recurring source of arithmetic and alignment errors.</w:t>
      </w:r>
    </w:p>
    <w:p>
      <w:pPr>
        <w:pStyle w:val="Heading2"/>
      </w:pPr>
      <w:r>
        <w:t xml:space="preserve">2.2 How this specification was derived</w:t>
      </w:r>
    </w:p>
    <w:p>
      <w:pPr>
        <w:spacing w:after="120" w:line="276"/>
      </w:pPr>
      <w:r>
        <w:t xml:space="preserve">This document is the engineering response to an approved PRD (v1.0, 2026-04-09), which was itself synthesised from a recorded requirements call (2026-04-01) and a prior call. Requirements below are traceable to those sources; a traceability matrix is provided in Appendix C. Where the PRD recorded ambiguity, it is surfaced here as an open decision or an assumption to confirm rather than silently resolved.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B26A00" w:sz="18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B26A00"/>
              </w:rPr>
              <w:t xml:space="preserve">ASSUMPTION TO CONFIRM.  </w:t>
            </w:r>
            <w:r>
              <w:t xml:space="preserve">Certain identifiers in the PRD (the firm name, legal entity, and city) were attributed to third-party web research and were not stated on the call. They are treated here as unverified placeholders and must be confirmed before any client-facing or contractual use. See Section 17.2.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Goals, Non-Goals &amp; Success Metrics</w:t>
      </w:r>
    </w:p>
    <w:p>
      <w:pPr>
        <w:pStyle w:val="Heading2"/>
      </w:pPr>
      <w:r>
        <w:t xml:space="preserve">3.1 Business goals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Cut quarterly report preparation from ~1 day to under 1 hour per client.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Eliminate manual calculation errors through a single deterministic engine.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Produce consistent, branded, presentation-quality PDFs with a fixed layout.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Enable the firm to grow its client base without adding headcount.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Consolidate scattered data (Excel, Dropbox, PreciseFP) into one source of truth.</w:t>
      </w:r>
    </w:p>
    <w:p>
      <w:pPr>
        <w:pStyle w:val="Heading2"/>
      </w:pPr>
      <w:r>
        <w:t xml:space="preserve">3.2 Technical goals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Deterministic, auditable calculations — no AI in the V1 numeric path.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Pixel-stable PDF rendering independent of value length or account count.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An architecture that admits later integrations and multi-tenancy without rework.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Strong protection of PII and financial data, by design.</w:t>
      </w:r>
    </w:p>
    <w:p>
      <w:pPr>
        <w:pStyle w:val="Heading2"/>
      </w:pPr>
      <w:r>
        <w:t xml:space="preserve">3.3 Non-goals (for V1)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No automated pulling from RightCapital, Schwab, Pinnacle, or Zillow (Phase 2).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No AI reasoning, classification, or generation in the report path (Phase 3).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No client-facing access; the portal is internal-only in V1 (Phase 3/4).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No redesign of Andrew's report templates — visual parity only, with light polish.</w:t>
      </w:r>
    </w:p>
    <w:p>
      <w:pPr>
        <w:pStyle w:val="Heading2"/>
      </w:pPr>
      <w:r>
        <w:t xml:space="preserve">3.4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830"/>
        <w:gridCol w:w="283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Baseline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Target (90 days post-launch)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Median prep time / report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~1 day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&lt; 60 min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Calculation errors / quarter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Recurring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Reports generated via portal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100% of quarterly reports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Re-work due to layout drift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Frequent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Eliminated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Clients served per staff member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~2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≥ 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Product Vision &amp; Phasing Strategy</w:t>
      </w:r>
    </w:p>
    <w:p>
      <w:pPr>
        <w:spacing w:after="120" w:line="276"/>
      </w:pPr>
      <w:r>
        <w:t xml:space="preserve">The portal is designed as a platform delivered in four phases — built one block at a time, each shippable and valuable on its own, each enabled by the last. Phase 1 is authorised by this document; Phases 2–4 are designed here and authorised separately.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3260"/>
        <w:gridCol w:w="2900"/>
      </w:tblGrid>
      <w:tr>
        <w:trPr>
          <w:tblHeader/>
        </w:trP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Release posture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Portal MVP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 records, guided data entry, calc engine, SACS+TCC PDFs, export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Internal to this firm — AUTHORISE NOW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Automated data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Read-only, consented pulls (Plaid/Zillow/PreciseFP; Schwab &amp; RightCapital where permitted)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Internal — later funding decision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AI agents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Onboarding agent, document/statement extraction, anomaly flagging — human-in-the-loop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Internal — later funding decision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SaaS platform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Multi-tenant, self-serve onboarding, billing, admin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PUBLIC RELEASE to advisory firms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5E8C" w:sz="18"/>
              <w:bottom w:val="single" w:color="CCCCCC" w:sz="1"/>
              <w:right w:val="single" w:color="CCCCCC" w:sz="1"/>
            </w:tcBorders>
            <w:shd w:fill="E8F1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2E5E8C"/>
              </w:rPr>
              <w:t xml:space="preserve">WHY DESIGN IT ALL NOW.  </w:t>
            </w:r>
            <w:r>
              <w:t xml:space="preserve">The expensive mistakes in V1 would be single-tenant data models, credential handling that can't be hardened, and a calc/render core entangled with the UI. By specifying Phases 2–4 up front, V1 is built with a tenant boundary, a credential vault seam, and a headless calculation+rendering core — so the future is a matter of funding, not re-architecture.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Scope</w:t>
      </w:r>
    </w:p>
    <w:p>
      <w:pPr>
        <w:pStyle w:val="Heading2"/>
      </w:pPr>
      <w:r>
        <w:t xml:space="preserve">5.1 In scope — Phase 1 (authorised by this document)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Client profile &amp; account-structure management (lightweight CRM).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One-click quarterly report workflow with a guided, validated data-entry form.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Deterministic calculation engine implementing all SACS &amp; TCC rules (Section 9).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SACS and TCC PDF generation matching the existing templates (fixed layout).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PDF download; Canva export subject to the decision in Section 19.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Internal authentication, role-based access, and an audit log.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Report history (re-download previous quarters), subject to storage decision (Section 19).</w:t>
      </w:r>
    </w:p>
    <w:p>
      <w:pPr>
        <w:pStyle w:val="Heading2"/>
      </w:pPr>
      <w:r>
        <w:t xml:space="preserve">5.2 Designed here, authorised later — Phases 2–4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Integration layer: PreciseFP, Plaid, Zillow, Schwab, RightCapital, Pinnacle, Dropbox, Canva, email.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AI agent layer: client-onboarding agent; statement/document data-extraction agent; anomaly flagging.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Client-facing surfaces: onboarding forms, expense-worksheet capture, monthly report distribution.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Multi-tenancy, tenant administration, metered billing, and public self-serve onboarding.</w:t>
      </w:r>
    </w:p>
    <w:p>
      <w:pPr>
        <w:pStyle w:val="Heading2"/>
      </w:pPr>
      <w:r>
        <w:t xml:space="preserve">5.3 Explicitly out of scope (all phases, unless re-scoped)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Redesigning the report templates' visual identity.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Acting as a system of record for trading, custody, or money movement.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Tax advice, financial advice logic, or portfolio decisions — the portal reports; it does not advise.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Podcast-production assistance — noted in the source as a separate </w:t>
      </w:r>
      <w:r>
        <w:rPr>
          <w:i/>
          <w:iCs/>
        </w:rPr>
        <w:t xml:space="preserve">hiring</w:t>
      </w:r>
      <w:r>
        <w:t xml:space="preserve"> request, not a software build.</w:t>
      </w:r>
    </w:p>
    <w:p>
      <w:r>
        <w:br w:type="page"/>
      </w:r>
    </w:p>
    <w:p>
      <w:pPr>
        <w:pStyle w:val="Heading1"/>
      </w:pPr>
      <w:r>
        <w:t xml:space="preserve">6. System Architecture</w:t>
      </w:r>
    </w:p>
    <w:p>
      <w:pPr>
        <w:pStyle w:val="Heading2"/>
      </w:pPr>
      <w:r>
        <w:t xml:space="preserve">6.1 Architectural principles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Deterministic core. </w:t>
      </w:r>
      <w:r>
        <w:t xml:space="preserve">Calculations and rendering are a pure, headless library, independently testable and reusable by any future caller (API, agent, batch).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Tenant-aware from day one. </w:t>
      </w:r>
      <w:r>
        <w:t xml:space="preserve">Every record carries a tenant key even though V1 has one tenant — Phase 4 becomes configuration, not migration.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Integration seam, unused in V1. </w:t>
      </w:r>
      <w:r>
        <w:t xml:space="preserve">A provider interface and a credential vault boundary exist as the single place future data sources plug 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Secure by default. </w:t>
      </w:r>
      <w:r>
        <w:t xml:space="preserve">Least privilege, encryption everywhere, full audit, no third-party data egress that compliance forbids.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Simple where it can be. </w:t>
      </w:r>
      <w:r>
        <w:t xml:space="preserve">Three users today; the UI is clean and server-rendered, with no heavy front-end framework.</w:t>
      </w:r>
    </w:p>
    <w:p>
      <w:pPr>
        <w:pStyle w:val="Heading2"/>
      </w:pPr>
      <w:r>
        <w:t xml:space="preserve">6.2 Logical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360"/>
        <w:gridCol w:w="23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Web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 list, profile editor, report workflow, review &amp; export screens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Application /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Auth, request handling, orchestration, validation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Calculation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All SACS/TCC math; pure &amp; deterministic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Rendering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SACS/TCC PDF templates; fixed layout, variable bubbles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Data 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Clients, accounts, liabilities, report runs, audit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Auth &amp; RBAC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Identity, roles, sessions, MFA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Audit 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Immutable record of access &amp; generation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Credential vault (seam)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Encrypted store for provider credentials/tokens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Integration providers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Pluggable read-only data fetchers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Agent runtime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Onboarding &amp; extraction agents, human-in-the-loop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Tenant admin &amp; billing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Provisioning, metering, self-serve onboarding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pPr>
        <w:pStyle w:val="Heading2"/>
      </w:pPr>
      <w:r>
        <w:t xml:space="preserve">6.3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Railway (single region)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Team default; simple web app, low compute; region pinned for compliance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Server-rendered HTML/CSS/JS (light templating)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Three internal users; clean &amp; fast; no SPA overhead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Python (FastAPI or Flask)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Strong PDF &amp; data libraries; simple, well-understood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Calc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Pure Python module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Deterministic, unit-testable in isolation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WeasyPrint (HTML/CSS templates) — ReportLab fallback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HTML/CSS gives precise, maintainable fixed layouts; see Section 10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SQLite (V1) on a Railway volume → PostgreSQL (Phase 2+)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6 clients = trivial volume; Postgres when concurrency/multi-tenant arrives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AuthN/Z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Session cookies + hashed passwords + TOTP MFA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Simple, standard, compliance-friendly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Railway env vars (V1) → managed vault (Phase 2)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 secrets in code; vault seam ready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None in V1 → governed model access (Phase 3)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V1 is deterministic; AI gated behind no-training terms</w:t>
            </w:r>
          </w:p>
        </w:tc>
      </w:tr>
    </w:tbl>
    <w:p>
      <w:pPr>
        <w:spacing w:after="120" w:line="276"/>
      </w:pPr>
      <w:r>
        <w:t xml:space="preserve">Environment variables (V1): </w:t>
      </w:r>
      <w:r>
        <w:rPr>
          <w:rFonts w:ascii="Consolas" w:cs="Consolas" w:eastAsia="Consolas" w:hAnsi="Consolas"/>
        </w:rPr>
        <w:t xml:space="preserve">RAILWAY_DATABASE_PATH</w:t>
      </w:r>
      <w:r>
        <w:t xml:space="preserve">, and </w:t>
      </w:r>
      <w:r>
        <w:rPr>
          <w:rFonts w:ascii="Consolas" w:cs="Consolas" w:eastAsia="Consolas" w:hAnsi="Consolas"/>
        </w:rPr>
        <w:t xml:space="preserve">CANVA_API_KEY</w:t>
      </w:r>
      <w:r>
        <w:t xml:space="preserve"> only if Canva export is authorised.</w:t>
      </w:r>
    </w:p>
    <w:p>
      <w:pPr>
        <w:pStyle w:val="Heading2"/>
      </w:pPr>
      <w:r>
        <w:t xml:space="preserve">6.4 Request flow (quarterly report)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User selects a client and clicks Generate Report.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App loads the client profile, pre-fills static fields, and presents a validated entry form for current balances.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 submit, the app validates completeness, then calls the calculation engine (pure function: inputs → totals).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Computed values feed the rendering engine, which returns SACS and TCC PDFs.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User reviews on-screen, then downloads PDFs and/or exports to Canva; the run is recorded in the audit log.</w:t>
      </w:r>
    </w:p>
    <w:p>
      <w:pPr>
        <w:pStyle w:val="Heading2"/>
      </w:pPr>
      <w:r>
        <w:t xml:space="preserve">6.5 How V1 enables later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Future need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Enabled by this V1 decision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Automated data pulls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Manual entry sits behind the same provider interface a fetcher will implement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Credential security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Vault seam + read-only token model designed in from the start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AI extraction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Calc/render core is headless, so an agent can call it exactly as the UI does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Public multi-tenant SaaS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Tenant key on every row; Postgres migration path; RBAC already present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Data Architecture &amp; Model</w:t>
      </w:r>
    </w:p>
    <w:p>
      <w:pPr>
        <w:pStyle w:val="Heading2"/>
      </w:pPr>
      <w:r>
        <w:t xml:space="preserve">7.1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100"/>
        <w:gridCol w:w="1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Key attributes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Tenant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id, name, branding, region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One row in V1; spine of Phase 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id, tenant_id, name, email, role, mfa_secret, password_hash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Roles: Owner, Planner, Assistant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Client (Household)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id, tenant_id, display_name, status, created_at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household, not a person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Person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id, client_id, role (C1/C2), name, dob, ssn_last4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1–2 per household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Account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id, client_id, owner (C1/C2/Joint), category (retirement/non-retirement), type, acct_last4, has_cash_balance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Drives TCC bubbles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Trust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id, client_id, property_address, last_value, source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House value (Zillow in P2)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Liability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id, client_id, type, interest_rate, balance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0–3 typically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StaticFinancials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client_id, monthly_salary, monthly_expense_budget, reserve_target_inputs, floor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Changes rarely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ReportRun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id, client_id, period, entered_values(json), computed_values(json), created_by, created_at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One per quarterly generation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AuditEvent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id, tenant_id, user_id, action, entity, timestamp, ip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Immutable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ProviderCredential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id, tenant_id, provider, encrypted_token, scope, status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Phase 2 — vault-encrypted</w:t>
            </w:r>
          </w:p>
        </w:tc>
      </w:tr>
    </w:tbl>
    <w:p>
      <w:pPr>
        <w:pStyle w:val="Heading2"/>
      </w:pPr>
      <w:r>
        <w:t xml:space="preserve">7.2 Relationships (summary)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Tenant has many Users and Clients.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Client (household) has 1–2 Persons, many Accounts, 0–1 Trust, 0–N Liabilities, one StaticFinancials, and many ReportRuns.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ReportRun snapshots both the entered balances and the computed outputs, so any past report is exactly reproducible.</w:t>
      </w:r>
    </w:p>
    <w:p>
      <w:pPr>
        <w:pStyle w:val="Heading2"/>
      </w:pPr>
      <w:r>
        <w:t xml:space="preserve">7.3 Data lifecycle &amp; retention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Static profile data is entered once and edited on change (new job, raise, new account).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Dynamic balances are captured per ReportRun; the previous run seeds each field as a reference (“use last value”).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ReportRuns are retained per the storage decision in Section 19 (default: retain, to power history &amp; audit).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Retention, export, and deletion honour the firm's compliance policy; PII fields are minimised (only SSN last-4 is stored).</w:t>
      </w:r>
    </w:p>
    <w:p>
      <w:r>
        <w:br w:type="page"/>
      </w:r>
    </w:p>
    <w:p>
      <w:pPr>
        <w:pStyle w:val="Heading1"/>
      </w:pPr>
      <w:r>
        <w:t xml:space="preserve">8. Functional Design</w:t>
      </w:r>
    </w:p>
    <w:p>
      <w:pPr>
        <w:spacing w:after="120" w:line="276"/>
      </w:pPr>
      <w:r>
        <w:t xml:space="preserve">Each module below lists its purpose, key behaviour, and acceptance signals. Modules 8.1–8.6 are Phase 1; 8.7–8.11 are designed for later phases.</w:t>
      </w:r>
    </w:p>
    <w:p>
      <w:pPr>
        <w:pStyle w:val="Heading2"/>
      </w:pPr>
      <w:r>
        <w:t xml:space="preserve">8.1 Client &amp; Account Management (Phase 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Create/edit a household: names, DOB, auto-calculated age, SSN last-4, single or married (C1/C2).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Define account structure: retirement accounts (IRA, Roth IRA, 401k, pension — never joint), non-retirement accounts (brokerage, joint, options), trust (property address), liabilities (type, rate).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Enter static financials once: monthly after-tax salary, agreed expense budget, private-reserve target inputs.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Client list view with last-report date; edit on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5E8C" w:sz="18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2E5E8C"/>
              </w:rPr>
              <w:t xml:space="preserve">RULE.  </w:t>
            </w:r>
            <w:r>
              <w:t xml:space="preserve">Retirement accounts cannot be joint; non-retirement accounts may be joint. The UI enforces this when accounts are added.</w:t>
            </w:r>
          </w:p>
        </w:tc>
      </w:tr>
    </w:tbl>
    <w:p>
      <w:pPr>
        <w:pStyle w:val="Heading2"/>
      </w:pPr>
      <w:r>
        <w:t xml:space="preserve">8.2 Quarterly Report Workflow (Phase 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One-click Generate Report from a client profile.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single form, grouped by report section (SACS fields, then TCC fields), pre-filled with static data.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Each dynamic field shows its last known value and a “use last value” option; manual override always available.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Incomplete required fields are highlighted; a report cannot be generated until all required fields are filled.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Clear field labels (e.g., “Roth IRA Balance”, “Schwab Brokerage Balance”, “Private Reserve Balance”, “Zillow Home Value”).</w:t>
      </w:r>
    </w:p>
    <w:p>
      <w:pPr>
        <w:pStyle w:val="Heading2"/>
      </w:pPr>
      <w:r>
        <w:t xml:space="preserve">8.3 Calculation Engine (Phase 1)</w:t>
      </w:r>
    </w:p>
    <w:p>
      <w:pPr>
        <w:spacing w:after="120" w:line="276"/>
      </w:pPr>
      <w:r>
        <w:t xml:space="preserve">A pure module that takes entered + static values and returns every total in real time. Full rules in </w:t>
      </w:r>
      <w:r>
        <w:rPr>
          <w:b/>
          <w:bCs/>
        </w:rPr>
        <w:t xml:space="preserve">Section 9</w:t>
      </w:r>
      <w:r>
        <w:t xml:space="preserve">. It performs no I/O and is covered by exhaustive unit tests.</w:t>
      </w:r>
    </w:p>
    <w:p>
      <w:pPr>
        <w:pStyle w:val="Heading2"/>
      </w:pPr>
      <w:r>
        <w:t xml:space="preserve">8.4 PDF Generation (Phase 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SACS: green Inflow circle, red Outflow circle, blue Private Reserve, connecting arrows; header with client name &amp; date; page 2 with reserve, Schwab investment balance, target.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TCC: green client-info bubbles (name, age, DOB, SSN last-4); retirement (top), non-retirement (bottom), trust (centre), liabilities (separate); gray total boxes; variable bubble count per client.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Layout is fixed — nothing shifts or misaligns regardless of number size or account count; brand colours applied. See Section 10.</w:t>
      </w:r>
    </w:p>
    <w:p>
      <w:pPr>
        <w:pStyle w:val="Heading2"/>
      </w:pPr>
      <w:r>
        <w:t xml:space="preserve">8.5 Export (Phase 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Download SACS and TCC as separate, print-ready PDFs.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Optional “Export to Canva” into the team workspace for last-minute visual edits (subject to Section 19).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Report history: re-download prior quarters (subject to storage decision).</w:t>
      </w:r>
    </w:p>
    <w:p>
      <w:pPr>
        <w:pStyle w:val="Heading2"/>
      </w:pPr>
      <w:r>
        <w:t xml:space="preserve">8.6 Authentication &amp; Access Control (Phase 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Email + password (hashed) with TOTP MFA; session cookies; idle timeout.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Roles: Owner (full), Planner (full client + report), Assistant (data entry + generate).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Every login, view of client PII, and report generation is written to the audit log.</w:t>
      </w:r>
    </w:p>
    <w:p>
      <w:pPr>
        <w:pStyle w:val="Heading2"/>
      </w:pPr>
      <w:r>
        <w:t xml:space="preserve">8.7 Integration Layer (Phase 2 — designed)</w:t>
      </w:r>
    </w:p>
    <w:p>
      <w:pPr>
        <w:spacing w:after="120" w:line="276"/>
      </w:pPr>
      <w:r>
        <w:t xml:space="preserve">A uniform read-only provider interface (fetch balances/values, return normalised fields, report freshness). Each source is an adapter behind that interface; the UI's manual entry is simply the “manual provider.” Adapters are added without touching the calc or render 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Design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PreciseFP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API (one-time import)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Profile/onboarding data; map to Person/StaticFinancials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Plaid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Aggregation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Preferred path for bank/investment balances; consented, read-only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Zillow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Zestimate lookup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Trust property value; clearly flagged as 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Schwab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Authorised-user access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Compliance-gated: per-user, read-only, </w:t>
            </w:r>
            <w:r>
              <w:rPr>
                <w:b/>
                <w:bCs/>
              </w:rPr>
              <w:t xml:space="preserve">never a shared agent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RightCapital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API (guarded)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Known-unreliable; force-refresh then verify; treated as low-trust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Pinnacle Bank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Secure email today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Manual until a secure channel exists; do not automate insecurely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B26A00" w:sz="18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B26A00"/>
              </w:rPr>
              <w:t xml:space="preserve">COMPLIANCE GUARDRAIL.  </w:t>
            </w:r>
            <w:r>
              <w:t xml:space="preserve">No source is automated unless access is consented, read-only, attributable to a permitted user, and free of forbidden data egress. Where those cannot be met (e.g., a shared/third-party login), the field stays manual. This is a design rule, not a limitation to engineer around.</w:t>
            </w:r>
          </w:p>
        </w:tc>
      </w:tr>
    </w:tbl>
    <w:p>
      <w:pPr>
        <w:pStyle w:val="Heading2"/>
      </w:pPr>
      <w:r>
        <w:t xml:space="preserve">8.8 AI Agent Layer (Phase 3 — designed)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Onboarding agent: </w:t>
      </w:r>
      <w:r>
        <w:t xml:space="preserve">emails the client the onboarding/expense forms, chases reminders, escalates to staff after a threshold, and lands structured data into the profile.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Extraction agent: </w:t>
      </w:r>
      <w:r>
        <w:t xml:space="preserve">reads uploaded statements/PDFs and proposes balances for human confirmation — never auto-commits to a report.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Anomaly flagging: </w:t>
      </w:r>
      <w:r>
        <w:t xml:space="preserve">highlights values that moved implausibly versus last quarter for staff review.</w:t>
      </w:r>
    </w:p>
    <w:p>
      <w:pPr>
        <w:spacing w:after="120" w:line="276"/>
      </w:pPr>
      <w:r>
        <w:t xml:space="preserve">All agents are </w:t>
      </w:r>
      <w:r>
        <w:rPr>
          <w:b/>
          <w:bCs/>
        </w:rPr>
        <w:t xml:space="preserve">human-in-the-loop</w:t>
      </w:r>
      <w:r>
        <w:t xml:space="preserve"> and sit outside the deterministic numeric path: they propose, a person disposes. Governance in Section 12.</w:t>
      </w:r>
    </w:p>
    <w:p>
      <w:pPr>
        <w:pStyle w:val="Heading2"/>
      </w:pPr>
      <w:r>
        <w:t xml:space="preserve">8.9 Client-Facing Expense Worksheet (Phase 3/4 — designed)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Replaces the emailed Excel sheet with a secure link clients complete; results flow into StaticFinancials with staff approval.</w:t>
      </w:r>
    </w:p>
    <w:p>
      <w:pPr>
        <w:pStyle w:val="Heading2"/>
      </w:pPr>
      <w:r>
        <w:t xml:space="preserve">8.10 Report Distribution (Phase 3/4 — designed)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Optional scheduled email delivery of finished reports (e.g., monthly) — off by default; the firm currently reports quarterly.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Optional auto-save of generated reports to the firm's Dropbox (subject to Section 19).</w:t>
      </w:r>
    </w:p>
    <w:p>
      <w:pPr>
        <w:pStyle w:val="Heading2"/>
      </w:pPr>
      <w:r>
        <w:t xml:space="preserve">8.11 Multi-Tenancy, Admin &amp; Billing (Phase 4 — designed)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Tenant provisioning, per-tenant branding, self-serve onboarding for new advisory firms.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Usage metering and billing (cost-plus on data/compute); admin console for support.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This is the </w:t>
      </w:r>
      <w:r>
        <w:rPr>
          <w:b/>
          <w:bCs/>
        </w:rPr>
        <w:t xml:space="preserve">public-release</w:t>
      </w:r>
      <w:r>
        <w:t xml:space="preserve"> form of the product: the same headless core, exposed to many firms.</w:t>
      </w:r>
    </w:p>
    <w:p>
      <w:r>
        <w:br w:type="page"/>
      </w:r>
    </w:p>
    <w:p>
      <w:pPr>
        <w:pStyle w:val="Heading1"/>
      </w:pPr>
      <w:r>
        <w:t xml:space="preserve">9. Calculation Engine — Business Rules</w:t>
      </w:r>
    </w:p>
    <w:p>
      <w:pPr>
        <w:spacing w:after="120" w:line="276"/>
      </w:pPr>
      <w:r>
        <w:t xml:space="preserve">These rules are the deterministic heart of the system and must be implemented exactly. They are covered by unit tests with worked examples drawn from the source material.</w:t>
      </w:r>
    </w:p>
    <w:p>
      <w:pPr>
        <w:pStyle w:val="Heading2"/>
      </w:pPr>
      <w:r>
        <w:t xml:space="preserve">9.1 SACS (cash-flow)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Excess to Private Reserve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Excess = Inflow − Outflow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Private Reserve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Target = (6 × monthly expenses) + Σ insurance deductibles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Outflow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Agreed monthly budget (rounded up to create a buffer); auto-transferred inflow→outflow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Floor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$1,000 minimum retained per bank account (constant)</w:t>
            </w:r>
          </w:p>
        </w:tc>
      </w:tr>
    </w:tbl>
    <w:p>
      <w:pPr>
        <w:pStyle w:val="Heading2"/>
      </w:pPr>
      <w:r>
        <w:t xml:space="preserve">9.2 TCC (net worth)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 1 Retirement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Σ of Client 1 retirement account balances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 2 Retirement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Σ of Client 2 retirement account balances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Non-Retirement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Σ of all non-retirement balances </w:t>
            </w:r>
            <w:r>
              <w:rPr>
                <w:b/>
                <w:bCs/>
              </w:rPr>
              <w:t xml:space="preserve">(excludes the trust)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Grand Total Net Worth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C1 Retirement + C2 Retirement + Non-Retirement + Trust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Liabilities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Σ of liabilities, shown </w:t>
            </w:r>
            <w:r>
              <w:rPr>
                <w:b/>
                <w:bCs/>
              </w:rPr>
              <w:t xml:space="preserve">separately — NOT subtracted</w:t>
            </w:r>
            <w:r>
              <w:t xml:space="preserve"> from net worth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Account balance vs cash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Investment account balance already includes its cash sub-balance (cash is shown, not added again)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B22222" w:sz="18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B22222"/>
              </w:rPr>
              <w:t xml:space="preserve">CRITICAL.  </w:t>
            </w:r>
            <w:r>
              <w:t xml:space="preserve">Two rules were emphasised repeatedly by the client and must be exact: the trust is NOT included in the non-retirement total (only in the grand total), and liabilities are NEVER subtracted from net worth. Unit tests assert both.</w:t>
            </w:r>
          </w:p>
        </w:tc>
      </w:tr>
    </w:tbl>
    <w:p>
      <w:pPr>
        <w:pStyle w:val="Heading2"/>
      </w:pPr>
      <w:r>
        <w:t xml:space="preserve">9.3 Worked example (TCC, illustrative)</w:t>
      </w:r>
    </w:p>
    <w:p>
      <w:pPr>
        <w:spacing w:after="120" w:line="276"/>
      </w:pPr>
      <w:r>
        <w:t xml:space="preserve">Retirement: IRA $11,000 + Roth IRA $15,000 = $26,000. Non-retirement: brokerage $50,000. Trust: house $450,000. Grand total = $526,000. Liability: mortgage $200,000 shown separately (net worth remains $526,000).</w:t>
      </w:r>
    </w:p>
    <w:p>
      <w:r>
        <w:br w:type="page"/>
      </w:r>
    </w:p>
    <w:p>
      <w:pPr>
        <w:pStyle w:val="Heading1"/>
      </w:pPr>
      <w:r>
        <w:t xml:space="preserve">10. PDF Rendering Approach</w:t>
      </w:r>
    </w:p>
    <w:p>
      <w:pPr>
        <w:spacing w:after="120" w:line="276"/>
      </w:pPr>
      <w:r>
        <w:t xml:space="preserve">The reports must match Andrew's existing templates exactly, never shift, and handle a variable number of account bubbles. The recommended approach is HTML/CSS templates rendered to PDF by WeasyPrint.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HTML/CSS templates → WeasyPrint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Precise, maintainable fixed layouts; easy brand styling; deterministic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Absolute-positioned SACS diagram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Bubbles &amp; arrows pinned to coordinates so nothing reflows with value length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Grid-driven TCC bubbles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fixed grid with N slots per quadrant; empty slots collapse cleanly; 1–6 accounts/spouse supported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Server-side fonts &amp; colours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Brand blue baked in; identical rendering across machines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ReportLab as fallback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If any layout proves hard in HTML, drop to programmatic drawing for that element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</w:pPr>
      <w:r>
        <w:t xml:space="preserve">Numbers are placed into fixed visual positions; long values shrink-to-fit within their box rather than pushing layout.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Header carries client name and report date on both reports.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Acceptance is visual parity against </w:t>
      </w:r>
      <w:r>
        <w:rPr>
          <w:b/>
          <w:bCs/>
        </w:rPr>
        <w:t xml:space="preserve">sample PDFs requested from the team</w:t>
      </w:r>
      <w:r>
        <w:t xml:space="preserve"> — these are the source of truth for exact placement.</w:t>
      </w:r>
    </w:p>
    <w:p>
      <w:r>
        <w:br w:type="page"/>
      </w:r>
    </w:p>
    <w:p>
      <w:pPr>
        <w:pStyle w:val="Heading1"/>
      </w:pPr>
      <w:r>
        <w:t xml:space="preserve">11. Integration Architecture (Phases 2+)</w:t>
      </w:r>
    </w:p>
    <w:p>
      <w:pPr>
        <w:spacing w:after="120" w:line="276"/>
      </w:pPr>
      <w:r>
        <w:t xml:space="preserve">Integrations are deliberately absent from V1 and introduced behind the provider interface and credential vault described in Section 6. The sequence is risk-ordered: easiest and safest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300"/>
        <w:gridCol w:w="2900"/>
        <w:gridCol w:w="2010"/>
      </w:tblGrid>
      <w:tr>
        <w:trPr>
          <w:tblHeader/>
        </w:trP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Integration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Why this order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PreciseFP one-time import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Read-only profile data; low risk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Zillow Zestimate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Single value; clearly an estimate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Plaid aggregation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Consented, read-only, replaces fragile RightCapital path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Schwab authorised-user read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High value but compliance-gated; per-user only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2/3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RightCapital (guarded)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Low-trust; only if Plaid migration is incomplete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2/3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Dropbox / Canva / email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Output-side conveniences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</w:tbl>
    <w:p>
      <w:pPr>
        <w:spacing w:after="120" w:line="276"/>
      </w:pPr>
      <w:r>
        <w:t xml:space="preserve">Credential handling: read-only scopes, per-user attribution, encrypted at rest in the vault, rotatable, revocable, and </w:t>
      </w:r>
      <w:r>
        <w:rPr>
          <w:b/>
          <w:bCs/>
        </w:rPr>
        <w:t xml:space="preserve">never shared with an AI agent as a standing login</w:t>
      </w:r>
      <w:r>
        <w:t xml:space="preserve">. A failed or stale pull degrades gracefully to manual entry with a clear flag.</w:t>
      </w:r>
    </w:p>
    <w:p>
      <w:r>
        <w:br w:type="page"/>
      </w:r>
    </w:p>
    <w:p>
      <w:pPr>
        <w:pStyle w:val="Heading1"/>
      </w:pPr>
      <w:r>
        <w:t xml:space="preserve">12. AI &amp; Agent Architecture (Phase 3)</w:t>
      </w:r>
    </w:p>
    <w:p>
      <w:pPr>
        <w:pStyle w:val="Heading2"/>
      </w:pPr>
      <w:r>
        <w:t xml:space="preserve">12.1 Where AI is — and is not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AI is </w:t>
      </w:r>
      <w:r>
        <w:rPr>
          <w:b/>
          <w:bCs/>
        </w:rPr>
        <w:t xml:space="preserve">never</w:t>
      </w:r>
      <w:r>
        <w:t xml:space="preserve"> in the numeric path. Totals are always deterministic and auditable.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AI assists at the edges: chasing onboarding inputs, extracting candidate values from documents, and flagging anomalies for human review.</w:t>
      </w:r>
    </w:p>
    <w:p>
      <w:pPr>
        <w:pStyle w:val="Heading2"/>
      </w:pPr>
      <w:r>
        <w:t xml:space="preserve">12.2 Governance &amp; guardrails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No-training guarantee: </w:t>
      </w:r>
      <w:r>
        <w:t xml:space="preserve">client data is processed under terms that prohibit using it to train third-party models.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Human-in-the-loop: </w:t>
      </w:r>
      <w:r>
        <w:t xml:space="preserve">agents propose; staff confirm before anything reaches a report.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Least data: </w:t>
      </w:r>
      <w:r>
        <w:t xml:space="preserve">agents receive only the fields needed for their task.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Full audit: </w:t>
      </w:r>
      <w:r>
        <w:t xml:space="preserve">every agent action and human decision is logged.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Compliance-aligned hosting: </w:t>
      </w:r>
      <w:r>
        <w:t xml:space="preserve">no model provider or tool forbidden by the firm's policy (e.g., consumer Google tooling) is used.</w:t>
      </w:r>
    </w:p>
    <w:p>
      <w:r>
        <w:br w:type="page"/>
      </w:r>
    </w:p>
    <w:p>
      <w:pPr>
        <w:pStyle w:val="Heading1"/>
      </w:pPr>
      <w:r>
        <w:t xml:space="preserve">13. Security, Privacy &amp; Compliance</w:t>
      </w:r>
    </w:p>
    <w:p>
      <w:pPr>
        <w:pStyle w:val="Heading2"/>
      </w:pPr>
      <w:r>
        <w:t xml:space="preserve">13.1 Data sensitivity</w:t>
      </w:r>
    </w:p>
    <w:p>
      <w:pPr>
        <w:spacing w:after="120" w:line="276"/>
      </w:pPr>
      <w:r>
        <w:t xml:space="preserve">The system holds PII and financial data: names, DOB, </w:t>
      </w:r>
      <w:r>
        <w:rPr>
          <w:b/>
          <w:bCs/>
        </w:rPr>
        <w:t xml:space="preserve">SSN last-4 only</w:t>
      </w:r>
      <w:r>
        <w:t xml:space="preserve"> (never full SSN), account types with last-4 numbers, balances, and net worth. It is a confidential system throughout.</w:t>
      </w:r>
    </w:p>
    <w:p>
      <w:pPr>
        <w:pStyle w:val="Heading2"/>
      </w:pPr>
      <w:r>
        <w:t xml:space="preserve">13.2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 transit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TLS everywhere; HSTS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At rest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Encrypted database volume; sensitive columns additionally encrypted (Phase 2 vault for credentials)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Role-based; least privilege; MFA on every account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Audit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Immutable log of logins, PII views, report generations, and (Phase 3) agent 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Secrets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Never in code; env vars (V1) → managed vault (Phase 2); rotatable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Data egress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 data sent to services the firm's compliance policy forbids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Backups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Encrypted, region-pinned, tested restore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Tenancy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Tenant key enforced in every query; isolation tested before Phase 4</w:t>
            </w:r>
          </w:p>
        </w:tc>
      </w:tr>
    </w:tbl>
    <w:p>
      <w:pPr>
        <w:pStyle w:val="Heading2"/>
      </w:pPr>
      <w:r>
        <w:t xml:space="preserve">13.3 Compliance posture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Honour the firm's stated constraints: </w:t>
      </w:r>
      <w:r>
        <w:rPr>
          <w:b/>
          <w:bCs/>
        </w:rPr>
        <w:t xml:space="preserve">no forbidden consumer tooling</w:t>
      </w:r>
      <w:r>
        <w:t xml:space="preserve">; Schwab/RightCapital credentials are not shared with agents; bank data stays on secure channels.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Hosting region pinned to satisfy data-residency expectations (confirm in Section 19).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path to </w:t>
      </w:r>
      <w:r>
        <w:rPr>
          <w:b/>
          <w:bCs/>
        </w:rPr>
        <w:t xml:space="preserve">SOC 2 Type II</w:t>
      </w:r>
      <w:r>
        <w:t xml:space="preserve"> is assumed for the Phase 4 public release; controls above are chosen to be compatible.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portal reports facts; it does not provide financial or tax advice, keeping it outside advice-specific regulatory scope.</w:t>
      </w:r>
    </w:p>
    <w:p>
      <w:r>
        <w:br w:type="page"/>
      </w:r>
    </w:p>
    <w:p>
      <w:pPr>
        <w:pStyle w:val="Heading1"/>
      </w:pPr>
      <w:r>
        <w:t xml:space="preserve">14.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Report generation (both PDFs) in &lt; 10 s; form interactions feel instant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V1: business-hours reliability on a single region. Phase 4: 99.9% target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Scalability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V1: tens of clients, 3 users. Architecture scales to thousands of clients across tenants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Usability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non-technical assistant completes a report unaided; clear validation and “use last value”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Accessibility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Legible type, sufficient contrast, keyboard-navigable forms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Maintainability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Headless calc/render core with high unit-test coverage; templates editable without code changes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Observability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Health checks, error logging, uptime monitoring (team-hosted)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Portability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SQLite→PostgreSQL migration path defined; no lock-in on the render core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Delivery Plan &amp; Milestones</w:t>
      </w:r>
    </w:p>
    <w:p>
      <w:pPr>
        <w:spacing w:after="120" w:line="276"/>
      </w:pPr>
      <w:r>
        <w:t xml:space="preserve">Indicative, assuming one engineer with part-time review; calendar starts on authorisation. Phases 2–4 are planning estimates for the forward view, not part of this authorisation.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4100"/>
        <w:gridCol w:w="16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Indicative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M1 Foundations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Data model, auth/RBAC, client &amp; account CRUD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Wk 1–2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M2 Engine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Calculation engine + full unit tests (Section 9)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Wk 2–3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M3 Reports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SACS &amp; TCC PDF templates to visual parity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Wk 3–5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M4 Workflow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Guided entry, validation, history, export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Wk 5–6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M5 V1 Launch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Hardening, UAT with the team, go-live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Wk 6–7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Integrations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PreciseFP, Zillow, Plaid; vault; Schwab (gated)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+4–6 wk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Agents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Onboarding &amp; extraction agents; distribution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+6–8 wk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SaaS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Multi-tenancy, billing, self-serve, SOC 2 path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Quarter-scale</w:t>
            </w:r>
          </w:p>
        </w:tc>
      </w:tr>
    </w:tbl>
    <w:p>
      <w:pPr>
        <w:spacing w:after="120" w:line="276"/>
      </w:pPr>
      <w:r>
        <w:t xml:space="preserve">Prototype of V1 can be demonstrated within roughly </w:t>
      </w:r>
      <w:r>
        <w:rPr>
          <w:b/>
          <w:bCs/>
        </w:rPr>
        <w:t xml:space="preserve">one week</w:t>
      </w:r>
      <w:r>
        <w:t xml:space="preserve"> of authorisation, with full V1 around six to seven weeks.</w:t>
      </w:r>
    </w:p>
    <w:p>
      <w:r>
        <w:br w:type="page"/>
      </w:r>
    </w:p>
    <w:p>
      <w:pPr>
        <w:pStyle w:val="Heading1"/>
      </w:pPr>
      <w:r>
        <w:t xml:space="preserve">16. Effort, Cost &amp; Commercial Model</w:t>
      </w:r>
    </w:p>
    <w:p>
      <w:pPr>
        <w:spacing w:after="120" w:line="276"/>
      </w:pPr>
      <w:r>
        <w:t xml:space="preserve">Costs are indicative and should be confirmed against the prevailing commercial agreement.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Basis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V1 build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Flat per-build fee (“one credit,” ≈ $500 under the current plan); ~6–7 weeks effort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Hosting &amp; ops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Provider hosts, monitors uptime, and fixes defects (included in membership)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Usage (Phase 2+)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Metered data/compute at cost + ~20%; framed as tens of dollars/month at this scale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Membership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Monthly plan under which credits are issued and apps are hosted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Phases 2–4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Each is a separate build/credit decision; estimated in Section 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5E8C" w:sz="18"/>
              <w:bottom w:val="single" w:color="CCCCCC" w:sz="1"/>
              <w:right w:val="single" w:color="CCCCCC" w:sz="1"/>
            </w:tcBorders>
            <w:shd w:fill="E8F1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2E5E8C"/>
              </w:rPr>
              <w:t xml:space="preserve">VALUE FRAME.  </w:t>
            </w:r>
            <w:r>
              <w:t xml:space="preserve">At ~6 clients × 4 quarters, V1 saves on the order of 20+ staff-days/year and removes a recurring error class. The larger prize is capacity: serving 12+ clients (and, via Phase 4, an external market) without proportional hiring.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Risks, Assumptions &amp; Dependencies</w:t>
      </w:r>
    </w:p>
    <w:p>
      <w:pPr>
        <w:pStyle w:val="Heading2"/>
      </w:pPr>
      <w:r>
        <w:t xml:space="preserve">17.1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1400"/>
        <w:gridCol w:w="38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Exact visual parity with templates is fiddly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Request sample PDFs up front; HTML/CSS + ReportLab fallback; UAT sign-off on layout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Unverified firm/identity 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Treat as placeholders; confirm before client-facing use (17.2)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Scope creep from “dreaming big” 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Phase boundaries; one block at a time; Section 19 decisions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Compliance limits on data sources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By design, those stay manual until safe; no forced automation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RightCapital data unreliable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Low-trust adapter; prefer Plaid; manual override always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PII exposure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Encryption, RBAC, MFA, audit, SSN last-4 only, region pinning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Single-engineer key-person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High test coverage; documented headless core; simple stack</w:t>
            </w:r>
          </w:p>
        </w:tc>
      </w:tr>
    </w:tbl>
    <w:p>
      <w:pPr>
        <w:pStyle w:val="Heading2"/>
      </w:pPr>
      <w:r>
        <w:t xml:space="preserve">17.2 Assumptions to confirm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Firm name, legal entity, and city (attributed to web research, not stated on the call) are unverified placeholders.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Sample SACS/TCC PDFs and the “Data Point List” document will be provided as the layout source of truth.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Current cadence is quarterly; monthly distribution is a future option, off by default.</w:t>
      </w:r>
    </w:p>
    <w:p>
      <w:pPr>
        <w:pStyle w:val="Heading2"/>
      </w:pPr>
      <w:r>
        <w:t xml:space="preserve">17.3 Dependencies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Timely access to the team for UAT and business-rule confirmation.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Provider accounts/credentials for Phase 2 (Plaid, PreciseFP, etc.) when those phases are authorised.</w:t>
      </w:r>
    </w:p>
    <w:p>
      <w:r>
        <w:br w:type="page"/>
      </w:r>
    </w:p>
    <w:p>
      <w:pPr>
        <w:pStyle w:val="Heading1"/>
      </w:pPr>
      <w:r>
        <w:t xml:space="preserve">18. Acceptance Criteria &amp; Definition of Done (V1)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client (single or married) can be created with full profile, accounts, liabilities, trust, and static financials.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Generate Report pre-fills static data and presents a validated entry form with “use last value” and override.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report cannot be generated with missing required fields.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All SACS &amp; TCC totals match Section 9 exactly, verified by unit tests including the emphasised rules (trust handling; liabilities not subtracted).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SACS and TCC PDFs match the sample templates to the team's visual satisfaction; layout is stable across value sizes and account counts (1–6 per spouse).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PDFs download cleanly; Canva export works if authorised; prior reports can be re-downloaded if storage is enabled.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Auth, RBAC, MFA, and audit logging are in place; security checklist (Section 13) passes.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team completes a real quarterly report end-to-end in under an hour during UAT.</w:t>
      </w:r>
    </w:p>
    <w:p>
      <w:r>
        <w:br w:type="page"/>
      </w:r>
    </w:p>
    <w:p>
      <w:pPr>
        <w:pStyle w:val="Heading1"/>
      </w:pPr>
      <w:r>
        <w:t xml:space="preserve">19. Open Decisions Requiring Authorisation</w:t>
      </w:r>
    </w:p>
    <w:p>
      <w:pPr>
        <w:spacing w:after="120" w:line="276"/>
      </w:pPr>
      <w:r>
        <w:t xml:space="preserve">These are product/owner calls. Defaults are proposed so silence does not block the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Options / proposed 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Canva 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Build now vs defer. Default: defer; portal PDF first (client said they’d rather not use Canva/Word at 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PM/Owner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Report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Store report history vs generate-and-forget. Default: store (enables history &amp; audit)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PM/Owner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Dropbox auto-save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 V1 vs later. Default: later (lightweight to add once confirmed)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PM/Owner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Monthly email distribution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Build vs defer. Default: defer (firm reports quarterly)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PM/Owner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Hosting region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Confirm region for data residency/compliance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Owner +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Identity placeholders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Confirm firm name/entity/city before client-facing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Phase 2 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When to authorise automated integrations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Exec Sponsor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20. Authorisation &amp; Sign-Off</w:t>
      </w:r>
    </w:p>
    <w:p>
      <w:pPr>
        <w:spacing w:after="120" w:line="276"/>
      </w:pPr>
      <w:r>
        <w:t xml:space="preserve">By signing below, the Product Owner / Owner authorises the </w:t>
      </w:r>
      <w:r>
        <w:rPr>
          <w:b/>
          <w:bCs/>
        </w:rPr>
        <w:t xml:space="preserve">Phase 1 (V1)</w:t>
      </w:r>
      <w:r>
        <w:t xml:space="preserve"> build as scoped in Sections 5, 8, 9 and 18, acknowledges the forward roadmap (Sections 4 &amp; 15) including the intent to productise later phases for public release, and records decisions on the items in Section 19. Executive sponsors sign to confirm evaluation and funding support.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80"/>
        <w:gridCol w:w="16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Signature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Product Owner / 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220"/>
            </w:pPr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Product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220"/>
            </w:pPr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220"/>
            </w:pPr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Engineering Lead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220"/>
            </w:pPr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Compliance / 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220"/>
            </w:pPr>
            <w: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Authorisation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Mark 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E7D32"/>
              </w:rPr>
              <w:t xml:space="preserve">APPROVED — proceed with V1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26A00"/>
              </w:rPr>
              <w:t xml:space="preserve">APPROVED WITH CHANGES (note below)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B22222"/>
              </w:rPr>
              <w:t xml:space="preserve">NOT APPROVED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spacing w:before="160"/>
      </w:pPr>
      <w:r>
        <w:rPr>
          <w:b/>
          <w:bCs/>
        </w:rPr>
        <w:t xml:space="preserve">Notes / conditions:</w:t>
      </w:r>
    </w:p>
    <w:p>
      <w:pPr>
        <w:pBdr>
          <w:bottom w:val="single" w:color="CCCCCC" w:sz="4" w:space="6"/>
        </w:pBdr>
        <w:spacing w:before="260"/>
      </w:pPr>
      <w:r>
        <w:t xml:space="preserve"/>
      </w:r>
    </w:p>
    <w:p>
      <w:pPr>
        <w:pBdr>
          <w:bottom w:val="single" w:color="CCCCCC" w:sz="4" w:space="6"/>
        </w:pBdr>
        <w:spacing w:before="2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SACS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Simple Automated Cash Flow — one-page diagram of monthly money flow (Inflow → Outflow → Private Reserve)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TCC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Total Client Chart — one-page net-worth overview by account type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Inflow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Take-home pay deposited to the primary checking account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Outflow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Agreed monthly expense budget (rounded up) transferred from inflow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Private Reserve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High-yield savings holding the excess; target = 6 × expenses + insurance deductibles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Trust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Usually the client’s home; value from Zillow Zestimate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Floor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$1,000 minimum kept in each bank account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Pinnacle Bank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Preferred bank; balances via secure email 2 days before meetings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RightCapital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Planning aggregator; has an API but data is often stale/disconnected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PreciseFP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Onboarding questionnaire tool; closest existing thing to a CRM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Plaid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Bank/investment data aggregation API (preferred automation path)</w:t>
            </w:r>
          </w:p>
        </w:tc>
      </w:tr>
    </w:tbl>
    <w:p>
      <w:pPr>
        <w:pStyle w:val="Heading1"/>
      </w:pPr>
      <w:r>
        <w:t xml:space="preserve">Appendix B — Data-Point to Source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Source (V1 = manual entry)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Client salary (inflow)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Onboarding / expense worksheet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Monthly expense budget (outflow)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Monthly expense worksheet (Excel)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Private reserve balance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Bank balance (secure email, 2 days prior)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Schwab investment balance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SACS/TCC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Schwab (authorised users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Reserve target inputs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Agreed: 6× expenses + insurance deductibles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Names, DOB, SSN last-4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TCC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PreciseFP / onboarding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Retirement balances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TCC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RightCapital / statements / Schwab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Non-retirement balances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TCC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RightCapital / statements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Home value (trust)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TCC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Zillow Zestimate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Liabilities (type, rate, balance)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TCC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RightCapital / client statements</w:t>
            </w:r>
          </w:p>
        </w:tc>
      </w:tr>
    </w:tbl>
    <w:p>
      <w:pPr>
        <w:pStyle w:val="Heading1"/>
      </w:pPr>
      <w:r>
        <w:t xml:space="preserve">Appendix C — Traceability (requirement → source)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80"/>
        <w:gridCol w:w="348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PRD / call ref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Spec section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One-time client setup / CRM-lite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US1; call 35:44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8.1, 7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Guided entry + auto-calculation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US2; call 25:36, 33:34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8.2, 8.3, 9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Exact calc rules (trust, liabilities)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US2 notes; call 24:28, 26:15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9.2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Fixed-layout SACS &amp; TCC PDFs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US3; call 11:15, 13:57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8.4, 10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Export (PDF / Canva)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US4; call 52:56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8.5, 19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 APIs / no AI in V1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PRD stack note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3.3, 6.3, 11, 12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Automated pulls deferred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Out-of-scope; call 48:14, 49:06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8.7, 11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Onboarding agent / distribution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Future; call 16:15, 43:36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8.8, 8.10</w:t>
            </w:r>
          </w:p>
        </w:tc>
      </w:tr>
    </w:tbl>
    <w:p>
      <w:pPr>
        <w:pStyle w:val="Heading1"/>
      </w:pPr>
      <w:r>
        <w:t xml:space="preserve">Appendix D — Source Artifacts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PRD: “PRD AI Engineer Test.pdf” (v1.0, 2026-04-09) — 14 pages.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Discovery call recording: “AW - AI Test Project.mp4” (2026-04-01, ~55 min) + a prior call referenced therein.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Derived analysis reports: “AW_AI_Test_Project_Report.md” and “PRD_AI_Engineer_Test_Report.md”.</w:t>
      </w:r>
    </w:p>
    <w:p>
      <w:pPr>
        <w:spacing w:after="40"/>
      </w:pPr>
      <w:r>
        <w:t xml:space="preserve"/>
      </w:r>
    </w:p>
    <w:p>
      <w:pPr>
        <w:pBdr>
          <w:top w:val="single" w:color="2E5E8C" w:sz="6" w:space="8"/>
        </w:pBdr>
        <w:spacing w:before="240"/>
        <w:jc w:val="center"/>
      </w:pPr>
      <w:r>
        <w:rPr>
          <w:color w:val="595959"/>
          <w:sz w:val="18"/>
          <w:szCs w:val="18"/>
        </w:rPr>
        <w:t xml:space="preserve">END OF SPECIFICATION  •  CONFIDENTIAL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center" w:pos="4680"/>
        <w:tab w:val="right" w:pos="9360"/>
      </w:tabs>
    </w:pPr>
    <w:r>
      <w:rPr>
        <w:color w:val="595959"/>
        <w:sz w:val="16"/>
        <w:szCs w:val="16"/>
      </w:rPr>
      <w:t xml:space="preserve">v1.0 — 18 Jun 2026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6"/>
        <w:szCs w:val="16"/>
      </w:rPr>
      <w:t xml:space="preserve">	Draft for authorisation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  <w:spacing w:after="60"/>
    </w:pPr>
    <w:r>
      <w:rPr>
        <w:color w:val="595959"/>
        <w:sz w:val="16"/>
        <w:szCs w:val="16"/>
      </w:rPr>
      <w:t xml:space="preserve">Technical Specification — AW Client Report Portal</w:t>
    </w:r>
    <w:r>
      <w:rPr>
        <w:b/>
        <w:bCs/>
        <w:color w:val="B22222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D3E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00"/>
      <w:outlineLvl w:val="1"/>
    </w:pPr>
    <w:rPr>
      <w:rFonts w:ascii="Arial" w:cs="Arial" w:eastAsia="Arial" w:hAnsi="Arial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70" w:before="140"/>
      <w:outlineLvl w:val="2"/>
    </w:pPr>
    <w:rPr>
      <w:rFonts w:ascii="Arial" w:cs="Arial" w:eastAsia="Arial" w:hAnsi="Arial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Specification — AW Client Report Portal</dc:title>
  <dc:creator>Engineering (AI Practice)</dc:creator>
  <dc:description>Exec-facing technical specification for the AW Client Report Portal</dc:description>
  <cp:lastModifiedBy>Un-named</cp:lastModifiedBy>
  <cp:revision>1</cp:revision>
  <dcterms:created xsi:type="dcterms:W3CDTF">2026-06-18T09:35:31.410Z</dcterms:created>
  <dcterms:modified xsi:type="dcterms:W3CDTF">2026-06-18T09:35:31.411Z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