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36DBE" w14:textId="087D9125" w:rsidR="00CB46D7" w:rsidRPr="00CB46D7" w:rsidRDefault="00CB46D7">
      <w:r w:rsidRPr="00CB46D7">
        <w:t>Bianca A. Hernandez Excel HW</w:t>
      </w:r>
      <w:r w:rsidR="001C4B28">
        <w:t>1</w:t>
      </w:r>
    </w:p>
    <w:p w14:paraId="69F83D90" w14:textId="1675712C" w:rsidR="00931910" w:rsidRPr="00597054" w:rsidRDefault="000C2589">
      <w:pPr>
        <w:rPr>
          <w:b/>
          <w:bCs/>
        </w:rPr>
      </w:pPr>
      <w:r w:rsidRPr="00597054">
        <w:rPr>
          <w:b/>
          <w:bCs/>
        </w:rPr>
        <w:t>Introduction</w:t>
      </w:r>
    </w:p>
    <w:p w14:paraId="583E9997" w14:textId="61FFD44F" w:rsidR="00931910" w:rsidRDefault="00931910" w:rsidP="00931910">
      <w: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73052C91" w14:textId="77777777" w:rsidR="000C2589" w:rsidRDefault="00931910" w:rsidP="00931910">
      <w:r>
        <w:t xml:space="preserve">Getting funded on Kickstarter requires meeting or exceeding the project's initial goal, so many organizations spend months looking through past projects in an attempt to discover some trick for finding success. </w:t>
      </w:r>
    </w:p>
    <w:p w14:paraId="487F0033" w14:textId="77777777" w:rsidR="00927B37" w:rsidRPr="00597054" w:rsidRDefault="00927B37" w:rsidP="00927B37">
      <w:pPr>
        <w:rPr>
          <w:b/>
          <w:bCs/>
        </w:rPr>
      </w:pPr>
      <w:r w:rsidRPr="00597054">
        <w:rPr>
          <w:b/>
          <w:bCs/>
        </w:rPr>
        <w:t>Objectives</w:t>
      </w:r>
    </w:p>
    <w:p w14:paraId="4B378170" w14:textId="77777777" w:rsidR="00927B37" w:rsidRDefault="00927B37" w:rsidP="00927B37">
      <w:pPr>
        <w:pStyle w:val="ListParagraph"/>
        <w:numPr>
          <w:ilvl w:val="0"/>
          <w:numId w:val="2"/>
        </w:numPr>
      </w:pPr>
      <w:r>
        <w:t xml:space="preserve">Analyze relationship between categories and subcategories to campaign status (“live”, “canceled”, “failed” and “successful” (Fig. 1&amp;2). </w:t>
      </w:r>
    </w:p>
    <w:p w14:paraId="2B6D8885" w14:textId="77777777" w:rsidR="00927B37" w:rsidRDefault="00927B37" w:rsidP="00927B37">
      <w:pPr>
        <w:pStyle w:val="ListParagraph"/>
        <w:numPr>
          <w:ilvl w:val="0"/>
          <w:numId w:val="2"/>
        </w:numPr>
      </w:pPr>
      <w:r>
        <w:t xml:space="preserve">Analyze the relationship between time of year and campaign status (Fig.3). </w:t>
      </w:r>
    </w:p>
    <w:p w14:paraId="241B2033" w14:textId="77777777" w:rsidR="00927B37" w:rsidRDefault="00927B37" w:rsidP="00927B37">
      <w:pPr>
        <w:pStyle w:val="ListParagraph"/>
        <w:numPr>
          <w:ilvl w:val="0"/>
          <w:numId w:val="2"/>
        </w:numPr>
      </w:pPr>
      <w:r>
        <w:t>Analyze the relationship between the number of outcomes and the percentage of campaign status (Fig. 4).</w:t>
      </w:r>
    </w:p>
    <w:p w14:paraId="14C99E63" w14:textId="35D376F2" w:rsidR="00927B37" w:rsidRPr="00927B37" w:rsidRDefault="00927B37" w:rsidP="00931910">
      <w:pPr>
        <w:rPr>
          <w:b/>
          <w:bCs/>
        </w:rPr>
      </w:pPr>
      <w:r>
        <w:rPr>
          <w:b/>
          <w:bCs/>
        </w:rPr>
        <w:t>Methods</w:t>
      </w:r>
    </w:p>
    <w:p w14:paraId="552A02AD" w14:textId="511C4192" w:rsidR="00597054" w:rsidRDefault="00CB46D7" w:rsidP="00931910">
      <w:r>
        <w:t xml:space="preserve">The </w:t>
      </w:r>
      <w:r w:rsidR="000C2589">
        <w:t xml:space="preserve">dataset consisted of approximately 4,000 projects. </w:t>
      </w:r>
      <w:r>
        <w:t>It was</w:t>
      </w:r>
      <w:r w:rsidR="000C2589">
        <w:t xml:space="preserve"> cleaned by separating “Category” and “Sub-category”,</w:t>
      </w:r>
      <w:r w:rsidR="00597054">
        <w:t xml:space="preserve"> a</w:t>
      </w:r>
      <w:r w:rsidR="000C2589">
        <w:t>dded the following columns</w:t>
      </w:r>
      <w:r w:rsidR="00150835">
        <w:t xml:space="preserve">: </w:t>
      </w:r>
      <w:r w:rsidR="000C2589">
        <w:t>“Percent</w:t>
      </w:r>
      <w:r w:rsidR="00F769D6">
        <w:t xml:space="preserve"> Funded” and “Average Donation”</w:t>
      </w:r>
      <w:r w:rsidR="00597054">
        <w:t xml:space="preserve"> and converted Unix timestamps to normal dates. </w:t>
      </w:r>
    </w:p>
    <w:p w14:paraId="1E65D8EF" w14:textId="1912BADE" w:rsidR="001F4821" w:rsidRDefault="00597054">
      <w:r>
        <w:t xml:space="preserve">All analyses were conducted in Microsoft Excel. </w:t>
      </w:r>
    </w:p>
    <w:p w14:paraId="7E979390" w14:textId="2E3B29CA" w:rsidR="00597054" w:rsidRPr="00597054" w:rsidRDefault="00597054">
      <w:pPr>
        <w:rPr>
          <w:b/>
          <w:bCs/>
        </w:rPr>
      </w:pPr>
      <w:r w:rsidRPr="00597054">
        <w:rPr>
          <w:b/>
          <w:bCs/>
        </w:rPr>
        <w:t>Conclusions</w:t>
      </w:r>
    </w:p>
    <w:p w14:paraId="03CA9667" w14:textId="2843A808" w:rsidR="005A55D3" w:rsidRDefault="00AE045A" w:rsidP="00043E4F">
      <w:pPr>
        <w:pStyle w:val="ListParagraph"/>
        <w:numPr>
          <w:ilvl w:val="0"/>
          <w:numId w:val="1"/>
        </w:numPr>
      </w:pPr>
      <w:r>
        <w:t>T</w:t>
      </w:r>
      <w:r w:rsidRPr="00AE045A">
        <w:t xml:space="preserve">here </w:t>
      </w:r>
      <w:r w:rsidR="0039478D">
        <w:t>were</w:t>
      </w:r>
      <w:r w:rsidRPr="00AE045A">
        <w:t xml:space="preserve"> generally more Kickstarter campaigns </w:t>
      </w:r>
      <w:r>
        <w:t xml:space="preserve">that </w:t>
      </w:r>
      <w:r w:rsidR="0039478D">
        <w:t>were</w:t>
      </w:r>
      <w:r>
        <w:t xml:space="preserve"> successful</w:t>
      </w:r>
      <w:r w:rsidRPr="00AE045A">
        <w:t xml:space="preserve"> than c</w:t>
      </w:r>
      <w:r>
        <w:t>ampaigns that failed</w:t>
      </w:r>
      <w:r w:rsidR="007E3C9E">
        <w:t xml:space="preserve"> (Fig. 1)</w:t>
      </w:r>
      <w:r w:rsidRPr="00AE045A">
        <w:t>.</w:t>
      </w:r>
      <w:r w:rsidR="005A55D3">
        <w:t xml:space="preserve"> When examining categories and </w:t>
      </w:r>
      <w:r w:rsidR="007E3C9E">
        <w:t xml:space="preserve">campaign </w:t>
      </w:r>
      <w:r w:rsidR="005A55D3">
        <w:t>status</w:t>
      </w:r>
      <w:r>
        <w:t xml:space="preserve">, there were more </w:t>
      </w:r>
      <w:r w:rsidR="005A55D3">
        <w:t>“</w:t>
      </w:r>
      <w:r>
        <w:t>successful</w:t>
      </w:r>
      <w:r w:rsidR="005A55D3">
        <w:t>”</w:t>
      </w:r>
      <w:r>
        <w:t xml:space="preserve"> campaigns (1.4 times) </w:t>
      </w:r>
      <w:r w:rsidR="005A55D3">
        <w:t>when comp</w:t>
      </w:r>
      <w:r w:rsidR="0039478D">
        <w:t>are</w:t>
      </w:r>
      <w:r w:rsidR="005A55D3">
        <w:t>d to “failed” campaigns</w:t>
      </w:r>
      <w:r w:rsidR="00CB46D7">
        <w:t>;</w:t>
      </w:r>
      <w:r w:rsidR="005A55D3">
        <w:t xml:space="preserve"> and</w:t>
      </w:r>
      <w:r w:rsidR="00CB46D7">
        <w:t>,</w:t>
      </w:r>
      <w:r w:rsidR="005A55D3">
        <w:t xml:space="preserve"> even </w:t>
      </w:r>
      <w:r>
        <w:t>more successful campaigns (</w:t>
      </w:r>
      <w:r w:rsidR="005A55D3">
        <w:t>6 times and 44 times) when comp</w:t>
      </w:r>
      <w:r w:rsidR="0039478D">
        <w:t>are</w:t>
      </w:r>
      <w:r w:rsidR="005A55D3">
        <w:t>d to “canceled” and “live” campaigns, respectively</w:t>
      </w:r>
      <w:r w:rsidR="007E3C9E">
        <w:t xml:space="preserve">. </w:t>
      </w:r>
    </w:p>
    <w:p w14:paraId="0DF8A372" w14:textId="2F8E95B8" w:rsidR="007E6CB6" w:rsidRDefault="007E6CB6" w:rsidP="00084D1D">
      <w:pPr>
        <w:pStyle w:val="ListParagraph"/>
        <w:numPr>
          <w:ilvl w:val="0"/>
          <w:numId w:val="1"/>
        </w:numPr>
      </w:pPr>
      <w:r>
        <w:t xml:space="preserve">The categories with the highest success percentages </w:t>
      </w:r>
      <w:r w:rsidR="0039478D">
        <w:t>were</w:t>
      </w:r>
      <w:r>
        <w:t xml:space="preserve"> </w:t>
      </w:r>
      <w:r w:rsidR="002349FF">
        <w:t>“</w:t>
      </w:r>
      <w:r>
        <w:t>music</w:t>
      </w:r>
      <w:r w:rsidR="002349FF">
        <w:t>”</w:t>
      </w:r>
      <w:r>
        <w:t xml:space="preserve"> (77%), </w:t>
      </w:r>
      <w:r w:rsidR="002349FF">
        <w:t>“</w:t>
      </w:r>
      <w:r>
        <w:t>theater</w:t>
      </w:r>
      <w:r w:rsidR="002349FF">
        <w:t>”</w:t>
      </w:r>
      <w:r>
        <w:t xml:space="preserve"> (60%) and </w:t>
      </w:r>
      <w:r w:rsidR="002349FF">
        <w:t>“</w:t>
      </w:r>
      <w:r>
        <w:t>film and video</w:t>
      </w:r>
      <w:r w:rsidR="002349FF">
        <w:t>”</w:t>
      </w:r>
      <w:r>
        <w:t xml:space="preserve"> (58%). The lowest success percentages </w:t>
      </w:r>
      <w:r w:rsidR="0039478D">
        <w:t>were</w:t>
      </w:r>
      <w:r>
        <w:t xml:space="preserve"> </w:t>
      </w:r>
      <w:r w:rsidR="002349FF">
        <w:t>“</w:t>
      </w:r>
      <w:r>
        <w:t>food</w:t>
      </w:r>
      <w:r w:rsidR="002349FF">
        <w:t>”</w:t>
      </w:r>
      <w:r>
        <w:t xml:space="preserve"> (17%), </w:t>
      </w:r>
      <w:r w:rsidR="002349FF">
        <w:t>“</w:t>
      </w:r>
      <w:r>
        <w:t>publishing</w:t>
      </w:r>
      <w:r w:rsidR="002349FF">
        <w:t>”</w:t>
      </w:r>
      <w:r>
        <w:t xml:space="preserve"> (34%) and </w:t>
      </w:r>
      <w:r w:rsidR="002349FF">
        <w:t>“</w:t>
      </w:r>
      <w:r>
        <w:t>technology</w:t>
      </w:r>
      <w:r w:rsidR="002349FF">
        <w:t>”</w:t>
      </w:r>
      <w:r>
        <w:t xml:space="preserve"> (35%). </w:t>
      </w:r>
      <w:r w:rsidR="002349FF">
        <w:t>It’s also important to note that although the category “theater” was placed in the top three success percentages, it also experienced the most failed campaigns</w:t>
      </w:r>
      <w:r w:rsidR="0039478D">
        <w:t xml:space="preserve"> (~60</w:t>
      </w:r>
      <w:proofErr w:type="gramStart"/>
      <w:r w:rsidR="0039478D">
        <w:t xml:space="preserve">% </w:t>
      </w:r>
      <w:r w:rsidR="00CB46D7">
        <w:t xml:space="preserve"> of</w:t>
      </w:r>
      <w:proofErr w:type="gramEnd"/>
      <w:r w:rsidR="00CB46D7">
        <w:t xml:space="preserve"> campaigns were categorized as </w:t>
      </w:r>
      <w:r w:rsidR="0039478D">
        <w:t>“fail</w:t>
      </w:r>
      <w:r w:rsidR="00CB46D7">
        <w:t>,</w:t>
      </w:r>
      <w:r w:rsidR="0039478D">
        <w:t>”</w:t>
      </w:r>
      <w:r w:rsidR="00CB46D7">
        <w:t xml:space="preserve"> </w:t>
      </w:r>
      <w:r w:rsidR="0039478D">
        <w:t>ouch!).</w:t>
      </w:r>
      <w:r w:rsidR="002349FF">
        <w:t xml:space="preserve"> </w:t>
      </w:r>
    </w:p>
    <w:p w14:paraId="74AB68B0" w14:textId="55182C86" w:rsidR="007E3C9E" w:rsidRDefault="007E3C9E" w:rsidP="00084D1D">
      <w:pPr>
        <w:pStyle w:val="ListParagraph"/>
        <w:numPr>
          <w:ilvl w:val="0"/>
          <w:numId w:val="1"/>
        </w:numPr>
      </w:pPr>
      <w:r>
        <w:t xml:space="preserve">The subcategories with the highest success rates </w:t>
      </w:r>
      <w:r w:rsidR="00597054">
        <w:t xml:space="preserve">(100%) </w:t>
      </w:r>
      <w:r>
        <w:t xml:space="preserve">include: Rock (Music), Documentaries (Film &amp; Video) and Hardware (Technology).  </w:t>
      </w:r>
    </w:p>
    <w:p w14:paraId="16A2FE78" w14:textId="52FB95E5" w:rsidR="0039478D" w:rsidRDefault="00597054" w:rsidP="00043E4F">
      <w:pPr>
        <w:pStyle w:val="ListParagraph"/>
        <w:numPr>
          <w:ilvl w:val="0"/>
          <w:numId w:val="1"/>
        </w:numPr>
      </w:pPr>
      <w:r>
        <w:t xml:space="preserve">The </w:t>
      </w:r>
      <w:r w:rsidR="00EE1B1D">
        <w:t xml:space="preserve">most successful campaigns were initiated </w:t>
      </w:r>
      <w:r w:rsidR="00043E4F">
        <w:t xml:space="preserve">in </w:t>
      </w:r>
      <w:r w:rsidR="00EE1B1D">
        <w:t>May</w:t>
      </w:r>
      <w:r w:rsidR="007E3C9E">
        <w:t xml:space="preserve"> (Fig. 3)</w:t>
      </w:r>
      <w:r w:rsidR="00EE1B1D">
        <w:t xml:space="preserve">. </w:t>
      </w:r>
    </w:p>
    <w:p w14:paraId="734373A4" w14:textId="7908FA31" w:rsidR="00043E4F" w:rsidRDefault="00597054" w:rsidP="00043E4F">
      <w:pPr>
        <w:pStyle w:val="ListParagraph"/>
        <w:numPr>
          <w:ilvl w:val="0"/>
          <w:numId w:val="1"/>
        </w:numPr>
      </w:pPr>
      <w:r>
        <w:t xml:space="preserve">There </w:t>
      </w:r>
      <w:r w:rsidR="00927B37">
        <w:t xml:space="preserve">was </w:t>
      </w:r>
      <w:r w:rsidR="007E3C9E">
        <w:t xml:space="preserve">a decline in successful campaigns as project goals increased in range (Fig. 4). </w:t>
      </w:r>
    </w:p>
    <w:p w14:paraId="0B637D59" w14:textId="28E587BA" w:rsidR="00597054" w:rsidRPr="00597054" w:rsidRDefault="00597054">
      <w:pPr>
        <w:rPr>
          <w:b/>
          <w:bCs/>
        </w:rPr>
      </w:pPr>
      <w:r w:rsidRPr="00597054">
        <w:rPr>
          <w:b/>
          <w:bCs/>
        </w:rPr>
        <w:t>Limitations</w:t>
      </w:r>
    </w:p>
    <w:p w14:paraId="06605F4F" w14:textId="6E37EB42" w:rsidR="00597054" w:rsidRDefault="00597054" w:rsidP="00597054">
      <w:pPr>
        <w:pStyle w:val="ListParagraph"/>
        <w:numPr>
          <w:ilvl w:val="0"/>
          <w:numId w:val="3"/>
        </w:numPr>
      </w:pPr>
      <w:r>
        <w:t>Th</w:t>
      </w:r>
      <w:r w:rsidR="00CB46D7">
        <w:t xml:space="preserve">e </w:t>
      </w:r>
      <w:r>
        <w:t>dataset only represent</w:t>
      </w:r>
      <w:r w:rsidR="00150835">
        <w:t>ed</w:t>
      </w:r>
      <w:r>
        <w:t xml:space="preserve"> a</w:t>
      </w:r>
      <w:r w:rsidR="00CB46D7">
        <w:t>pproximately</w:t>
      </w:r>
      <w:r>
        <w:t xml:space="preserve"> 1% of the </w:t>
      </w:r>
      <w:r w:rsidR="00927B37">
        <w:t>total conducted number of Kickstarter campaigns which may not be representative of all the campaigns</w:t>
      </w:r>
      <w:r w:rsidR="00CB46D7">
        <w:t xml:space="preserve"> in Kickstarter</w:t>
      </w:r>
      <w:r w:rsidR="00927B37">
        <w:t xml:space="preserve">.  </w:t>
      </w:r>
    </w:p>
    <w:p w14:paraId="3CB390E7" w14:textId="2DAF636B" w:rsidR="00597054" w:rsidRDefault="00597054" w:rsidP="00597054">
      <w:pPr>
        <w:pStyle w:val="ListParagraph"/>
        <w:numPr>
          <w:ilvl w:val="0"/>
          <w:numId w:val="3"/>
        </w:numPr>
      </w:pPr>
      <w:r>
        <w:lastRenderedPageBreak/>
        <w:t xml:space="preserve">The </w:t>
      </w:r>
      <w:r w:rsidR="00EE1B1D">
        <w:t xml:space="preserve">only geographic data that was provided was of countries; although most campaigns originated from the U.S. </w:t>
      </w:r>
    </w:p>
    <w:p w14:paraId="20916DC0" w14:textId="77777777" w:rsidR="00927B37" w:rsidRPr="00927B37" w:rsidRDefault="00597054" w:rsidP="00927B37">
      <w:pPr>
        <w:pStyle w:val="ListParagraph"/>
        <w:numPr>
          <w:ilvl w:val="0"/>
          <w:numId w:val="3"/>
        </w:numPr>
        <w:rPr>
          <w:b/>
          <w:bCs/>
        </w:rPr>
      </w:pPr>
      <w:r>
        <w:t>B</w:t>
      </w:r>
      <w:r w:rsidR="00EE1B1D">
        <w:t xml:space="preserve">acker information is limited to only the # of backers and does not include factors such as age, sex, etc. </w:t>
      </w:r>
    </w:p>
    <w:p w14:paraId="78DFD436" w14:textId="3CF2552B" w:rsidR="00150835" w:rsidRDefault="00927B37" w:rsidP="00150835">
      <w:pPr>
        <w:ind w:left="360"/>
        <w:rPr>
          <w:b/>
          <w:bCs/>
        </w:rPr>
      </w:pPr>
      <w:r w:rsidRPr="00927B37">
        <w:rPr>
          <w:b/>
          <w:bCs/>
        </w:rPr>
        <w:t>Future Work</w:t>
      </w:r>
    </w:p>
    <w:p w14:paraId="74360F1E" w14:textId="60485880" w:rsidR="00150835" w:rsidRPr="00150835" w:rsidRDefault="00150835" w:rsidP="00150835">
      <w:pPr>
        <w:ind w:left="360"/>
      </w:pPr>
      <w:r>
        <w:t xml:space="preserve">A more thorough report on conducting successful Kickstarter campaigns would include: </w:t>
      </w:r>
    </w:p>
    <w:p w14:paraId="64D0D807" w14:textId="22AB7769" w:rsidR="00150835" w:rsidRDefault="00150835" w:rsidP="00150835">
      <w:pPr>
        <w:pStyle w:val="ListParagraph"/>
        <w:numPr>
          <w:ilvl w:val="0"/>
          <w:numId w:val="4"/>
        </w:numPr>
      </w:pPr>
      <w:r>
        <w:t>A more robust version of the Kickstarter campaign data to ensure that analyses are relevant;</w:t>
      </w:r>
    </w:p>
    <w:p w14:paraId="3CA19C65" w14:textId="30D3E1BD" w:rsidR="00150835" w:rsidRDefault="00150835" w:rsidP="00927B37">
      <w:pPr>
        <w:pStyle w:val="ListParagraph"/>
        <w:numPr>
          <w:ilvl w:val="0"/>
          <w:numId w:val="3"/>
        </w:numPr>
      </w:pPr>
      <w:r>
        <w:t xml:space="preserve">More geographic data (specifically states </w:t>
      </w:r>
      <w:r>
        <w:t>with</w:t>
      </w:r>
      <w:r>
        <w:t>in the U.S. where most Kickstarter campaigns occur)</w:t>
      </w:r>
      <w:r>
        <w:t xml:space="preserve"> </w:t>
      </w:r>
      <w:r w:rsidR="00E5189B">
        <w:t xml:space="preserve">in order </w:t>
      </w:r>
      <w:bookmarkStart w:id="0" w:name="_GoBack"/>
      <w:bookmarkEnd w:id="0"/>
      <w:r>
        <w:t>to create map charts and hot spot maps; and</w:t>
      </w:r>
    </w:p>
    <w:p w14:paraId="33196494" w14:textId="62A36189" w:rsidR="00927B37" w:rsidRDefault="00150835" w:rsidP="00150835">
      <w:pPr>
        <w:pStyle w:val="ListParagraph"/>
        <w:numPr>
          <w:ilvl w:val="0"/>
          <w:numId w:val="3"/>
        </w:numPr>
      </w:pPr>
      <w:r>
        <w:t xml:space="preserve">More backer information to answer </w:t>
      </w:r>
      <w:r w:rsidR="00927B37">
        <w:t xml:space="preserve">questions </w:t>
      </w:r>
      <w:r w:rsidR="00927B37">
        <w:t>like “</w:t>
      </w:r>
      <w:r w:rsidR="00927B37">
        <w:t>who is backing Kickstarter campaigns</w:t>
      </w:r>
      <w:r>
        <w:t xml:space="preserve">?” </w:t>
      </w:r>
    </w:p>
    <w:p w14:paraId="23439FA3" w14:textId="745004A8" w:rsidR="00927B37" w:rsidRDefault="00927B37"/>
    <w:p w14:paraId="3CCF9612" w14:textId="02BCFFE4" w:rsidR="00927B37" w:rsidRDefault="00927B37"/>
    <w:p w14:paraId="27B18F04" w14:textId="61C86757" w:rsidR="00927B37" w:rsidRDefault="00927B37"/>
    <w:p w14:paraId="6031721C" w14:textId="63F37F86" w:rsidR="00927B37" w:rsidRDefault="00927B37"/>
    <w:p w14:paraId="0F703257" w14:textId="5E47F458" w:rsidR="00927B37" w:rsidRDefault="00927B37"/>
    <w:p w14:paraId="0975AB6A" w14:textId="023DB403" w:rsidR="00927B37" w:rsidRDefault="00927B37"/>
    <w:p w14:paraId="142F9AE7" w14:textId="01565229" w:rsidR="00927B37" w:rsidRDefault="00927B37"/>
    <w:p w14:paraId="679AA8E3" w14:textId="77777777" w:rsidR="00927B37" w:rsidRDefault="00927B37"/>
    <w:p w14:paraId="10AE8B76" w14:textId="334DFCEF" w:rsidR="00340004" w:rsidRDefault="00340004"/>
    <w:p w14:paraId="51ED346A" w14:textId="65B0B6D6" w:rsidR="00927B37" w:rsidRDefault="00927B37"/>
    <w:p w14:paraId="47631891" w14:textId="3FB250F0" w:rsidR="00927B37" w:rsidRDefault="00927B37"/>
    <w:p w14:paraId="36D7CDFF" w14:textId="10067C11" w:rsidR="00927B37" w:rsidRDefault="00927B37"/>
    <w:p w14:paraId="63D25624" w14:textId="173F853D" w:rsidR="00927B37" w:rsidRDefault="00927B37"/>
    <w:p w14:paraId="7AE726AF" w14:textId="10C40A41" w:rsidR="00927B37" w:rsidRDefault="00927B37"/>
    <w:p w14:paraId="4BCA0AB2" w14:textId="21093984" w:rsidR="00927B37" w:rsidRDefault="00927B37"/>
    <w:p w14:paraId="79F0312D" w14:textId="0E9B7C58" w:rsidR="00927B37" w:rsidRDefault="00927B37"/>
    <w:p w14:paraId="7DFDEC25" w14:textId="11593FC8" w:rsidR="00927B37" w:rsidRDefault="00927B37"/>
    <w:p w14:paraId="27F08458" w14:textId="5111EFA5" w:rsidR="00927B37" w:rsidRDefault="00927B37"/>
    <w:p w14:paraId="38237850" w14:textId="43CB7A11" w:rsidR="00927B37" w:rsidRDefault="00927B37"/>
    <w:p w14:paraId="5DA7F4A6" w14:textId="77777777" w:rsidR="00150835" w:rsidRDefault="00150835">
      <w:pPr>
        <w:rPr>
          <w:b/>
          <w:bCs/>
        </w:rPr>
      </w:pPr>
    </w:p>
    <w:p w14:paraId="7AC94553" w14:textId="77777777" w:rsidR="00CB46D7" w:rsidRDefault="00CB46D7">
      <w:pPr>
        <w:rPr>
          <w:b/>
          <w:bCs/>
        </w:rPr>
      </w:pPr>
    </w:p>
    <w:p w14:paraId="7016B251" w14:textId="724922CF" w:rsidR="00927B37" w:rsidRPr="00927B37" w:rsidRDefault="00927B37">
      <w:pPr>
        <w:rPr>
          <w:b/>
          <w:bCs/>
        </w:rPr>
      </w:pPr>
      <w:r>
        <w:rPr>
          <w:b/>
          <w:bCs/>
        </w:rPr>
        <w:lastRenderedPageBreak/>
        <w:t>Figures</w:t>
      </w:r>
    </w:p>
    <w:p w14:paraId="0B799E71" w14:textId="1B48F252" w:rsidR="00EE1B1D" w:rsidRDefault="00EE1B1D">
      <w:r>
        <w:t xml:space="preserve"> </w:t>
      </w:r>
      <w:r w:rsidR="00F769D6">
        <w:rPr>
          <w:noProof/>
        </w:rPr>
        <w:drawing>
          <wp:inline distT="0" distB="0" distL="0" distR="0" wp14:anchorId="016BE73E" wp14:editId="203D9C1B">
            <wp:extent cx="5207000" cy="3225800"/>
            <wp:effectExtent l="0" t="0" r="12700" b="12700"/>
            <wp:docPr id="5" name="Chart 5">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F04BDB9" w14:textId="1400AD50" w:rsidR="00F769D6" w:rsidRDefault="00F769D6" w:rsidP="00F769D6">
      <w:r>
        <w:t xml:space="preserve">Figure 1. Stacked column chart comparing campaign categories to the number of campaigns. </w:t>
      </w:r>
    </w:p>
    <w:p w14:paraId="5884F054" w14:textId="77777777" w:rsidR="00F769D6" w:rsidRDefault="00F769D6"/>
    <w:p w14:paraId="7E87CE35" w14:textId="73EF6208" w:rsidR="00F769D6" w:rsidRDefault="00F769D6">
      <w:r>
        <w:rPr>
          <w:noProof/>
        </w:rPr>
        <w:drawing>
          <wp:inline distT="0" distB="0" distL="0" distR="0" wp14:anchorId="0EDC33C8" wp14:editId="5939FA21">
            <wp:extent cx="5207000" cy="3606800"/>
            <wp:effectExtent l="0" t="0" r="12700" b="12700"/>
            <wp:docPr id="6" name="Chart 6">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190C89D" w14:textId="76F97382" w:rsidR="00F769D6" w:rsidRDefault="00F769D6">
      <w:r>
        <w:t>Figure 2. Stacked column chard comparing campaign sub categories to the number of campaigns.</w:t>
      </w:r>
    </w:p>
    <w:p w14:paraId="0AAFD065" w14:textId="25D4EB67" w:rsidR="00F769D6" w:rsidRDefault="00F769D6">
      <w:r>
        <w:rPr>
          <w:noProof/>
        </w:rPr>
        <w:lastRenderedPageBreak/>
        <w:drawing>
          <wp:inline distT="0" distB="0" distL="0" distR="0" wp14:anchorId="15401E9A" wp14:editId="769A82A9">
            <wp:extent cx="5207000" cy="3149600"/>
            <wp:effectExtent l="0" t="0" r="12700" b="12700"/>
            <wp:docPr id="7" name="Chart 7">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AF6728" w14:textId="77777777" w:rsidR="00F769D6" w:rsidRDefault="00F769D6" w:rsidP="00F769D6">
      <w:r>
        <w:t>Figure 3. Line graph comparing date of campaign creation to number of campaigns and associated states (“successful”, “failed” or “canceled”)</w:t>
      </w:r>
    </w:p>
    <w:p w14:paraId="7457A149" w14:textId="77777777" w:rsidR="00F769D6" w:rsidRDefault="00F769D6"/>
    <w:p w14:paraId="73ECEFFB" w14:textId="47153403" w:rsidR="00F769D6" w:rsidRDefault="00F769D6">
      <w:r>
        <w:rPr>
          <w:noProof/>
        </w:rPr>
        <w:drawing>
          <wp:inline distT="0" distB="0" distL="0" distR="0" wp14:anchorId="1CE551B6" wp14:editId="209378D8">
            <wp:extent cx="5207000" cy="2857500"/>
            <wp:effectExtent l="0" t="0" r="12700" b="12700"/>
            <wp:docPr id="9" name="Chart 9">
              <a:extLst xmlns:a="http://schemas.openxmlformats.org/drawingml/2006/main">
                <a:ext uri="{FF2B5EF4-FFF2-40B4-BE49-F238E27FC236}">
                  <a16:creationId xmlns:a16="http://schemas.microsoft.com/office/drawing/2014/main" id="{6DACC59E-E4E4-9048-AEB6-1703ECC52E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60ECF0" w14:textId="77777777" w:rsidR="00F769D6" w:rsidRDefault="00F769D6" w:rsidP="00F769D6">
      <w:r>
        <w:t>Figure 4. Line graph comparing goal outcome ranges to the percent of campaign status.</w:t>
      </w:r>
    </w:p>
    <w:p w14:paraId="13791FB3" w14:textId="77777777" w:rsidR="00F769D6" w:rsidRDefault="00F769D6"/>
    <w:sectPr w:rsidR="00F76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16AAF"/>
    <w:multiLevelType w:val="hybridMultilevel"/>
    <w:tmpl w:val="F8ECF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B21AE"/>
    <w:multiLevelType w:val="hybridMultilevel"/>
    <w:tmpl w:val="B6D22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F13373"/>
    <w:multiLevelType w:val="hybridMultilevel"/>
    <w:tmpl w:val="060C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693915"/>
    <w:multiLevelType w:val="hybridMultilevel"/>
    <w:tmpl w:val="CE309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381E1F"/>
    <w:multiLevelType w:val="hybridMultilevel"/>
    <w:tmpl w:val="A696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45A"/>
    <w:rsid w:val="00026C2A"/>
    <w:rsid w:val="00043E4F"/>
    <w:rsid w:val="000C2589"/>
    <w:rsid w:val="00150835"/>
    <w:rsid w:val="00157362"/>
    <w:rsid w:val="00163727"/>
    <w:rsid w:val="001C4B28"/>
    <w:rsid w:val="001F4821"/>
    <w:rsid w:val="00210E37"/>
    <w:rsid w:val="00217E0A"/>
    <w:rsid w:val="002349FF"/>
    <w:rsid w:val="00240ABF"/>
    <w:rsid w:val="002B2268"/>
    <w:rsid w:val="00340004"/>
    <w:rsid w:val="0039478D"/>
    <w:rsid w:val="00597054"/>
    <w:rsid w:val="005A55D3"/>
    <w:rsid w:val="007E3C9E"/>
    <w:rsid w:val="007E6CB6"/>
    <w:rsid w:val="008F2934"/>
    <w:rsid w:val="00927B37"/>
    <w:rsid w:val="00931910"/>
    <w:rsid w:val="0098521E"/>
    <w:rsid w:val="00AE045A"/>
    <w:rsid w:val="00CA6F56"/>
    <w:rsid w:val="00CB46D7"/>
    <w:rsid w:val="00DD3806"/>
    <w:rsid w:val="00E03BAD"/>
    <w:rsid w:val="00E5189B"/>
    <w:rsid w:val="00E86D56"/>
    <w:rsid w:val="00EE1B1D"/>
    <w:rsid w:val="00F76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53DB"/>
  <w15:chartTrackingRefBased/>
  <w15:docId w15:val="{1D188D8F-F436-4456-B1B8-32E954D52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iancahernandez/Downloads/HW%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iancahernandez/Downloads/HW%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iancahernandez/Downloads/HW%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biancahernandez/Downloads/HW%20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[BAHernandezHW01.xlsx]Pivot Category!PivotTable1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1.</a:t>
            </a:r>
          </a:p>
        </c:rich>
      </c:tx>
      <c:layout>
        <c:manualLayout>
          <c:xMode val="edge"/>
          <c:yMode val="edge"/>
          <c:x val="0.16137336328643609"/>
          <c:y val="3.40353724611372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00206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206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rgbClr val="00206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Category'!$B$4:$B$5</c:f>
              <c:strCache>
                <c:ptCount val="1"/>
                <c:pt idx="0">
                  <c:v>successful</c:v>
                </c:pt>
              </c:strCache>
            </c:strRef>
          </c:tx>
          <c:spPr>
            <a:solidFill>
              <a:schemeClr val="accent6"/>
            </a:solidFill>
            <a:ln>
              <a:noFill/>
            </a:ln>
            <a:effectLst/>
          </c:spPr>
          <c:invertIfNegative val="0"/>
          <c:cat>
            <c:strRef>
              <c:f>'Pivot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Category'!$B$6:$B$15</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0BAF-114B-8725-AC2B60967F59}"/>
            </c:ext>
          </c:extLst>
        </c:ser>
        <c:ser>
          <c:idx val="1"/>
          <c:order val="1"/>
          <c:tx>
            <c:strRef>
              <c:f>'Pivot Category'!$C$4:$C$5</c:f>
              <c:strCache>
                <c:ptCount val="1"/>
                <c:pt idx="0">
                  <c:v>failed</c:v>
                </c:pt>
              </c:strCache>
            </c:strRef>
          </c:tx>
          <c:spPr>
            <a:solidFill>
              <a:srgbClr val="00B0F0"/>
            </a:solidFill>
            <a:ln>
              <a:noFill/>
            </a:ln>
            <a:effectLst/>
          </c:spPr>
          <c:invertIfNegative val="0"/>
          <c:cat>
            <c:strRef>
              <c:f>'Pivot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Category'!$C$6:$C$15</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0BAF-114B-8725-AC2B60967F59}"/>
            </c:ext>
          </c:extLst>
        </c:ser>
        <c:ser>
          <c:idx val="2"/>
          <c:order val="2"/>
          <c:tx>
            <c:strRef>
              <c:f>'Pivot Category'!$D$4:$D$5</c:f>
              <c:strCache>
                <c:ptCount val="1"/>
                <c:pt idx="0">
                  <c:v>canceled</c:v>
                </c:pt>
              </c:strCache>
            </c:strRef>
          </c:tx>
          <c:spPr>
            <a:solidFill>
              <a:schemeClr val="accent4"/>
            </a:solidFill>
            <a:ln>
              <a:noFill/>
            </a:ln>
            <a:effectLst/>
          </c:spPr>
          <c:invertIfNegative val="0"/>
          <c:cat>
            <c:strRef>
              <c:f>'Pivot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Category'!$D$6:$D$15</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0BAF-114B-8725-AC2B60967F59}"/>
            </c:ext>
          </c:extLst>
        </c:ser>
        <c:ser>
          <c:idx val="3"/>
          <c:order val="3"/>
          <c:tx>
            <c:strRef>
              <c:f>'Pivot Category'!$E$4:$E$5</c:f>
              <c:strCache>
                <c:ptCount val="1"/>
                <c:pt idx="0">
                  <c:v>live</c:v>
                </c:pt>
              </c:strCache>
            </c:strRef>
          </c:tx>
          <c:spPr>
            <a:solidFill>
              <a:srgbClr val="002060"/>
            </a:solidFill>
            <a:ln>
              <a:noFill/>
            </a:ln>
            <a:effectLst/>
          </c:spPr>
          <c:invertIfNegative val="0"/>
          <c:cat>
            <c:strRef>
              <c:f>'Pivot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Category'!$E$6:$E$15</c:f>
              <c:numCache>
                <c:formatCode>General</c:formatCode>
                <c:ptCount val="9"/>
                <c:pt idx="1">
                  <c:v>6</c:v>
                </c:pt>
                <c:pt idx="4">
                  <c:v>20</c:v>
                </c:pt>
                <c:pt idx="8">
                  <c:v>24</c:v>
                </c:pt>
              </c:numCache>
            </c:numRef>
          </c:val>
          <c:extLst>
            <c:ext xmlns:c16="http://schemas.microsoft.com/office/drawing/2014/chart" uri="{C3380CC4-5D6E-409C-BE32-E72D297353CC}">
              <c16:uniqueId val="{00000003-0BAF-114B-8725-AC2B60967F59}"/>
            </c:ext>
          </c:extLst>
        </c:ser>
        <c:dLbls>
          <c:showLegendKey val="0"/>
          <c:showVal val="0"/>
          <c:showCatName val="0"/>
          <c:showSerName val="0"/>
          <c:showPercent val="0"/>
          <c:showBubbleSize val="0"/>
        </c:dLbls>
        <c:gapWidth val="150"/>
        <c:overlap val="100"/>
        <c:axId val="268139440"/>
        <c:axId val="268132880"/>
      </c:barChart>
      <c:catAx>
        <c:axId val="268139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Campaign 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132880"/>
        <c:crosses val="autoZero"/>
        <c:auto val="1"/>
        <c:lblAlgn val="ctr"/>
        <c:lblOffset val="100"/>
        <c:noMultiLvlLbl val="0"/>
      </c:catAx>
      <c:valAx>
        <c:axId val="268132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campaigns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1394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[BAHernandezHW01.xlsx]Pivot Sub-category!PivotTable2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2.</a:t>
            </a:r>
            <a:endParaRPr lang="en-US"/>
          </a:p>
        </c:rich>
      </c:tx>
      <c:layout>
        <c:manualLayout>
          <c:xMode val="edge"/>
          <c:yMode val="edge"/>
          <c:x val="0.12659987595008568"/>
          <c:y val="2.597553534590464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5">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5">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5">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Sub-category'!$B$3:$B$4</c:f>
              <c:strCache>
                <c:ptCount val="1"/>
                <c:pt idx="0">
                  <c:v>successful</c:v>
                </c:pt>
              </c:strCache>
            </c:strRef>
          </c:tx>
          <c:spPr>
            <a:solidFill>
              <a:schemeClr val="accent6"/>
            </a:solidFill>
            <a:ln>
              <a:noFill/>
            </a:ln>
            <a:effectLst/>
          </c:spPr>
          <c:invertIfNegative val="0"/>
          <c:cat>
            <c:strRef>
              <c:f>'Pivot Sub-category'!$A$5:$A$46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Sub-category'!$B$5:$B$46</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1348-7144-B8C3-7E18430F3EB1}"/>
            </c:ext>
          </c:extLst>
        </c:ser>
        <c:ser>
          <c:idx val="1"/>
          <c:order val="1"/>
          <c:tx>
            <c:strRef>
              <c:f>'Pivot Sub-category'!$C$3:$C$4</c:f>
              <c:strCache>
                <c:ptCount val="1"/>
                <c:pt idx="0">
                  <c:v>failed</c:v>
                </c:pt>
              </c:strCache>
            </c:strRef>
          </c:tx>
          <c:spPr>
            <a:solidFill>
              <a:srgbClr val="00B0F0"/>
            </a:solidFill>
            <a:ln>
              <a:noFill/>
            </a:ln>
            <a:effectLst/>
          </c:spPr>
          <c:invertIfNegative val="0"/>
          <c:cat>
            <c:strRef>
              <c:f>'Pivot Sub-category'!$A$5:$A$46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Sub-category'!$C$5:$C$46</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1348-7144-B8C3-7E18430F3EB1}"/>
            </c:ext>
          </c:extLst>
        </c:ser>
        <c:ser>
          <c:idx val="2"/>
          <c:order val="2"/>
          <c:tx>
            <c:strRef>
              <c:f>'Pivot Sub-category'!$D$3:$D$4</c:f>
              <c:strCache>
                <c:ptCount val="1"/>
                <c:pt idx="0">
                  <c:v>canceled</c:v>
                </c:pt>
              </c:strCache>
            </c:strRef>
          </c:tx>
          <c:spPr>
            <a:solidFill>
              <a:schemeClr val="accent4"/>
            </a:solidFill>
            <a:ln>
              <a:noFill/>
            </a:ln>
            <a:effectLst/>
          </c:spPr>
          <c:invertIfNegative val="0"/>
          <c:cat>
            <c:strRef>
              <c:f>'Pivot Sub-category'!$A$5:$A$46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Sub-category'!$D$5:$D$46</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1348-7144-B8C3-7E18430F3EB1}"/>
            </c:ext>
          </c:extLst>
        </c:ser>
        <c:ser>
          <c:idx val="3"/>
          <c:order val="3"/>
          <c:tx>
            <c:strRef>
              <c:f>'Pivot Sub-category'!$E$3:$E$4</c:f>
              <c:strCache>
                <c:ptCount val="1"/>
                <c:pt idx="0">
                  <c:v>live</c:v>
                </c:pt>
              </c:strCache>
            </c:strRef>
          </c:tx>
          <c:spPr>
            <a:solidFill>
              <a:schemeClr val="accent5">
                <a:lumMod val="50000"/>
              </a:schemeClr>
            </a:solidFill>
            <a:ln>
              <a:noFill/>
            </a:ln>
            <a:effectLst/>
          </c:spPr>
          <c:invertIfNegative val="0"/>
          <c:cat>
            <c:strRef>
              <c:f>'Pivot Sub-category'!$A$5:$A$46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Sub-category'!$E$5:$E$46</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1348-7144-B8C3-7E18430F3EB1}"/>
            </c:ext>
          </c:extLst>
        </c:ser>
        <c:dLbls>
          <c:showLegendKey val="0"/>
          <c:showVal val="0"/>
          <c:showCatName val="0"/>
          <c:showSerName val="0"/>
          <c:showPercent val="0"/>
          <c:showBubbleSize val="0"/>
        </c:dLbls>
        <c:gapWidth val="150"/>
        <c:overlap val="100"/>
        <c:axId val="456100592"/>
        <c:axId val="456101576"/>
      </c:barChart>
      <c:catAx>
        <c:axId val="456100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Campaign</a:t>
                </a:r>
                <a:r>
                  <a:rPr lang="en-US" baseline="0"/>
                  <a:t> sub-categories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101576"/>
        <c:crosses val="autoZero"/>
        <c:auto val="1"/>
        <c:lblAlgn val="ctr"/>
        <c:lblOffset val="100"/>
        <c:noMultiLvlLbl val="0"/>
      </c:catAx>
      <c:valAx>
        <c:axId val="456101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100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[BAHernandezHW01.xlsx]Pivot Date!PivotTable3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3. </a:t>
            </a:r>
          </a:p>
        </c:rich>
      </c:tx>
      <c:layout>
        <c:manualLayout>
          <c:xMode val="edge"/>
          <c:yMode val="edge"/>
          <c:x val="0.17354148439778361"/>
          <c:y val="7.70696062992125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00B0F0"/>
            </a:solidFill>
            <a:round/>
          </a:ln>
          <a:effectLst/>
        </c:spPr>
        <c:marker>
          <c:symbol val="circle"/>
          <c:size val="5"/>
          <c:spPr>
            <a:solidFill>
              <a:srgbClr val="00B0F0"/>
            </a:solidFill>
            <a:ln w="9525">
              <a:solidFill>
                <a:srgbClr val="00B0F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4"/>
        <c:spPr>
          <a:solidFill>
            <a:schemeClr val="accent1"/>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00B0F0"/>
            </a:solidFill>
            <a:round/>
          </a:ln>
          <a:effectLst/>
        </c:spPr>
        <c:marker>
          <c:symbol val="circle"/>
          <c:size val="5"/>
          <c:spPr>
            <a:solidFill>
              <a:srgbClr val="00B0F0"/>
            </a:solidFill>
            <a:ln w="9525">
              <a:solidFill>
                <a:srgbClr val="00B0F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rgbClr val="00B0F0"/>
            </a:solidFill>
            <a:round/>
          </a:ln>
          <a:effectLst/>
        </c:spPr>
        <c:marker>
          <c:symbol val="circle"/>
          <c:size val="5"/>
          <c:spPr>
            <a:solidFill>
              <a:srgbClr val="00B0F0"/>
            </a:solidFill>
            <a:ln w="9525">
              <a:solidFill>
                <a:srgbClr val="00B0F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Date'!$B$4:$B$5</c:f>
              <c:strCache>
                <c:ptCount val="1"/>
                <c:pt idx="0">
                  <c:v>successful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'Pivot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Date'!$B$6:$B$18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FE35-7A45-AB24-B6B9499AF691}"/>
            </c:ext>
          </c:extLst>
        </c:ser>
        <c:ser>
          <c:idx val="1"/>
          <c:order val="1"/>
          <c:tx>
            <c:strRef>
              <c:f>'Pivot Date'!$C$4:$C$5</c:f>
              <c:strCache>
                <c:ptCount val="1"/>
                <c:pt idx="0">
                  <c:v>failed</c:v>
                </c:pt>
              </c:strCache>
            </c:strRef>
          </c:tx>
          <c:spPr>
            <a:ln w="28575" cap="rnd">
              <a:solidFill>
                <a:srgbClr val="00B0F0"/>
              </a:solidFill>
              <a:round/>
            </a:ln>
            <a:effectLst/>
          </c:spPr>
          <c:marker>
            <c:symbol val="circle"/>
            <c:size val="5"/>
            <c:spPr>
              <a:solidFill>
                <a:srgbClr val="00B0F0"/>
              </a:solidFill>
              <a:ln w="9525">
                <a:solidFill>
                  <a:srgbClr val="00B0F0"/>
                </a:solidFill>
              </a:ln>
              <a:effectLst/>
            </c:spPr>
          </c:marker>
          <c:cat>
            <c:strRef>
              <c:f>'Pivot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Date'!$C$6:$C$18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FE35-7A45-AB24-B6B9499AF691}"/>
            </c:ext>
          </c:extLst>
        </c:ser>
        <c:ser>
          <c:idx val="2"/>
          <c:order val="2"/>
          <c:tx>
            <c:strRef>
              <c:f>'Pivot Date'!$D$4:$D$5</c:f>
              <c:strCache>
                <c:ptCount val="1"/>
                <c:pt idx="0">
                  <c:v>canceled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'Pivot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Date'!$D$6:$D$18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FE35-7A45-AB24-B6B9499AF691}"/>
            </c:ext>
          </c:extLst>
        </c:ser>
        <c:dLbls>
          <c:showLegendKey val="0"/>
          <c:showVal val="0"/>
          <c:showCatName val="0"/>
          <c:showSerName val="0"/>
          <c:showPercent val="0"/>
          <c:showBubbleSize val="0"/>
        </c:dLbls>
        <c:marker val="1"/>
        <c:smooth val="0"/>
        <c:axId val="503776624"/>
        <c:axId val="503778264"/>
      </c:lineChart>
      <c:catAx>
        <c:axId val="503776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 created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778264"/>
        <c:crosses val="autoZero"/>
        <c:auto val="1"/>
        <c:lblAlgn val="ctr"/>
        <c:lblOffset val="100"/>
        <c:noMultiLvlLbl val="0"/>
      </c:catAx>
      <c:valAx>
        <c:axId val="503778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a:t>
                </a:r>
                <a:r>
                  <a:rPr lang="en-US" baseline="0"/>
                  <a:t> campaigns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776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a:t>
            </a:r>
            <a:r>
              <a:rPr lang="en-US"/>
              <a:t>4</a:t>
            </a:r>
          </a:p>
        </c:rich>
      </c:tx>
      <c:layout>
        <c:manualLayout>
          <c:xMode val="edge"/>
          <c:yMode val="edge"/>
          <c:x val="8.9683773080996454E-2"/>
          <c:y val="2.84090909090909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Bonus!$B$16</c:f>
              <c:strCache>
                <c:ptCount val="1"/>
                <c:pt idx="0">
                  <c:v>% Successful</c:v>
                </c:pt>
              </c:strCache>
            </c:strRef>
          </c:tx>
          <c:spPr>
            <a:ln w="28575" cap="rnd">
              <a:solidFill>
                <a:schemeClr val="accent6"/>
              </a:solidFill>
              <a:round/>
            </a:ln>
            <a:effectLst/>
          </c:spPr>
          <c:marker>
            <c:symbol val="none"/>
          </c:marker>
          <c:cat>
            <c:strRef>
              <c:f>Bonus!$A$17:$A$28</c:f>
              <c:strCache>
                <c:ptCount val="12"/>
                <c:pt idx="0">
                  <c:v>Less than 1000</c:v>
                </c:pt>
                <c:pt idx="1">
                  <c:v> 1000 to 4999</c:v>
                </c:pt>
                <c:pt idx="2">
                  <c:v>5000 to 9999</c:v>
                </c:pt>
                <c:pt idx="3">
                  <c:v>10000 to 14999</c:v>
                </c:pt>
                <c:pt idx="4">
                  <c:v>15000 to 19999</c:v>
                </c:pt>
                <c:pt idx="5">
                  <c:v>20000 to 24999</c:v>
                </c:pt>
                <c:pt idx="6">
                  <c:v> 25000 to 29999</c:v>
                </c:pt>
                <c:pt idx="7">
                  <c:v>30000 to 34999</c:v>
                </c:pt>
                <c:pt idx="8">
                  <c:v>35000 to 39999</c:v>
                </c:pt>
                <c:pt idx="9">
                  <c:v> 40000 to 44999</c:v>
                </c:pt>
                <c:pt idx="10">
                  <c:v>45000 to 49999</c:v>
                </c:pt>
                <c:pt idx="11">
                  <c:v>Greater than or equal to 50000</c:v>
                </c:pt>
              </c:strCache>
            </c:strRef>
          </c:cat>
          <c:val>
            <c:numRef>
              <c:f>Bonus!$B$17:$B$28</c:f>
              <c:numCache>
                <c:formatCode>0</c:formatCode>
                <c:ptCount val="12"/>
                <c:pt idx="0">
                  <c:v>71.081677704194263</c:v>
                </c:pt>
                <c:pt idx="1">
                  <c:v>66.005665722379604</c:v>
                </c:pt>
                <c:pt idx="2">
                  <c:v>53.212290502793294</c:v>
                </c:pt>
                <c:pt idx="3">
                  <c:v>47.727272727272727</c:v>
                </c:pt>
                <c:pt idx="4">
                  <c:v>46.766169154228855</c:v>
                </c:pt>
                <c:pt idx="5">
                  <c:v>41.891891891891895</c:v>
                </c:pt>
                <c:pt idx="6">
                  <c:v>40.145985401459853</c:v>
                </c:pt>
                <c:pt idx="7">
                  <c:v>39.024390243902438</c:v>
                </c:pt>
                <c:pt idx="8">
                  <c:v>47.272727272727273</c:v>
                </c:pt>
                <c:pt idx="9">
                  <c:v>48.837209302325576</c:v>
                </c:pt>
                <c:pt idx="10">
                  <c:v>28.571428571428569</c:v>
                </c:pt>
                <c:pt idx="11">
                  <c:v>19.36936936936937</c:v>
                </c:pt>
              </c:numCache>
            </c:numRef>
          </c:val>
          <c:smooth val="0"/>
          <c:extLst>
            <c:ext xmlns:c16="http://schemas.microsoft.com/office/drawing/2014/chart" uri="{C3380CC4-5D6E-409C-BE32-E72D297353CC}">
              <c16:uniqueId val="{00000000-03F7-304E-ADA7-6A481579F7E2}"/>
            </c:ext>
          </c:extLst>
        </c:ser>
        <c:ser>
          <c:idx val="1"/>
          <c:order val="1"/>
          <c:tx>
            <c:strRef>
              <c:f>Bonus!$C$16</c:f>
              <c:strCache>
                <c:ptCount val="1"/>
                <c:pt idx="0">
                  <c:v>% Failed </c:v>
                </c:pt>
              </c:strCache>
            </c:strRef>
          </c:tx>
          <c:spPr>
            <a:ln w="28575" cap="rnd">
              <a:solidFill>
                <a:srgbClr val="00B0F0"/>
              </a:solidFill>
              <a:round/>
            </a:ln>
            <a:effectLst/>
          </c:spPr>
          <c:marker>
            <c:symbol val="none"/>
          </c:marker>
          <c:cat>
            <c:strRef>
              <c:f>Bonus!$A$17:$A$28</c:f>
              <c:strCache>
                <c:ptCount val="12"/>
                <c:pt idx="0">
                  <c:v>Less than 1000</c:v>
                </c:pt>
                <c:pt idx="1">
                  <c:v> 1000 to 4999</c:v>
                </c:pt>
                <c:pt idx="2">
                  <c:v>5000 to 9999</c:v>
                </c:pt>
                <c:pt idx="3">
                  <c:v>10000 to 14999</c:v>
                </c:pt>
                <c:pt idx="4">
                  <c:v>15000 to 19999</c:v>
                </c:pt>
                <c:pt idx="5">
                  <c:v>20000 to 24999</c:v>
                </c:pt>
                <c:pt idx="6">
                  <c:v> 25000 to 29999</c:v>
                </c:pt>
                <c:pt idx="7">
                  <c:v>30000 to 34999</c:v>
                </c:pt>
                <c:pt idx="8">
                  <c:v>35000 to 39999</c:v>
                </c:pt>
                <c:pt idx="9">
                  <c:v> 40000 to 44999</c:v>
                </c:pt>
                <c:pt idx="10">
                  <c:v>45000 to 49999</c:v>
                </c:pt>
                <c:pt idx="11">
                  <c:v>Greater than or equal to 50000</c:v>
                </c:pt>
              </c:strCache>
            </c:strRef>
          </c:cat>
          <c:val>
            <c:numRef>
              <c:f>Bonus!$C$17:$C$28</c:f>
              <c:numCache>
                <c:formatCode>0</c:formatCode>
                <c:ptCount val="12"/>
                <c:pt idx="0">
                  <c:v>24.944812362030905</c:v>
                </c:pt>
                <c:pt idx="1">
                  <c:v>29.745042492917843</c:v>
                </c:pt>
                <c:pt idx="2">
                  <c:v>39.52513966480447</c:v>
                </c:pt>
                <c:pt idx="3">
                  <c:v>40.909090909090914</c:v>
                </c:pt>
                <c:pt idx="4">
                  <c:v>44.776119402985074</c:v>
                </c:pt>
                <c:pt idx="5">
                  <c:v>48.648648648648653</c:v>
                </c:pt>
                <c:pt idx="6">
                  <c:v>46.715328467153284</c:v>
                </c:pt>
                <c:pt idx="7">
                  <c:v>45.121951219512198</c:v>
                </c:pt>
                <c:pt idx="8">
                  <c:v>40</c:v>
                </c:pt>
                <c:pt idx="9">
                  <c:v>37.209302325581397</c:v>
                </c:pt>
                <c:pt idx="10">
                  <c:v>52.380952380952387</c:v>
                </c:pt>
                <c:pt idx="11">
                  <c:v>58.108108108108105</c:v>
                </c:pt>
              </c:numCache>
            </c:numRef>
          </c:val>
          <c:smooth val="0"/>
          <c:extLst>
            <c:ext xmlns:c16="http://schemas.microsoft.com/office/drawing/2014/chart" uri="{C3380CC4-5D6E-409C-BE32-E72D297353CC}">
              <c16:uniqueId val="{00000001-03F7-304E-ADA7-6A481579F7E2}"/>
            </c:ext>
          </c:extLst>
        </c:ser>
        <c:ser>
          <c:idx val="2"/>
          <c:order val="2"/>
          <c:tx>
            <c:strRef>
              <c:f>Bonus!$D$16</c:f>
              <c:strCache>
                <c:ptCount val="1"/>
                <c:pt idx="0">
                  <c:v>% Canceled</c:v>
                </c:pt>
              </c:strCache>
            </c:strRef>
          </c:tx>
          <c:spPr>
            <a:ln w="28575" cap="rnd">
              <a:solidFill>
                <a:schemeClr val="accent4"/>
              </a:solidFill>
              <a:round/>
            </a:ln>
            <a:effectLst/>
          </c:spPr>
          <c:marker>
            <c:symbol val="none"/>
          </c:marker>
          <c:cat>
            <c:strRef>
              <c:f>Bonus!$A$17:$A$28</c:f>
              <c:strCache>
                <c:ptCount val="12"/>
                <c:pt idx="0">
                  <c:v>Less than 1000</c:v>
                </c:pt>
                <c:pt idx="1">
                  <c:v> 1000 to 4999</c:v>
                </c:pt>
                <c:pt idx="2">
                  <c:v>5000 to 9999</c:v>
                </c:pt>
                <c:pt idx="3">
                  <c:v>10000 to 14999</c:v>
                </c:pt>
                <c:pt idx="4">
                  <c:v>15000 to 19999</c:v>
                </c:pt>
                <c:pt idx="5">
                  <c:v>20000 to 24999</c:v>
                </c:pt>
                <c:pt idx="6">
                  <c:v> 25000 to 29999</c:v>
                </c:pt>
                <c:pt idx="7">
                  <c:v>30000 to 34999</c:v>
                </c:pt>
                <c:pt idx="8">
                  <c:v>35000 to 39999</c:v>
                </c:pt>
                <c:pt idx="9">
                  <c:v> 40000 to 44999</c:v>
                </c:pt>
                <c:pt idx="10">
                  <c:v>45000 to 49999</c:v>
                </c:pt>
                <c:pt idx="11">
                  <c:v>Greater than or equal to 50000</c:v>
                </c:pt>
              </c:strCache>
            </c:strRef>
          </c:cat>
          <c:val>
            <c:numRef>
              <c:f>Bonus!$D$17:$D$28</c:f>
              <c:numCache>
                <c:formatCode>0</c:formatCode>
                <c:ptCount val="12"/>
                <c:pt idx="0">
                  <c:v>3.9735099337748347</c:v>
                </c:pt>
                <c:pt idx="1">
                  <c:v>4.2492917847025495</c:v>
                </c:pt>
                <c:pt idx="2">
                  <c:v>7.2625698324022352</c:v>
                </c:pt>
                <c:pt idx="3">
                  <c:v>11.363636363636363</c:v>
                </c:pt>
                <c:pt idx="4">
                  <c:v>8.4577114427860707</c:v>
                </c:pt>
                <c:pt idx="5">
                  <c:v>9.4594594594594597</c:v>
                </c:pt>
                <c:pt idx="6">
                  <c:v>13.138686131386862</c:v>
                </c:pt>
                <c:pt idx="7">
                  <c:v>15.853658536585366</c:v>
                </c:pt>
                <c:pt idx="8">
                  <c:v>12.727272727272727</c:v>
                </c:pt>
                <c:pt idx="9">
                  <c:v>13.953488372093023</c:v>
                </c:pt>
                <c:pt idx="10">
                  <c:v>19.047619047619047</c:v>
                </c:pt>
                <c:pt idx="11">
                  <c:v>22.522522522522522</c:v>
                </c:pt>
              </c:numCache>
            </c:numRef>
          </c:val>
          <c:smooth val="0"/>
          <c:extLst>
            <c:ext xmlns:c16="http://schemas.microsoft.com/office/drawing/2014/chart" uri="{C3380CC4-5D6E-409C-BE32-E72D297353CC}">
              <c16:uniqueId val="{00000002-03F7-304E-ADA7-6A481579F7E2}"/>
            </c:ext>
          </c:extLst>
        </c:ser>
        <c:dLbls>
          <c:showLegendKey val="0"/>
          <c:showVal val="0"/>
          <c:showCatName val="0"/>
          <c:showSerName val="0"/>
          <c:showPercent val="0"/>
          <c:showBubbleSize val="0"/>
        </c:dLbls>
        <c:smooth val="0"/>
        <c:axId val="1309826895"/>
        <c:axId val="1309592127"/>
      </c:lineChart>
      <c:catAx>
        <c:axId val="13098268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Goal</a:t>
                </a:r>
                <a:r>
                  <a:rPr lang="en-US" baseline="0"/>
                  <a:t> Outcomes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592127"/>
        <c:crosses val="autoZero"/>
        <c:auto val="1"/>
        <c:lblAlgn val="ctr"/>
        <c:lblOffset val="100"/>
        <c:noMultiLvlLbl val="0"/>
      </c:catAx>
      <c:valAx>
        <c:axId val="1309592127"/>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 of campain status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826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Hernandez</dc:creator>
  <cp:keywords/>
  <dc:description/>
  <cp:lastModifiedBy>Bianca Hernandez</cp:lastModifiedBy>
  <cp:revision>6</cp:revision>
  <dcterms:created xsi:type="dcterms:W3CDTF">2020-02-06T02:08:00Z</dcterms:created>
  <dcterms:modified xsi:type="dcterms:W3CDTF">2020-02-06T19:35:00Z</dcterms:modified>
</cp:coreProperties>
</file>