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595E" w14:textId="0C5680B4" w:rsidR="007C6551" w:rsidRDefault="004B26DB" w:rsidP="008E047B">
      <w:pPr>
        <w:pStyle w:val="Title"/>
      </w:pPr>
      <w:r>
        <w:t>MATLAB Solver Notes</w:t>
      </w:r>
    </w:p>
    <w:p w14:paraId="6767BF61" w14:textId="77777777" w:rsidR="004B26DB" w:rsidRDefault="004B26DB"/>
    <w:p w14:paraId="5300C754" w14:textId="77777777" w:rsidR="004B26DB" w:rsidRDefault="004B26DB"/>
    <w:p w14:paraId="7054712D" w14:textId="3B16A86C" w:rsidR="004B26DB" w:rsidRDefault="004B26DB">
      <w:r>
        <w:t>Differential Algebraic Equations (DAEs)</w:t>
      </w:r>
    </w:p>
    <w:p w14:paraId="3CB24155" w14:textId="43A58B08" w:rsidR="004B26DB" w:rsidRDefault="004B26DB" w:rsidP="004B26DB">
      <w:pPr>
        <w:pStyle w:val="ListParagraph"/>
        <w:numPr>
          <w:ilvl w:val="0"/>
          <w:numId w:val="1"/>
        </w:numPr>
      </w:pPr>
      <w:hyperlink r:id="rId5" w:history="1">
        <w:r w:rsidRPr="00BB5A8C">
          <w:rPr>
            <w:rStyle w:val="Hyperlink"/>
          </w:rPr>
          <w:t>https://www.mathworks.com/help/matlab/math/solve-differential-algebraic-equations-daes.html</w:t>
        </w:r>
      </w:hyperlink>
    </w:p>
    <w:p w14:paraId="66116ED7" w14:textId="7F4BBA3C" w:rsidR="004B26DB" w:rsidRDefault="00850CF1" w:rsidP="004B26DB">
      <w:pPr>
        <w:pStyle w:val="ListParagraph"/>
        <w:numPr>
          <w:ilvl w:val="0"/>
          <w:numId w:val="1"/>
        </w:numPr>
      </w:pPr>
      <w:r>
        <w:t>Ode15s and ode23t can handle index-1 linearly implicit problems</w:t>
      </w:r>
    </w:p>
    <w:p w14:paraId="5543303B" w14:textId="14377FEF" w:rsidR="00850CF1" w:rsidRDefault="00850CF1" w:rsidP="00850CF1">
      <w:pPr>
        <w:pStyle w:val="ListParagraph"/>
        <w:numPr>
          <w:ilvl w:val="1"/>
          <w:numId w:val="1"/>
        </w:numPr>
      </w:pPr>
      <w:r>
        <w:t>Singular mass matrix</w:t>
      </w:r>
    </w:p>
    <w:p w14:paraId="48472AE9" w14:textId="54DC7E77" w:rsidR="00850CF1" w:rsidRDefault="00850CF1" w:rsidP="00850CF1">
      <w:pPr>
        <w:pStyle w:val="ListParagraph"/>
        <w:numPr>
          <w:ilvl w:val="1"/>
          <w:numId w:val="1"/>
        </w:numPr>
      </w:pPr>
      <w:r>
        <w:t>Solver detects the singular mass matrix</w:t>
      </w:r>
    </w:p>
    <w:p w14:paraId="30F140F0" w14:textId="5AB527C1" w:rsidR="00AE4BCB" w:rsidRDefault="00AE4BCB" w:rsidP="00AE4BCB">
      <w:pPr>
        <w:pStyle w:val="ListParagraph"/>
        <w:numPr>
          <w:ilvl w:val="0"/>
          <w:numId w:val="1"/>
        </w:numPr>
      </w:pPr>
      <w:r>
        <w:t>Ode15i can solve general DAEs in fully implicit form</w:t>
      </w:r>
    </w:p>
    <w:p w14:paraId="3CEA4392" w14:textId="5B7DAD36" w:rsidR="00AE4BCB" w:rsidRDefault="00A8469D" w:rsidP="00A8469D">
      <w:pPr>
        <w:pStyle w:val="ListParagraph"/>
        <w:numPr>
          <w:ilvl w:val="1"/>
          <w:numId w:val="1"/>
        </w:numPr>
      </w:pPr>
      <w:r>
        <w:t>Singular Jacobian matrix</w:t>
      </w:r>
    </w:p>
    <w:p w14:paraId="4163DF77" w14:textId="77777777" w:rsidR="00A8469D" w:rsidRDefault="00A8469D" w:rsidP="000619DA"/>
    <w:p w14:paraId="3E7035E4" w14:textId="77777777" w:rsidR="000619DA" w:rsidRDefault="000619DA" w:rsidP="000619DA"/>
    <w:p w14:paraId="5AF4267C" w14:textId="77777777" w:rsidR="000619DA" w:rsidRDefault="000619DA" w:rsidP="000619DA"/>
    <w:p w14:paraId="5086A6D9" w14:textId="246B3474" w:rsidR="00453EC3" w:rsidRDefault="00453EC3" w:rsidP="000619DA"/>
    <w:p w14:paraId="319D0283" w14:textId="77777777" w:rsidR="00453EC3" w:rsidRDefault="00453EC3" w:rsidP="000619DA"/>
    <w:p w14:paraId="275C77B8" w14:textId="75062F4A" w:rsidR="000619DA" w:rsidRDefault="000619DA" w:rsidP="000619DA">
      <w:r>
        <w:t>Matrix preconditioning</w:t>
      </w:r>
    </w:p>
    <w:p w14:paraId="095B24A8" w14:textId="77777777" w:rsidR="000619DA" w:rsidRDefault="000619DA" w:rsidP="000619DA"/>
    <w:p w14:paraId="5DD315C1" w14:textId="77777777" w:rsidR="00503FAB" w:rsidRDefault="00503FAB" w:rsidP="000619DA"/>
    <w:p w14:paraId="5D3C5DBF" w14:textId="77777777" w:rsidR="00503FAB" w:rsidRDefault="00503FAB" w:rsidP="000619DA"/>
    <w:p w14:paraId="49165DA6" w14:textId="50F503AC" w:rsidR="00503FAB" w:rsidRDefault="00503FAB" w:rsidP="000619DA">
      <w:r>
        <w:t>Experiment Design</w:t>
      </w:r>
    </w:p>
    <w:p w14:paraId="66AB2379" w14:textId="77777777" w:rsidR="00503FAB" w:rsidRDefault="00503FAB" w:rsidP="00503FAB">
      <w:pPr>
        <w:pStyle w:val="ListParagraph"/>
        <w:numPr>
          <w:ilvl w:val="0"/>
          <w:numId w:val="4"/>
        </w:numPr>
      </w:pPr>
    </w:p>
    <w:p w14:paraId="645EF96D" w14:textId="77777777" w:rsidR="00453EC3" w:rsidRDefault="00453EC3" w:rsidP="000619DA"/>
    <w:p w14:paraId="612CA8F3" w14:textId="77777777" w:rsidR="00D3138D" w:rsidRDefault="00D3138D">
      <w:pPr>
        <w:rPr>
          <w:rFonts w:eastAsiaTheme="majorEastAsia" w:cstheme="majorBidi"/>
          <w:b/>
          <w:sz w:val="40"/>
          <w:szCs w:val="40"/>
        </w:rPr>
      </w:pPr>
      <w:r>
        <w:br w:type="page"/>
      </w:r>
    </w:p>
    <w:p w14:paraId="7E03E3C0" w14:textId="50A4E687" w:rsidR="00453EC3" w:rsidRDefault="00D3138D" w:rsidP="00D3138D">
      <w:pPr>
        <w:pStyle w:val="Heading1"/>
      </w:pPr>
      <w:r>
        <w:lastRenderedPageBreak/>
        <w:t>Literature Review</w:t>
      </w:r>
    </w:p>
    <w:p w14:paraId="5A48A27D" w14:textId="77777777" w:rsidR="00453EC3" w:rsidRDefault="00453EC3" w:rsidP="000619DA"/>
    <w:p w14:paraId="07F828C9" w14:textId="23B60BC9" w:rsidR="00453EC3" w:rsidRDefault="00453EC3" w:rsidP="00453EC3">
      <w:pPr>
        <w:pStyle w:val="Heading2"/>
      </w:pPr>
      <w:r>
        <w:t>Gradient Calculation</w:t>
      </w:r>
    </w:p>
    <w:p w14:paraId="1F766CAE" w14:textId="77777777" w:rsidR="005E0E92" w:rsidRPr="005E0E92" w:rsidRDefault="005E0E92" w:rsidP="005E0E92">
      <w:r w:rsidRPr="005E0E92">
        <w:t xml:space="preserve">Sozer, Emre, Christoph Brehm, and Cetin C. Kiris. “Gradient Calculation Methods on Arbitrary Polyhedral Unstructured Meshes for Cell-Centered CFD Solvers.” In </w:t>
      </w:r>
      <w:r w:rsidRPr="005E0E92">
        <w:rPr>
          <w:i/>
          <w:iCs/>
        </w:rPr>
        <w:t>52nd Aerospace Sciences Meeting</w:t>
      </w:r>
      <w:r w:rsidRPr="005E0E92">
        <w:t xml:space="preserve">. National Harbor, Maryland: American Institute of Aeronautics and Astronautics, 2014. </w:t>
      </w:r>
      <w:hyperlink r:id="rId6" w:history="1">
        <w:r w:rsidRPr="005E0E92">
          <w:rPr>
            <w:rStyle w:val="Hyperlink"/>
          </w:rPr>
          <w:t>https://doi.org/10.2514/6.2014-1440</w:t>
        </w:r>
      </w:hyperlink>
      <w:r w:rsidRPr="005E0E92">
        <w:t>.</w:t>
      </w:r>
    </w:p>
    <w:p w14:paraId="7A7CFD7E" w14:textId="4824AF3C" w:rsidR="00453EC3" w:rsidRDefault="00E021E6" w:rsidP="005E0E92">
      <w:pPr>
        <w:pStyle w:val="ListParagraph"/>
        <w:numPr>
          <w:ilvl w:val="0"/>
          <w:numId w:val="2"/>
        </w:numPr>
      </w:pPr>
      <w:r>
        <w:t>Ideal gradient operator choice depends on type of cells used (shape)</w:t>
      </w:r>
    </w:p>
    <w:p w14:paraId="7891DCD1" w14:textId="5ABE7886" w:rsidR="00E021E6" w:rsidRDefault="002716D9" w:rsidP="005E0E92">
      <w:pPr>
        <w:pStyle w:val="ListParagraph"/>
        <w:numPr>
          <w:ilvl w:val="0"/>
          <w:numId w:val="2"/>
        </w:numPr>
      </w:pPr>
      <w:r>
        <w:t>“</w:t>
      </w:r>
      <w:proofErr w:type="gramStart"/>
      <w:r w:rsidRPr="002716D9">
        <w:t>the</w:t>
      </w:r>
      <w:proofErr w:type="gramEnd"/>
      <w:r w:rsidRPr="002716D9">
        <w:t xml:space="preserve"> price paid</w:t>
      </w:r>
      <w:r>
        <w:t xml:space="preserve"> (for ease of meshing)</w:t>
      </w:r>
      <w:r w:rsidRPr="002716D9">
        <w:t xml:space="preserve"> in return is often understood as reduced computational efficiency for a given mesh size, accuracy of the simulations may also suffer.</w:t>
      </w:r>
      <w:r>
        <w:t>”</w:t>
      </w:r>
    </w:p>
    <w:p w14:paraId="5F278001" w14:textId="3854A778" w:rsidR="00B13720" w:rsidRDefault="0012478D" w:rsidP="005E0E92">
      <w:pPr>
        <w:pStyle w:val="ListParagraph"/>
        <w:numPr>
          <w:ilvl w:val="0"/>
          <w:numId w:val="2"/>
        </w:numPr>
      </w:pPr>
      <w:r>
        <w:t>“</w:t>
      </w:r>
      <w:r w:rsidRPr="0012478D">
        <w:t>In short, giving up the great level of user involvement and control over the mesh generation process is desirable in terms of the cost of mesh generation, but the burden is transferred to the unstructured solver to maintain accuracy and stability despite potentially sub-quality meshes.</w:t>
      </w:r>
      <w:r>
        <w:t>”</w:t>
      </w:r>
    </w:p>
    <w:p w14:paraId="584FBAEC" w14:textId="1ECFD18A" w:rsidR="0012478D" w:rsidRDefault="00354B45" w:rsidP="005E0E92">
      <w:pPr>
        <w:pStyle w:val="ListParagraph"/>
        <w:numPr>
          <w:ilvl w:val="0"/>
          <w:numId w:val="2"/>
        </w:numPr>
      </w:pPr>
      <w:r>
        <w:t xml:space="preserve">Least squares and green gauss methods work similarly for </w:t>
      </w:r>
      <w:r w:rsidR="007E29D1">
        <w:t xml:space="preserve">regular meshes, but LSQ was more tolerant to mesh </w:t>
      </w:r>
      <w:proofErr w:type="spellStart"/>
      <w:r w:rsidR="007E29D1">
        <w:t>distoritions</w:t>
      </w:r>
      <w:proofErr w:type="spellEnd"/>
    </w:p>
    <w:p w14:paraId="7C8F1563" w14:textId="71531AF8" w:rsidR="007E29D1" w:rsidRDefault="007E29D1" w:rsidP="007E29D1">
      <w:pPr>
        <w:pStyle w:val="ListParagraph"/>
        <w:numPr>
          <w:ilvl w:val="1"/>
          <w:numId w:val="2"/>
        </w:numPr>
      </w:pPr>
      <w:r>
        <w:t>LSQ accuracy breaks down for highly stretched meshes with curvature</w:t>
      </w:r>
    </w:p>
    <w:p w14:paraId="24B7B2B5" w14:textId="2AB96ED9" w:rsidR="007E29D1" w:rsidRDefault="005F6125" w:rsidP="005F6125">
      <w:pPr>
        <w:pStyle w:val="ListParagraph"/>
        <w:numPr>
          <w:ilvl w:val="0"/>
          <w:numId w:val="2"/>
        </w:numPr>
      </w:pPr>
      <w:r>
        <w:t>Hybrid methods using least squares in most regions, but Gauss-green in thin, distorted regions</w:t>
      </w:r>
    </w:p>
    <w:p w14:paraId="359A9340" w14:textId="57E0617A" w:rsidR="005F6125" w:rsidRDefault="00E0177F" w:rsidP="005F6125">
      <w:pPr>
        <w:pStyle w:val="ListParagraph"/>
        <w:numPr>
          <w:ilvl w:val="0"/>
          <w:numId w:val="2"/>
        </w:numPr>
      </w:pPr>
      <w:r>
        <w:t xml:space="preserve">Inverse weighted regression method </w:t>
      </w:r>
      <w:proofErr w:type="gramStart"/>
      <w:r>
        <w:t>best</w:t>
      </w:r>
      <w:proofErr w:type="gramEnd"/>
      <w:r>
        <w:t xml:space="preserve"> for irregular meshes according to Correa et al.</w:t>
      </w:r>
    </w:p>
    <w:p w14:paraId="78D69FBB" w14:textId="77777777" w:rsidR="00E0177F" w:rsidRDefault="00E0177F" w:rsidP="003A4274"/>
    <w:p w14:paraId="4039BEDA" w14:textId="77777777" w:rsidR="003A4274" w:rsidRDefault="003A4274" w:rsidP="003A4274"/>
    <w:p w14:paraId="0C8FEE58" w14:textId="77777777" w:rsidR="003A4274" w:rsidRDefault="003A4274" w:rsidP="003A4274"/>
    <w:p w14:paraId="7ADE6ADF" w14:textId="00BBA0E6" w:rsidR="003A4274" w:rsidRPr="001A0304" w:rsidRDefault="003A4274" w:rsidP="001A0304">
      <w:pPr>
        <w:pStyle w:val="Heading2"/>
      </w:pPr>
      <w:r w:rsidRPr="001A0304">
        <w:t>Method of Moments</w:t>
      </w:r>
    </w:p>
    <w:p w14:paraId="08B724DD" w14:textId="77777777" w:rsidR="0070521B" w:rsidRPr="0070521B" w:rsidRDefault="0070521B" w:rsidP="0070521B">
      <w:r w:rsidRPr="0070521B">
        <w:t xml:space="preserve">Yuan, C., F. Laurent, and R.O. Fox. “An Extended Quadrature Method of Moments for Population Balance Equations.” </w:t>
      </w:r>
      <w:r w:rsidRPr="0070521B">
        <w:rPr>
          <w:i/>
          <w:iCs/>
        </w:rPr>
        <w:t>Journal of Aerosol Science</w:t>
      </w:r>
      <w:r w:rsidRPr="0070521B">
        <w:t xml:space="preserve"> 51 (September 2012): 1–23. </w:t>
      </w:r>
      <w:hyperlink r:id="rId7" w:history="1">
        <w:r w:rsidRPr="0070521B">
          <w:rPr>
            <w:rStyle w:val="Hyperlink"/>
          </w:rPr>
          <w:t>https://doi.org/10.1016/j.jaerosci.2012.04.003</w:t>
        </w:r>
      </w:hyperlink>
      <w:r w:rsidRPr="0070521B">
        <w:t>.</w:t>
      </w:r>
    </w:p>
    <w:p w14:paraId="118C1489" w14:textId="55E729E9" w:rsidR="003A4274" w:rsidRDefault="003A4274" w:rsidP="003A4274">
      <w:r>
        <w:t>Notes:</w:t>
      </w:r>
    </w:p>
    <w:p w14:paraId="60A347BD" w14:textId="5BCFA16A" w:rsidR="003A4274" w:rsidRDefault="009E6DE9" w:rsidP="0070521B">
      <w:pPr>
        <w:pStyle w:val="ListParagraph"/>
        <w:numPr>
          <w:ilvl w:val="0"/>
          <w:numId w:val="3"/>
        </w:numPr>
      </w:pPr>
      <w:r w:rsidRPr="009E6DE9">
        <w:t>Quadrature-based moment methods (QBMM) are an important class of methods for which the accuracy of the solution can be improved in a controlled manner by increasing the number of quadrature nodes.</w:t>
      </w:r>
    </w:p>
    <w:p w14:paraId="3B542EF7" w14:textId="77777777" w:rsidR="009E6DE9" w:rsidRDefault="009E6DE9" w:rsidP="006B0505"/>
    <w:p w14:paraId="3F8F0903" w14:textId="77777777" w:rsidR="006B0505" w:rsidRDefault="006B0505" w:rsidP="006B0505"/>
    <w:p w14:paraId="20D88248" w14:textId="66392D00" w:rsidR="006B0505" w:rsidRDefault="006B0505" w:rsidP="006B0505">
      <w:r>
        <w:t>Chapter 7. Statistical Estimation (Stanford)</w:t>
      </w:r>
    </w:p>
    <w:p w14:paraId="684718EF" w14:textId="3503BEE6" w:rsidR="006B0505" w:rsidRDefault="006B0505" w:rsidP="006B0505">
      <w:pPr>
        <w:pStyle w:val="ListParagraph"/>
        <w:numPr>
          <w:ilvl w:val="0"/>
          <w:numId w:val="3"/>
        </w:numPr>
      </w:pPr>
      <w:r>
        <w:t>First sample moment is mean</w:t>
      </w:r>
    </w:p>
    <w:p w14:paraId="254F3D76" w14:textId="77D6CC5E" w:rsidR="006B0505" w:rsidRDefault="006B0505" w:rsidP="006B0505">
      <w:pPr>
        <w:pStyle w:val="ListParagraph"/>
        <w:numPr>
          <w:ilvl w:val="0"/>
          <w:numId w:val="3"/>
        </w:numPr>
      </w:pPr>
      <w:r>
        <w:t>Second sample moment is variance</w:t>
      </w:r>
    </w:p>
    <w:p w14:paraId="55AEC419" w14:textId="1D74BC00" w:rsidR="006B0505" w:rsidRDefault="000B11DF" w:rsidP="006B0505">
      <w:pPr>
        <w:pStyle w:val="ListParagraph"/>
        <w:numPr>
          <w:ilvl w:val="0"/>
          <w:numId w:val="3"/>
        </w:numPr>
      </w:pPr>
      <w:proofErr w:type="spellStart"/>
      <w:r>
        <w:lastRenderedPageBreak/>
        <w:t>iid</w:t>
      </w:r>
      <w:proofErr w:type="spellEnd"/>
      <w:r>
        <w:t xml:space="preserve"> = independent and identically distributed variables/samples</w:t>
      </w:r>
    </w:p>
    <w:p w14:paraId="3AA528A1" w14:textId="77777777" w:rsidR="000B11DF" w:rsidRDefault="000B11DF" w:rsidP="00840AD5"/>
    <w:p w14:paraId="58F1E302" w14:textId="77777777" w:rsidR="00840AD5" w:rsidRDefault="00840AD5" w:rsidP="00840AD5"/>
    <w:p w14:paraId="5B3A149D" w14:textId="77777777" w:rsidR="000F6CEC" w:rsidRPr="000F6CEC" w:rsidRDefault="000F6CEC" w:rsidP="000F6CEC">
      <w:r w:rsidRPr="000F6CEC">
        <w:t xml:space="preserve">Dürr, Robert, and Andreas </w:t>
      </w:r>
      <w:proofErr w:type="spellStart"/>
      <w:r w:rsidRPr="000F6CEC">
        <w:t>Bück</w:t>
      </w:r>
      <w:proofErr w:type="spellEnd"/>
      <w:r w:rsidRPr="000F6CEC">
        <w:t xml:space="preserve">. “Approximate Moment Methods for Population Balance Equations in Particulate and Bioengineering Processes.” </w:t>
      </w:r>
      <w:r w:rsidRPr="000F6CEC">
        <w:rPr>
          <w:i/>
          <w:iCs/>
        </w:rPr>
        <w:t>Processes</w:t>
      </w:r>
      <w:r w:rsidRPr="000F6CEC">
        <w:t xml:space="preserve"> 8, no. 4 (April 1, 2020): 414. </w:t>
      </w:r>
      <w:hyperlink r:id="rId8" w:history="1">
        <w:r w:rsidRPr="000F6CEC">
          <w:rPr>
            <w:rStyle w:val="Hyperlink"/>
          </w:rPr>
          <w:t>https://doi.org/10.3390/pr8040414</w:t>
        </w:r>
      </w:hyperlink>
      <w:r w:rsidRPr="000F6CEC">
        <w:t>.</w:t>
      </w:r>
    </w:p>
    <w:p w14:paraId="2D626F12" w14:textId="6C94C3F1" w:rsidR="00840AD5" w:rsidRDefault="000F6CEC" w:rsidP="00840AD5">
      <w:r>
        <w:t>Notes:</w:t>
      </w:r>
    </w:p>
    <w:p w14:paraId="16FEC3E7" w14:textId="009F1FFA" w:rsidR="000B11DF" w:rsidRDefault="00DE0E5D" w:rsidP="006B0505">
      <w:pPr>
        <w:pStyle w:val="ListParagraph"/>
        <w:numPr>
          <w:ilvl w:val="0"/>
          <w:numId w:val="3"/>
        </w:numPr>
      </w:pPr>
      <w:r>
        <w:t xml:space="preserve">In moment methods, the dynamics of integral quantities – </w:t>
      </w:r>
      <w:proofErr w:type="gramStart"/>
      <w:r>
        <w:t>such  as</w:t>
      </w:r>
      <w:proofErr w:type="gramEnd"/>
      <w:r>
        <w:t xml:space="preserve"> the mean or standard deviation – are computed instead of considering a complete number density function.</w:t>
      </w:r>
    </w:p>
    <w:p w14:paraId="03E76ABD" w14:textId="73060FB7" w:rsidR="00DE0E5D" w:rsidRDefault="00371D58" w:rsidP="006B0505">
      <w:pPr>
        <w:pStyle w:val="ListParagraph"/>
        <w:numPr>
          <w:ilvl w:val="0"/>
          <w:numId w:val="3"/>
        </w:numPr>
      </w:pPr>
      <w:r w:rsidRPr="00371D58">
        <w:t>In general, a closed set of moment equations is rarely found and, therefore, an approximate closure is necessary (i.e., a sound approximation of unknown moments by known ones).</w:t>
      </w:r>
    </w:p>
    <w:p w14:paraId="6F2F56DF" w14:textId="55A1AA5B" w:rsidR="00371D58" w:rsidRDefault="00244536" w:rsidP="006B0505">
      <w:pPr>
        <w:pStyle w:val="ListParagraph"/>
        <w:numPr>
          <w:ilvl w:val="0"/>
          <w:numId w:val="3"/>
        </w:numPr>
      </w:pPr>
      <w:r>
        <w:t>Method of Moments with Interpolating Closure</w:t>
      </w:r>
    </w:p>
    <w:p w14:paraId="4D64DDB6" w14:textId="7F83E224" w:rsidR="00244536" w:rsidRDefault="00113308" w:rsidP="00113308">
      <w:pPr>
        <w:pStyle w:val="ListParagraph"/>
        <w:numPr>
          <w:ilvl w:val="0"/>
          <w:numId w:val="3"/>
        </w:numPr>
      </w:pPr>
      <w:r>
        <w:t>Quadrature Method of Moments</w:t>
      </w:r>
    </w:p>
    <w:p w14:paraId="470DD4C3" w14:textId="63C10E9B" w:rsidR="00113308" w:rsidRDefault="008879F4" w:rsidP="00405350">
      <w:pPr>
        <w:pStyle w:val="ListParagraph"/>
        <w:numPr>
          <w:ilvl w:val="2"/>
          <w:numId w:val="3"/>
        </w:numPr>
      </w:pPr>
      <w:r w:rsidRPr="008879F4">
        <w:t xml:space="preserve">Due to its balance in favorable properties such as robustness, accuracy, and relatively low computational effort, </w:t>
      </w:r>
      <w:proofErr w:type="spellStart"/>
      <w:r w:rsidRPr="008879F4">
        <w:t>QMoM</w:t>
      </w:r>
      <w:proofErr w:type="spellEnd"/>
      <w:r w:rsidRPr="008879F4">
        <w:t xml:space="preserve"> has found wide application for efficient solution of PBEs emerging from modeling of spatially distributed polydisperse gas–liquid-particle flows</w:t>
      </w:r>
    </w:p>
    <w:p w14:paraId="34BB728B" w14:textId="12012A92" w:rsidR="00405350" w:rsidRDefault="0057334C" w:rsidP="00113308">
      <w:pPr>
        <w:pStyle w:val="ListParagraph"/>
        <w:numPr>
          <w:ilvl w:val="1"/>
          <w:numId w:val="3"/>
        </w:numPr>
      </w:pPr>
      <w:r>
        <w:t>Direct Quadrature Method of Moments (DQMOM)</w:t>
      </w:r>
    </w:p>
    <w:p w14:paraId="64322160" w14:textId="4E1DB717" w:rsidR="00D714CA" w:rsidRDefault="00D714CA" w:rsidP="00D714CA">
      <w:pPr>
        <w:pStyle w:val="ListParagraph"/>
        <w:numPr>
          <w:ilvl w:val="2"/>
          <w:numId w:val="3"/>
        </w:numPr>
      </w:pPr>
      <w:r w:rsidRPr="00D714CA">
        <w:t>One of the drawbacks of (D)</w:t>
      </w:r>
      <w:proofErr w:type="spellStart"/>
      <w:r w:rsidRPr="00D714CA">
        <w:t>QMoM</w:t>
      </w:r>
      <w:proofErr w:type="spellEnd"/>
      <w:r w:rsidRPr="00D714CA">
        <w:t xml:space="preserve"> is that increasing accuracy in terms of a higher amount of abscissas can yield ill-conditioned moment-inversion and thereby numerical instability and failure of the overall approximate moment method.</w:t>
      </w:r>
    </w:p>
    <w:p w14:paraId="6E9CCBB9" w14:textId="4501DD28" w:rsidR="0057334C" w:rsidRDefault="00686726" w:rsidP="00686726">
      <w:pPr>
        <w:pStyle w:val="ListParagraph"/>
        <w:numPr>
          <w:ilvl w:val="1"/>
          <w:numId w:val="3"/>
        </w:numPr>
      </w:pPr>
      <w:r>
        <w:t>Extended Quadrature Method of Moments</w:t>
      </w:r>
      <w:r w:rsidR="00B52699">
        <w:t xml:space="preserve"> (promising)</w:t>
      </w:r>
    </w:p>
    <w:p w14:paraId="7C2CF9B8" w14:textId="4C9DD4EB" w:rsidR="00686726" w:rsidRDefault="00D714CA" w:rsidP="00686726">
      <w:pPr>
        <w:pStyle w:val="ListParagraph"/>
        <w:numPr>
          <w:ilvl w:val="2"/>
          <w:numId w:val="3"/>
        </w:numPr>
      </w:pPr>
      <w:r>
        <w:t>Explicit form of the NDF</w:t>
      </w:r>
    </w:p>
    <w:p w14:paraId="78AE5CB5" w14:textId="294F65B2" w:rsidR="00D714CA" w:rsidRDefault="00621A3C" w:rsidP="00686726">
      <w:pPr>
        <w:pStyle w:val="ListParagraph"/>
        <w:numPr>
          <w:ilvl w:val="2"/>
          <w:numId w:val="3"/>
        </w:numPr>
      </w:pPr>
      <w:r w:rsidRPr="00621A3C">
        <w:t>Furthermore, the number of quadrature nodes can be increased independently from the number of transported moments and thereby achieve a more accurate representation of non-closing source terms</w:t>
      </w:r>
    </w:p>
    <w:p w14:paraId="3A676E27" w14:textId="5FAEBD12" w:rsidR="00621A3C" w:rsidRDefault="001410AE" w:rsidP="00686726">
      <w:pPr>
        <w:pStyle w:val="ListParagraph"/>
        <w:numPr>
          <w:ilvl w:val="2"/>
          <w:numId w:val="3"/>
        </w:numPr>
      </w:pPr>
      <w:r>
        <w:t>Can use any type of distribution (Gaussian, Gamma, Beta, Laplace, Log-normal, Weibull)</w:t>
      </w:r>
    </w:p>
    <w:p w14:paraId="67A2C99A" w14:textId="74E51D8C" w:rsidR="001410AE" w:rsidRDefault="00595E1F" w:rsidP="00595E1F">
      <w:pPr>
        <w:pStyle w:val="ListParagraph"/>
        <w:numPr>
          <w:ilvl w:val="1"/>
          <w:numId w:val="3"/>
        </w:numPr>
      </w:pPr>
      <w:r>
        <w:t>Sectional Quadrature Method of Moments</w:t>
      </w:r>
      <w:r w:rsidR="00B52699">
        <w:t xml:space="preserve"> (promising)</w:t>
      </w:r>
    </w:p>
    <w:p w14:paraId="537279E1" w14:textId="21FB9329" w:rsidR="00595E1F" w:rsidRDefault="00D71431" w:rsidP="00595E1F">
      <w:pPr>
        <w:pStyle w:val="ListParagraph"/>
        <w:numPr>
          <w:ilvl w:val="2"/>
          <w:numId w:val="3"/>
        </w:numPr>
      </w:pPr>
      <w:r>
        <w:t xml:space="preserve">Particle property space </w:t>
      </w:r>
    </w:p>
    <w:p w14:paraId="277F21CA" w14:textId="462949B5" w:rsidR="00422981" w:rsidRDefault="00422981" w:rsidP="00422981">
      <w:pPr>
        <w:pStyle w:val="ListParagraph"/>
        <w:numPr>
          <w:ilvl w:val="1"/>
          <w:numId w:val="3"/>
        </w:numPr>
      </w:pPr>
      <w:r>
        <w:t>Maximum Entropy (ME) Approach</w:t>
      </w:r>
    </w:p>
    <w:p w14:paraId="703652A8" w14:textId="6FA66737" w:rsidR="00422981" w:rsidRDefault="003455BB" w:rsidP="00B52699">
      <w:pPr>
        <w:pStyle w:val="ListParagraph"/>
        <w:numPr>
          <w:ilvl w:val="2"/>
          <w:numId w:val="3"/>
        </w:numPr>
      </w:pPr>
      <w:r>
        <w:t xml:space="preserve">More complex numerical effort, but </w:t>
      </w:r>
      <w:proofErr w:type="spellStart"/>
      <w:r>
        <w:t>allowes</w:t>
      </w:r>
      <w:proofErr w:type="spellEnd"/>
      <w:r>
        <w:t xml:space="preserve"> more accurate reconstruction of the NDF</w:t>
      </w:r>
    </w:p>
    <w:p w14:paraId="765DBA0F" w14:textId="08F222A0" w:rsidR="003455BB" w:rsidRDefault="00DC469D" w:rsidP="003455BB">
      <w:pPr>
        <w:pStyle w:val="ListParagraph"/>
        <w:numPr>
          <w:ilvl w:val="1"/>
          <w:numId w:val="3"/>
        </w:numPr>
      </w:pPr>
      <w:r>
        <w:t>Moment Projection Method</w:t>
      </w:r>
    </w:p>
    <w:p w14:paraId="11BFE095" w14:textId="5F057F5B" w:rsidR="00DC469D" w:rsidRDefault="00827879" w:rsidP="00DC469D">
      <w:pPr>
        <w:pStyle w:val="ListParagraph"/>
        <w:numPr>
          <w:ilvl w:val="2"/>
          <w:numId w:val="3"/>
        </w:numPr>
      </w:pPr>
      <w:r>
        <w:t xml:space="preserve">Other methods fail when shrinkage dominates </w:t>
      </w:r>
      <w:r w:rsidR="00D46F8E">
        <w:t>–</w:t>
      </w:r>
      <w:r>
        <w:t xml:space="preserve"> abs</w:t>
      </w:r>
    </w:p>
    <w:p w14:paraId="5817F5B9" w14:textId="2A02C9AC" w:rsidR="00FC460C" w:rsidRDefault="00B14437" w:rsidP="00B14437">
      <w:pPr>
        <w:pStyle w:val="ListParagraph"/>
        <w:numPr>
          <w:ilvl w:val="1"/>
          <w:numId w:val="3"/>
        </w:numPr>
      </w:pPr>
      <w:r>
        <w:t>Multivariate systems</w:t>
      </w:r>
    </w:p>
    <w:p w14:paraId="34E9592A" w14:textId="20D768B8" w:rsidR="00B14437" w:rsidRDefault="00EB081E" w:rsidP="00B14437">
      <w:pPr>
        <w:pStyle w:val="ListParagraph"/>
        <w:numPr>
          <w:ilvl w:val="2"/>
          <w:numId w:val="3"/>
        </w:numPr>
      </w:pPr>
      <w:r>
        <w:t>Unknown moments can be represented with interpolation</w:t>
      </w:r>
    </w:p>
    <w:p w14:paraId="60907D36" w14:textId="08B35785" w:rsidR="00EB081E" w:rsidRDefault="00EB081E" w:rsidP="00B14437">
      <w:pPr>
        <w:pStyle w:val="ListParagraph"/>
        <w:numPr>
          <w:ilvl w:val="2"/>
          <w:numId w:val="3"/>
        </w:numPr>
      </w:pPr>
      <w:proofErr w:type="spellStart"/>
      <w:r>
        <w:t>QMoM</w:t>
      </w:r>
      <w:proofErr w:type="spellEnd"/>
      <w:r>
        <w:t xml:space="preserve"> and principal component analysis</w:t>
      </w:r>
    </w:p>
    <w:p w14:paraId="7329D471" w14:textId="10FC28F0" w:rsidR="00D46F8E" w:rsidRDefault="00D46F8E" w:rsidP="00D46F8E">
      <w:pPr>
        <w:pStyle w:val="ListParagraph"/>
        <w:numPr>
          <w:ilvl w:val="1"/>
          <w:numId w:val="3"/>
        </w:numPr>
      </w:pPr>
      <w:r>
        <w:t xml:space="preserve">Abscissas are the discrete points used to approximate the distribution </w:t>
      </w:r>
    </w:p>
    <w:p w14:paraId="01BB3940" w14:textId="77777777" w:rsidR="001036CC" w:rsidRDefault="001036CC" w:rsidP="001036CC"/>
    <w:p w14:paraId="5852E8C9" w14:textId="77777777" w:rsidR="00383601" w:rsidRPr="00383601" w:rsidRDefault="00383601" w:rsidP="00383601">
      <w:proofErr w:type="spellStart"/>
      <w:r w:rsidRPr="00383601">
        <w:lastRenderedPageBreak/>
        <w:t>Shiea</w:t>
      </w:r>
      <w:proofErr w:type="spellEnd"/>
      <w:r w:rsidRPr="00383601">
        <w:t xml:space="preserve">, Mohsen, Antonio Buffo, Marco Vanni, and Daniele Marchisio. “Numerical Methods for the Solution of Population Balance Equations Coupled with Computational Fluid Dynamics.” </w:t>
      </w:r>
      <w:r w:rsidRPr="00383601">
        <w:rPr>
          <w:i/>
          <w:iCs/>
        </w:rPr>
        <w:t>Annual Review of Chemical and Biomolecular Engineering</w:t>
      </w:r>
      <w:r w:rsidRPr="00383601">
        <w:t xml:space="preserve"> 11, no. 1 (June 8, 2020): 339–66. </w:t>
      </w:r>
      <w:hyperlink r:id="rId9" w:history="1">
        <w:r w:rsidRPr="00383601">
          <w:rPr>
            <w:rStyle w:val="Hyperlink"/>
          </w:rPr>
          <w:t>https://doi.org/10.1146/annurev-chembioeng-092319-075814</w:t>
        </w:r>
      </w:hyperlink>
      <w:r w:rsidRPr="00383601">
        <w:t>.</w:t>
      </w:r>
    </w:p>
    <w:p w14:paraId="7ABBBDC2" w14:textId="77777777" w:rsidR="001036CC" w:rsidRDefault="001036CC" w:rsidP="001036CC"/>
    <w:p w14:paraId="23AD4755" w14:textId="09477B43" w:rsidR="00383601" w:rsidRDefault="00383601" w:rsidP="001036CC">
      <w:r>
        <w:t>Notes:</w:t>
      </w:r>
    </w:p>
    <w:p w14:paraId="28FAC21D" w14:textId="48EC722E" w:rsidR="00383601" w:rsidRDefault="00383601" w:rsidP="00383601">
      <w:pPr>
        <w:pStyle w:val="ListParagraph"/>
        <w:numPr>
          <w:ilvl w:val="0"/>
          <w:numId w:val="5"/>
        </w:numPr>
      </w:pPr>
      <w:r>
        <w:t>Eulerian CFD</w:t>
      </w:r>
    </w:p>
    <w:p w14:paraId="3F545AC4" w14:textId="3F0D1D5C" w:rsidR="00383601" w:rsidRDefault="00383601" w:rsidP="00383601">
      <w:pPr>
        <w:pStyle w:val="ListParagraph"/>
        <w:numPr>
          <w:ilvl w:val="1"/>
          <w:numId w:val="5"/>
        </w:numPr>
      </w:pPr>
      <w:r>
        <w:t>Key factors for selecting appropriate Eulerian methods for multiphase CFD: Stokes number and volume fraction of disperse phase elements</w:t>
      </w:r>
    </w:p>
    <w:p w14:paraId="3A23BE17" w14:textId="5185E515" w:rsidR="00383601" w:rsidRDefault="00383601" w:rsidP="00383601">
      <w:pPr>
        <w:pStyle w:val="ListParagraph"/>
        <w:numPr>
          <w:ilvl w:val="1"/>
          <w:numId w:val="5"/>
        </w:numPr>
      </w:pPr>
      <w:r>
        <w:t>Dusty gas model</w:t>
      </w:r>
    </w:p>
    <w:p w14:paraId="08A969DF" w14:textId="041386B4" w:rsidR="00383601" w:rsidRDefault="00CA033E" w:rsidP="00383601">
      <w:pPr>
        <w:pStyle w:val="ListParagraph"/>
        <w:numPr>
          <w:ilvl w:val="2"/>
          <w:numId w:val="5"/>
        </w:numPr>
      </w:pPr>
      <w:r>
        <w:t>Small particles, low Stokes number, velocity just matches continuous phase</w:t>
      </w:r>
    </w:p>
    <w:p w14:paraId="75980ED7" w14:textId="361BEA78" w:rsidR="00CA033E" w:rsidRDefault="00D55B39" w:rsidP="00CA033E">
      <w:pPr>
        <w:pStyle w:val="ListParagraph"/>
        <w:numPr>
          <w:ilvl w:val="1"/>
          <w:numId w:val="5"/>
        </w:numPr>
      </w:pPr>
      <w:r>
        <w:t>Mixture model</w:t>
      </w:r>
    </w:p>
    <w:p w14:paraId="348AA6CB" w14:textId="400279F7" w:rsidR="00D55B39" w:rsidRDefault="00D55B39" w:rsidP="00D55B39">
      <w:pPr>
        <w:pStyle w:val="ListParagraph"/>
        <w:numPr>
          <w:ilvl w:val="2"/>
          <w:numId w:val="5"/>
        </w:numPr>
      </w:pPr>
      <w:r>
        <w:t xml:space="preserve">Velocity of particles differs from liquid because of higher Stokes. </w:t>
      </w:r>
    </w:p>
    <w:p w14:paraId="1704E289" w14:textId="32495029" w:rsidR="0053387A" w:rsidRDefault="0053387A" w:rsidP="00D55B39">
      <w:pPr>
        <w:pStyle w:val="ListParagraph"/>
        <w:numPr>
          <w:ilvl w:val="2"/>
          <w:numId w:val="5"/>
        </w:numPr>
      </w:pPr>
      <w:r w:rsidRPr="0053387A">
        <w:t>Under equilibrium assumption, the relative velocity between the disperse elements and the continuous phase can be expressed as an algebraic relation obtained from a force balance on the elements (usually drag and buoyancy forces).</w:t>
      </w:r>
    </w:p>
    <w:p w14:paraId="0DAB1C40" w14:textId="513D2291" w:rsidR="0053387A" w:rsidRDefault="0053387A" w:rsidP="00D55B39">
      <w:pPr>
        <w:pStyle w:val="ListParagraph"/>
        <w:numPr>
          <w:ilvl w:val="2"/>
          <w:numId w:val="5"/>
        </w:numPr>
      </w:pPr>
      <w:proofErr w:type="gramStart"/>
      <w:r w:rsidRPr="0053387A">
        <w:t>disperse</w:t>
      </w:r>
      <w:proofErr w:type="gramEnd"/>
      <w:r w:rsidRPr="0053387A">
        <w:t xml:space="preserve"> system is dilute enough, one momentum balance equation is solved for the velocity of the continuous phase, and then the algebraic relation is used to calculate the velocity of the disperse phase</w:t>
      </w:r>
    </w:p>
    <w:p w14:paraId="61D62EB8" w14:textId="2C155FB6" w:rsidR="0053387A" w:rsidRDefault="003F4832" w:rsidP="003F4832">
      <w:pPr>
        <w:pStyle w:val="ListParagraph"/>
        <w:numPr>
          <w:ilvl w:val="1"/>
          <w:numId w:val="5"/>
        </w:numPr>
      </w:pPr>
      <w:proofErr w:type="gramStart"/>
      <w:r>
        <w:t>Two and</w:t>
      </w:r>
      <w:proofErr w:type="gramEnd"/>
      <w:r>
        <w:t xml:space="preserve"> multifluid models</w:t>
      </w:r>
    </w:p>
    <w:p w14:paraId="2E24B266" w14:textId="77777777" w:rsidR="003F4832" w:rsidRDefault="003F4832" w:rsidP="00B3381E"/>
    <w:p w14:paraId="46040330" w14:textId="77777777" w:rsidR="006248A2" w:rsidRPr="006248A2" w:rsidRDefault="006248A2" w:rsidP="006248A2">
      <w:proofErr w:type="spellStart"/>
      <w:r w:rsidRPr="006248A2">
        <w:t>Attarakih</w:t>
      </w:r>
      <w:proofErr w:type="spellEnd"/>
      <w:r w:rsidRPr="006248A2">
        <w:t xml:space="preserve">, </w:t>
      </w:r>
      <w:proofErr w:type="spellStart"/>
      <w:r w:rsidRPr="006248A2">
        <w:t>Menwer</w:t>
      </w:r>
      <w:proofErr w:type="spellEnd"/>
      <w:r w:rsidRPr="006248A2">
        <w:t xml:space="preserve"> M., Christian Drumm, and Hans-Jörg Bart. “Solution of the Population Balance Equation Using the Sectional Quadrature Method of Moments (SQMOM).” </w:t>
      </w:r>
      <w:r w:rsidRPr="006248A2">
        <w:rPr>
          <w:i/>
          <w:iCs/>
        </w:rPr>
        <w:t>Chemical Engineering Science</w:t>
      </w:r>
      <w:r w:rsidRPr="006248A2">
        <w:t xml:space="preserve"> 64, no. 4 (February 2009): 742–52. </w:t>
      </w:r>
      <w:hyperlink r:id="rId10" w:history="1">
        <w:r w:rsidRPr="006248A2">
          <w:rPr>
            <w:rStyle w:val="Hyperlink"/>
          </w:rPr>
          <w:t>https://doi.org/10.1016/j.ces.2008.05.006</w:t>
        </w:r>
      </w:hyperlink>
      <w:r w:rsidRPr="006248A2">
        <w:t>.</w:t>
      </w:r>
    </w:p>
    <w:p w14:paraId="5D51140A" w14:textId="1E224FF4" w:rsidR="006248A2" w:rsidRDefault="006248A2" w:rsidP="00B3381E">
      <w:r>
        <w:t>Notes:</w:t>
      </w:r>
    </w:p>
    <w:p w14:paraId="3F5411E4" w14:textId="77777777" w:rsidR="006248A2" w:rsidRDefault="006248A2" w:rsidP="007A5D0C">
      <w:pPr>
        <w:pStyle w:val="ListParagraph"/>
        <w:numPr>
          <w:ilvl w:val="0"/>
          <w:numId w:val="5"/>
        </w:numPr>
      </w:pPr>
    </w:p>
    <w:p w14:paraId="6ABEC8B2" w14:textId="77777777" w:rsidR="004E56CA" w:rsidRDefault="004E56CA" w:rsidP="004E56CA"/>
    <w:p w14:paraId="3A1D4227" w14:textId="77777777" w:rsidR="004E56CA" w:rsidRDefault="004E56CA" w:rsidP="004E56CA"/>
    <w:p w14:paraId="6B3EB7DB" w14:textId="77777777" w:rsidR="00D97DBB" w:rsidRPr="00D97DBB" w:rsidRDefault="00D97DBB" w:rsidP="00D97DBB">
      <w:r w:rsidRPr="00D97DBB">
        <w:t xml:space="preserve">Marchisio, Daniele L., </w:t>
      </w:r>
      <w:proofErr w:type="spellStart"/>
      <w:proofErr w:type="gramStart"/>
      <w:r w:rsidRPr="00D97DBB">
        <w:t>R.Dennis</w:t>
      </w:r>
      <w:proofErr w:type="spellEnd"/>
      <w:proofErr w:type="gramEnd"/>
      <w:r w:rsidRPr="00D97DBB">
        <w:t xml:space="preserve"> Vigil, and Rodney O. Fox. “Quadrature Method of Moments for Aggregation–Breakage Processes.” </w:t>
      </w:r>
      <w:r w:rsidRPr="00D97DBB">
        <w:rPr>
          <w:i/>
          <w:iCs/>
        </w:rPr>
        <w:t>Journal of Colloid and Interface Science</w:t>
      </w:r>
      <w:r w:rsidRPr="00D97DBB">
        <w:t xml:space="preserve"> 258, no. 2 (February 2003): 322–34. </w:t>
      </w:r>
      <w:hyperlink r:id="rId11" w:history="1">
        <w:r w:rsidRPr="00D97DBB">
          <w:rPr>
            <w:rStyle w:val="Hyperlink"/>
          </w:rPr>
          <w:t>https://doi.org/10.1016/S0021-9797(02)00054-1</w:t>
        </w:r>
      </w:hyperlink>
      <w:r w:rsidRPr="00D97DBB">
        <w:t>.</w:t>
      </w:r>
    </w:p>
    <w:p w14:paraId="3063D57C" w14:textId="0A5CF7A3" w:rsidR="004E56CA" w:rsidRDefault="00D97DBB" w:rsidP="004E56CA">
      <w:r>
        <w:t>Notes:</w:t>
      </w:r>
    </w:p>
    <w:p w14:paraId="0A340619" w14:textId="2ED4C889" w:rsidR="00D97DBB" w:rsidRDefault="00A67E46" w:rsidP="00D97DBB">
      <w:pPr>
        <w:pStyle w:val="ListParagraph"/>
        <w:numPr>
          <w:ilvl w:val="0"/>
          <w:numId w:val="5"/>
        </w:numPr>
      </w:pPr>
      <w:r>
        <w:t>To apply QMOM, the general aggregation-breakage PBE must be written in terms of the moments of the number density function</w:t>
      </w:r>
    </w:p>
    <w:p w14:paraId="2BBEF24C" w14:textId="77777777" w:rsidR="006271EB" w:rsidRPr="006271EB" w:rsidRDefault="00815F9E" w:rsidP="00A67E46">
      <w:pPr>
        <w:pStyle w:val="ListParagraph"/>
        <w:numPr>
          <w:ilvl w:val="1"/>
          <w:numId w:val="5"/>
        </w:numPr>
      </w:pPr>
      <w:r>
        <w:t>Moment transformation</w:t>
      </w:r>
      <w:r w:rsidR="001B2432">
        <w:t xml:space="preserve">: </w:t>
      </w:r>
    </w:p>
    <w:p w14:paraId="7E83416D" w14:textId="10F896D4" w:rsidR="00A67E46" w:rsidRPr="006271EB" w:rsidRDefault="001B2432" w:rsidP="006271EB">
      <w:pPr>
        <w:pStyle w:val="ListParagraph"/>
        <w:numPr>
          <w:ilvl w:val="2"/>
          <w:numId w:val="5"/>
        </w:numPr>
      </w:pPr>
      <m:oMath>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n</m:t>
            </m:r>
            <m:d>
              <m:dPr>
                <m:ctrlPr>
                  <w:rPr>
                    <w:rFonts w:ascii="Cambria Math" w:hAnsi="Cambria Math"/>
                    <w:i/>
                  </w:rPr>
                </m:ctrlPr>
              </m:dPr>
              <m:e>
                <m:r>
                  <w:rPr>
                    <w:rFonts w:ascii="Cambria Math" w:hAnsi="Cambria Math"/>
                  </w:rPr>
                  <m:t>L;t</m:t>
                </m:r>
              </m:e>
            </m:d>
            <m:sSup>
              <m:sSupPr>
                <m:ctrlPr>
                  <w:rPr>
                    <w:rFonts w:ascii="Cambria Math" w:hAnsi="Cambria Math"/>
                    <w:i/>
                  </w:rPr>
                </m:ctrlPr>
              </m:sSupPr>
              <m:e>
                <m:r>
                  <w:rPr>
                    <w:rFonts w:ascii="Cambria Math" w:hAnsi="Cambria Math"/>
                  </w:rPr>
                  <m:t>L</m:t>
                </m:r>
              </m:e>
              <m:sup>
                <m:r>
                  <w:rPr>
                    <w:rFonts w:ascii="Cambria Math" w:hAnsi="Cambria Math"/>
                  </w:rPr>
                  <m:t>k</m:t>
                </m:r>
              </m:sup>
            </m:sSup>
            <m:r>
              <w:rPr>
                <w:rFonts w:ascii="Cambria Math" w:hAnsi="Cambria Math"/>
              </w:rPr>
              <m:t>dL</m:t>
            </m:r>
          </m:e>
        </m:nary>
      </m:oMath>
      <w:r w:rsidR="00C73938">
        <w:rPr>
          <w:rFonts w:eastAsiaTheme="minorEastAsia"/>
        </w:rPr>
        <w:t xml:space="preserve">   </w:t>
      </w:r>
    </w:p>
    <w:p w14:paraId="6959F1ED" w14:textId="62FBD4BF" w:rsidR="006271EB" w:rsidRPr="00C23F0B" w:rsidRDefault="006271EB" w:rsidP="006271EB">
      <w:pPr>
        <w:pStyle w:val="ListParagraph"/>
        <w:numPr>
          <w:ilvl w:val="2"/>
          <w:numId w:val="5"/>
        </w:numPr>
      </w:pP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L;t</m:t>
                </m:r>
              </m:e>
            </m:d>
          </m:num>
          <m:den>
            <m:r>
              <w:rPr>
                <w:rFonts w:ascii="Cambria Math" w:hAnsi="Cambria Math"/>
              </w:rPr>
              <m:t>∂t</m:t>
            </m:r>
          </m:den>
        </m:f>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a</m:t>
            </m:r>
          </m:sup>
        </m:sSup>
        <m:d>
          <m:dPr>
            <m:ctrlPr>
              <w:rPr>
                <w:rFonts w:ascii="Cambria Math" w:hAnsi="Cambria Math"/>
                <w:i/>
              </w:rPr>
            </m:ctrlPr>
          </m:dPr>
          <m:e>
            <m:r>
              <w:rPr>
                <w:rFonts w:ascii="Cambria Math" w:hAnsi="Cambria Math"/>
              </w:rPr>
              <m:t>L;t</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a</m:t>
            </m:r>
          </m:sup>
        </m:sSup>
        <m:d>
          <m:dPr>
            <m:ctrlPr>
              <w:rPr>
                <w:rFonts w:ascii="Cambria Math" w:hAnsi="Cambria Math"/>
                <w:i/>
              </w:rPr>
            </m:ctrlPr>
          </m:dPr>
          <m:e>
            <m:r>
              <w:rPr>
                <w:rFonts w:ascii="Cambria Math" w:hAnsi="Cambria Math"/>
              </w:rPr>
              <m:t>L;t</m:t>
            </m:r>
          </m:e>
        </m:d>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b</m:t>
            </m:r>
          </m:sup>
        </m:sSup>
        <m:d>
          <m:dPr>
            <m:ctrlPr>
              <w:rPr>
                <w:rFonts w:ascii="Cambria Math" w:hAnsi="Cambria Math"/>
                <w:i/>
              </w:rPr>
            </m:ctrlPr>
          </m:dPr>
          <m:e>
            <m:r>
              <w:rPr>
                <w:rFonts w:ascii="Cambria Math" w:hAnsi="Cambria Math"/>
              </w:rPr>
              <m:t>L;t</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b</m:t>
            </m:r>
          </m:sup>
        </m:sSup>
        <m:d>
          <m:dPr>
            <m:ctrlPr>
              <w:rPr>
                <w:rFonts w:ascii="Cambria Math" w:hAnsi="Cambria Math"/>
                <w:i/>
              </w:rPr>
            </m:ctrlPr>
          </m:dPr>
          <m:e>
            <m:r>
              <w:rPr>
                <w:rFonts w:ascii="Cambria Math" w:hAnsi="Cambria Math"/>
              </w:rPr>
              <m:t>L;t</m:t>
            </m:r>
          </m:e>
        </m:d>
      </m:oMath>
    </w:p>
    <w:p w14:paraId="676A6F4E" w14:textId="72B053EF" w:rsidR="00C23F0B" w:rsidRPr="00E1659C" w:rsidRDefault="00C23F0B" w:rsidP="006271EB">
      <w:pPr>
        <w:pStyle w:val="ListParagraph"/>
        <w:numPr>
          <w:ilvl w:val="2"/>
          <w:numId w:val="5"/>
        </w:numP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hAnsi="Cambria Math"/>
          </w:rPr>
          <m:t>=</m:t>
        </m:r>
        <m:acc>
          <m:accPr>
            <m:chr m:val="̅"/>
            <m:ctrlPr>
              <w:rPr>
                <w:rFonts w:ascii="Cambria Math" w:hAnsi="Cambria Math"/>
                <w:i/>
              </w:rPr>
            </m:ctrlPr>
          </m:accPr>
          <m:e>
            <m:sSubSup>
              <m:sSubSupPr>
                <m:ctrlPr>
                  <w:rPr>
                    <w:rFonts w:ascii="Cambria Math" w:hAnsi="Cambria Math"/>
                    <w:i/>
                  </w:rPr>
                </m:ctrlPr>
              </m:sSubSupPr>
              <m:e>
                <m:r>
                  <w:rPr>
                    <w:rFonts w:ascii="Cambria Math" w:hAnsi="Cambria Math"/>
                  </w:rPr>
                  <m:t>B</m:t>
                </m:r>
              </m:e>
              <m:sub>
                <m:r>
                  <w:rPr>
                    <w:rFonts w:ascii="Cambria Math" w:hAnsi="Cambria Math"/>
                  </w:rPr>
                  <m:t>k</m:t>
                </m:r>
              </m:sub>
              <m:sup>
                <m:r>
                  <w:rPr>
                    <w:rFonts w:ascii="Cambria Math" w:hAnsi="Cambria Math"/>
                  </w:rPr>
                  <m:t>a</m:t>
                </m:r>
              </m:sup>
            </m:sSubSup>
          </m:e>
        </m:acc>
        <m:r>
          <w:rPr>
            <w:rFonts w:ascii="Cambria Math" w:hAnsi="Cambria Math"/>
          </w:rPr>
          <m:t>-</m:t>
        </m:r>
        <m:acc>
          <m:accPr>
            <m:chr m:val="̅"/>
            <m:ctrlPr>
              <w:rPr>
                <w:rFonts w:ascii="Cambria Math" w:hAnsi="Cambria Math"/>
                <w:i/>
              </w:rPr>
            </m:ctrlPr>
          </m:accPr>
          <m:e>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a</m:t>
                </m:r>
              </m:sup>
            </m:sSubSup>
          </m:e>
        </m:acc>
        <m:r>
          <w:rPr>
            <w:rFonts w:ascii="Cambria Math" w:hAnsi="Cambria Math"/>
          </w:rPr>
          <m:t>+</m:t>
        </m:r>
        <m:acc>
          <m:accPr>
            <m:chr m:val="̅"/>
            <m:ctrlPr>
              <w:rPr>
                <w:rFonts w:ascii="Cambria Math" w:hAnsi="Cambria Math"/>
                <w:i/>
              </w:rPr>
            </m:ctrlPr>
          </m:accPr>
          <m:e>
            <m:sSubSup>
              <m:sSubSupPr>
                <m:ctrlPr>
                  <w:rPr>
                    <w:rFonts w:ascii="Cambria Math" w:hAnsi="Cambria Math"/>
                    <w:i/>
                  </w:rPr>
                </m:ctrlPr>
              </m:sSubSupPr>
              <m:e>
                <m:r>
                  <w:rPr>
                    <w:rFonts w:ascii="Cambria Math" w:hAnsi="Cambria Math"/>
                  </w:rPr>
                  <m:t>B</m:t>
                </m:r>
              </m:e>
              <m:sub>
                <m:r>
                  <w:rPr>
                    <w:rFonts w:ascii="Cambria Math" w:hAnsi="Cambria Math"/>
                  </w:rPr>
                  <m:t>k</m:t>
                </m:r>
              </m:sub>
              <m:sup>
                <m:r>
                  <w:rPr>
                    <w:rFonts w:ascii="Cambria Math" w:hAnsi="Cambria Math"/>
                  </w:rPr>
                  <m:t>b</m:t>
                </m:r>
              </m:sup>
            </m:sSubSup>
          </m:e>
        </m:acc>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D</m:t>
                </m:r>
              </m:e>
            </m:acc>
          </m:e>
          <m:sub>
            <m:r>
              <w:rPr>
                <w:rFonts w:ascii="Cambria Math" w:hAnsi="Cambria Math"/>
              </w:rPr>
              <m:t>k</m:t>
            </m:r>
          </m:sub>
          <m:sup>
            <m:r>
              <w:rPr>
                <w:rFonts w:ascii="Cambria Math" w:hAnsi="Cambria Math"/>
              </w:rPr>
              <m:t>b</m:t>
            </m:r>
          </m:sup>
        </m:sSubSup>
      </m:oMath>
    </w:p>
    <w:p w14:paraId="7CFFC9B0" w14:textId="3381D8D8" w:rsidR="00E1659C" w:rsidRPr="00E1659C" w:rsidRDefault="00E1659C" w:rsidP="006271EB">
      <w:pPr>
        <w:pStyle w:val="ListParagraph"/>
        <w:numPr>
          <w:ilvl w:val="2"/>
          <w:numId w:val="5"/>
        </w:numPr>
      </w:pPr>
      <w:r>
        <w:rPr>
          <w:rFonts w:eastAsiaTheme="minorEastAsia"/>
        </w:rPr>
        <w:t>The B and D terms represent source and sink terms related to aggregation (a) and breakage (b). They are integral equations listed in the reference.</w:t>
      </w:r>
    </w:p>
    <w:p w14:paraId="22F65E44" w14:textId="3A3DC12F" w:rsidR="00E1659C" w:rsidRPr="00E1659C" w:rsidRDefault="00E1659C" w:rsidP="00E1659C">
      <w:pPr>
        <w:pStyle w:val="ListParagraph"/>
        <w:numPr>
          <w:ilvl w:val="0"/>
          <w:numId w:val="5"/>
        </w:numPr>
      </w:pPr>
      <w:r>
        <w:rPr>
          <w:rFonts w:eastAsiaTheme="minorEastAsia"/>
        </w:rPr>
        <w:t>Application of QMOM</w:t>
      </w:r>
    </w:p>
    <w:p w14:paraId="34EDCEAF" w14:textId="38C80786" w:rsidR="00E1659C" w:rsidRPr="002D78B6" w:rsidRDefault="00507C10" w:rsidP="00E1659C">
      <w:pPr>
        <w:pStyle w:val="ListParagraph"/>
        <w:numPr>
          <w:ilvl w:val="1"/>
          <w:numId w:val="5"/>
        </w:numPr>
        <w:rPr>
          <w:rFonts w:eastAsiaTheme="minorEastAsia"/>
        </w:rPr>
      </w:pPr>
      <w:r>
        <w:rPr>
          <w:rFonts w:eastAsiaTheme="minorEastAsia"/>
        </w:rPr>
        <w:t xml:space="preserve">Quadrature approximation: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m:t>
            </m:r>
          </m:sub>
        </m:sSub>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L</m:t>
                </m:r>
              </m:e>
            </m:d>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k</m:t>
                </m:r>
              </m:sup>
            </m:sSup>
            <m:r>
              <w:rPr>
                <w:rFonts w:ascii="Cambria Math" w:eastAsiaTheme="minorEastAsia" w:hAnsi="Cambria Math"/>
              </w:rPr>
              <m:t>dL≈</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i</m:t>
                    </m:r>
                  </m:sub>
                  <m:sup>
                    <m:r>
                      <w:rPr>
                        <w:rFonts w:ascii="Cambria Math" w:eastAsiaTheme="minorEastAsia" w:hAnsi="Cambria Math"/>
                      </w:rPr>
                      <m:t>k</m:t>
                    </m:r>
                  </m:sup>
                </m:sSubSup>
              </m:e>
            </m:nary>
          </m:e>
        </m:nary>
      </m:oMath>
    </w:p>
    <w:p w14:paraId="23B1298D" w14:textId="4665F42A" w:rsidR="002D78B6" w:rsidRDefault="002D78B6" w:rsidP="00E1659C">
      <w:pPr>
        <w:pStyle w:val="ListParagraph"/>
        <w:numPr>
          <w:ilvl w:val="1"/>
          <w:numId w:val="5"/>
        </w:num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Pr>
          <w:rFonts w:eastAsiaTheme="minorEastAsia"/>
        </w:rPr>
        <w:t xml:space="preserve"> are weights,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Pr>
          <w:rFonts w:eastAsiaTheme="minorEastAsia"/>
        </w:rPr>
        <w:t xml:space="preserve"> is the abscissas. They are </w:t>
      </w:r>
      <w:proofErr w:type="gramStart"/>
      <w:r>
        <w:rPr>
          <w:rFonts w:eastAsiaTheme="minorEastAsia"/>
        </w:rPr>
        <w:t>determined</w:t>
      </w:r>
      <w:proofErr w:type="gramEnd"/>
      <w:r>
        <w:rPr>
          <w:rFonts w:eastAsiaTheme="minorEastAsia"/>
        </w:rPr>
        <w:t xml:space="preserve"> using the product </w:t>
      </w:r>
      <w:proofErr w:type="spellStart"/>
      <w:r>
        <w:rPr>
          <w:rFonts w:eastAsiaTheme="minorEastAsia"/>
        </w:rPr>
        <w:t>differene</w:t>
      </w:r>
      <w:proofErr w:type="spellEnd"/>
      <w:r>
        <w:rPr>
          <w:rFonts w:eastAsiaTheme="minorEastAsia"/>
        </w:rPr>
        <w:t xml:space="preserve"> algorithm from the lower order moments.</w:t>
      </w:r>
    </w:p>
    <w:p w14:paraId="64990826" w14:textId="5DE41171" w:rsidR="00FD5F6C" w:rsidRDefault="00FD5F6C" w:rsidP="00E1659C">
      <w:pPr>
        <w:pStyle w:val="ListParagraph"/>
        <w:numPr>
          <w:ilvl w:val="1"/>
          <w:numId w:val="5"/>
        </w:numPr>
        <w:rPr>
          <w:rFonts w:eastAsiaTheme="minorEastAsia"/>
        </w:rPr>
      </w:pPr>
      <w:r>
        <w:rPr>
          <w:rFonts w:eastAsiaTheme="minorEastAsia"/>
        </w:rPr>
        <w:t>Details of algorithm in appendix B</w:t>
      </w:r>
    </w:p>
    <w:p w14:paraId="2B17DD6E" w14:textId="576E1BD7" w:rsidR="00FD5F6C" w:rsidRDefault="00A85077" w:rsidP="00E1659C">
      <w:pPr>
        <w:pStyle w:val="ListParagraph"/>
        <w:numPr>
          <w:ilvl w:val="1"/>
          <w:numId w:val="5"/>
        </w:numPr>
        <w:rPr>
          <w:rFonts w:eastAsiaTheme="minorEastAsia"/>
        </w:rPr>
      </w:pPr>
      <w:r>
        <w:rPr>
          <w:rFonts w:eastAsiaTheme="minorEastAsia"/>
        </w:rPr>
        <w:t>Complete derivation in three sources</w:t>
      </w:r>
    </w:p>
    <w:p w14:paraId="31C13EED" w14:textId="537ECAE9" w:rsidR="00A85077" w:rsidRDefault="00A85077" w:rsidP="00E1659C">
      <w:pPr>
        <w:pStyle w:val="ListParagraph"/>
        <w:numPr>
          <w:ilvl w:val="1"/>
          <w:numId w:val="5"/>
        </w:numPr>
        <w:rPr>
          <w:rFonts w:eastAsiaTheme="minorEastAsia"/>
        </w:rPr>
      </w:pPr>
      <w:r>
        <w:rPr>
          <w:rFonts w:eastAsiaTheme="minorEastAsia"/>
        </w:rPr>
        <w:t>“</w:t>
      </w:r>
      <w:r w:rsidRPr="00A85077">
        <w:rPr>
          <w:rFonts w:eastAsiaTheme="minorEastAsia"/>
        </w:rPr>
        <w:t>Previous results [14,15] showed that a quadrature approximation with three nodes (N = 3) is sufficient to describe moment evolutions with good accuracy.</w:t>
      </w:r>
      <w:r>
        <w:rPr>
          <w:rFonts w:eastAsiaTheme="minorEastAsia"/>
        </w:rPr>
        <w:t>”</w:t>
      </w:r>
    </w:p>
    <w:p w14:paraId="74D556F9" w14:textId="76B91B48" w:rsidR="00A85077" w:rsidRDefault="00885F05" w:rsidP="00A85077">
      <w:pPr>
        <w:pStyle w:val="ListParagraph"/>
        <w:numPr>
          <w:ilvl w:val="0"/>
          <w:numId w:val="5"/>
        </w:numPr>
        <w:rPr>
          <w:rFonts w:eastAsiaTheme="minorEastAsia"/>
        </w:rPr>
      </w:pPr>
      <w:r>
        <w:rPr>
          <w:rFonts w:eastAsiaTheme="minorEastAsia"/>
        </w:rPr>
        <w:t>Many breakage and aggregation kernels</w:t>
      </w:r>
    </w:p>
    <w:p w14:paraId="7C097DE4" w14:textId="5E80F3E7" w:rsidR="00885F05" w:rsidRDefault="00885F05" w:rsidP="00885F05">
      <w:pPr>
        <w:pStyle w:val="ListParagraph"/>
        <w:numPr>
          <w:ilvl w:val="1"/>
          <w:numId w:val="5"/>
        </w:numPr>
        <w:rPr>
          <w:rFonts w:eastAsiaTheme="minorEastAsia"/>
        </w:rPr>
      </w:pPr>
      <w:r>
        <w:rPr>
          <w:rFonts w:eastAsiaTheme="minorEastAsia"/>
        </w:rPr>
        <w:t xml:space="preserve">Kernel is homogeneous if it </w:t>
      </w:r>
      <w:proofErr w:type="gramStart"/>
      <w:r>
        <w:rPr>
          <w:rFonts w:eastAsiaTheme="minorEastAsia"/>
        </w:rPr>
        <w:t>scales</w:t>
      </w:r>
      <w:proofErr w:type="gramEnd"/>
      <w:r>
        <w:rPr>
          <w:rFonts w:eastAsiaTheme="minorEastAsia"/>
        </w:rPr>
        <w:t xml:space="preserve"> as: </w:t>
      </w:r>
      <m:oMath>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aL, aλ</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γ</m:t>
            </m:r>
          </m:sup>
        </m:sSup>
        <m:r>
          <m:rPr>
            <m:sty m:val="p"/>
          </m:rPr>
          <w:rPr>
            <w:rFonts w:ascii="Cambria Math" w:eastAsiaTheme="minorEastAsia" w:hAnsi="Cambria Math"/>
          </w:rPr>
          <m:t>β</m:t>
        </m:r>
        <m:d>
          <m:dPr>
            <m:ctrlPr>
              <w:rPr>
                <w:rFonts w:ascii="Cambria Math" w:eastAsiaTheme="minorEastAsia" w:hAnsi="Cambria Math"/>
              </w:rPr>
            </m:ctrlPr>
          </m:dPr>
          <m:e>
            <m:r>
              <m:rPr>
                <m:sty m:val="p"/>
              </m:rPr>
              <w:rPr>
                <w:rFonts w:ascii="Cambria Math" w:eastAsiaTheme="minorEastAsia" w:hAnsi="Cambria Math"/>
              </w:rPr>
              <m:t>L,λ</m:t>
            </m:r>
          </m:e>
        </m:d>
        <m:r>
          <w:rPr>
            <w:rFonts w:ascii="Cambria Math" w:eastAsiaTheme="minorEastAsia" w:hAnsi="Cambria Math"/>
          </w:rPr>
          <m:t xml:space="preserve">    a→∞</m:t>
        </m:r>
      </m:oMath>
    </w:p>
    <w:p w14:paraId="796B0CBD" w14:textId="2A5D6594" w:rsidR="00885F05" w:rsidRDefault="00885F05" w:rsidP="00885F05">
      <w:pPr>
        <w:pStyle w:val="ListParagraph"/>
        <w:numPr>
          <w:ilvl w:val="1"/>
          <w:numId w:val="5"/>
        </w:numPr>
        <w:rPr>
          <w:rFonts w:eastAsiaTheme="minorEastAsia"/>
        </w:rPr>
      </w:pPr>
      <m:oMath>
        <m:r>
          <w:rPr>
            <w:rFonts w:ascii="Cambria Math" w:eastAsiaTheme="minorEastAsia" w:hAnsi="Cambria Math"/>
          </w:rPr>
          <m:t>γ</m:t>
        </m:r>
      </m:oMath>
      <w:r>
        <w:rPr>
          <w:rFonts w:eastAsiaTheme="minorEastAsia"/>
        </w:rPr>
        <w:t xml:space="preserve"> is the homogeneity index</w:t>
      </w:r>
      <w:r w:rsidR="009532AF">
        <w:rPr>
          <w:rFonts w:eastAsiaTheme="minorEastAsia"/>
        </w:rPr>
        <w:t xml:space="preserve"> – determines the asymptotic behavior of the system.</w:t>
      </w:r>
    </w:p>
    <w:p w14:paraId="26856F7F" w14:textId="0814E7EE" w:rsidR="00AA1703" w:rsidRDefault="00AA1703" w:rsidP="008B005C">
      <w:pPr>
        <w:rPr>
          <w:rFonts w:eastAsiaTheme="minorEastAsia"/>
        </w:rPr>
      </w:pPr>
    </w:p>
    <w:p w14:paraId="71C0A626" w14:textId="77777777" w:rsidR="008B005C" w:rsidRDefault="008B005C" w:rsidP="008B005C">
      <w:pPr>
        <w:rPr>
          <w:rFonts w:eastAsiaTheme="minorEastAsia"/>
        </w:rPr>
      </w:pPr>
    </w:p>
    <w:p w14:paraId="1AAA9741" w14:textId="77777777" w:rsidR="00045D1E" w:rsidRPr="00045D1E" w:rsidRDefault="00045D1E" w:rsidP="00045D1E">
      <w:pPr>
        <w:rPr>
          <w:rFonts w:eastAsiaTheme="minorEastAsia"/>
        </w:rPr>
      </w:pPr>
      <w:r w:rsidRPr="00045D1E">
        <w:rPr>
          <w:rFonts w:eastAsiaTheme="minorEastAsia"/>
        </w:rPr>
        <w:t xml:space="preserve">Marchisio, Daniele L., Jesse T. </w:t>
      </w:r>
      <w:proofErr w:type="spellStart"/>
      <w:r w:rsidRPr="00045D1E">
        <w:rPr>
          <w:rFonts w:eastAsiaTheme="minorEastAsia"/>
        </w:rPr>
        <w:t>Pikturna</w:t>
      </w:r>
      <w:proofErr w:type="spellEnd"/>
      <w:r w:rsidRPr="00045D1E">
        <w:rPr>
          <w:rFonts w:eastAsiaTheme="minorEastAsia"/>
        </w:rPr>
        <w:t>, Rodney O. Fox, R. Dennis Vigil, and Antonello A. Barresi. “Quadrature Method of Moments for Population</w:t>
      </w:r>
      <w:r w:rsidRPr="00045D1E">
        <w:rPr>
          <w:rFonts w:ascii="Cambria Math" w:eastAsiaTheme="minorEastAsia" w:hAnsi="Cambria Math" w:cs="Cambria Math"/>
        </w:rPr>
        <w:t>‐</w:t>
      </w:r>
      <w:r w:rsidRPr="00045D1E">
        <w:rPr>
          <w:rFonts w:eastAsiaTheme="minorEastAsia"/>
        </w:rPr>
        <w:t>balance Equations.</w:t>
      </w:r>
      <w:r w:rsidRPr="00045D1E">
        <w:rPr>
          <w:rFonts w:eastAsiaTheme="minorEastAsia" w:cs="Arial"/>
        </w:rPr>
        <w:t>”</w:t>
      </w:r>
      <w:r w:rsidRPr="00045D1E">
        <w:rPr>
          <w:rFonts w:eastAsiaTheme="minorEastAsia"/>
        </w:rPr>
        <w:t xml:space="preserve"> </w:t>
      </w:r>
      <w:r w:rsidRPr="00045D1E">
        <w:rPr>
          <w:rFonts w:eastAsiaTheme="minorEastAsia"/>
          <w:i/>
          <w:iCs/>
        </w:rPr>
        <w:t>AIChE Journal</w:t>
      </w:r>
      <w:r w:rsidRPr="00045D1E">
        <w:rPr>
          <w:rFonts w:eastAsiaTheme="minorEastAsia"/>
        </w:rPr>
        <w:t xml:space="preserve"> 49, no. 5 (May 2003): 1266–76. </w:t>
      </w:r>
      <w:hyperlink r:id="rId12" w:history="1">
        <w:r w:rsidRPr="00045D1E">
          <w:rPr>
            <w:rStyle w:val="Hyperlink"/>
            <w:rFonts w:eastAsiaTheme="minorEastAsia"/>
          </w:rPr>
          <w:t>https://doi.org/10.1002/aic.690490517</w:t>
        </w:r>
      </w:hyperlink>
      <w:r w:rsidRPr="00045D1E">
        <w:rPr>
          <w:rFonts w:eastAsiaTheme="minorEastAsia"/>
        </w:rPr>
        <w:t>.</w:t>
      </w:r>
    </w:p>
    <w:p w14:paraId="1CA6B7F5" w14:textId="0A461358" w:rsidR="008B005C" w:rsidRDefault="00045D1E" w:rsidP="008B005C">
      <w:pPr>
        <w:rPr>
          <w:rFonts w:eastAsiaTheme="minorEastAsia"/>
        </w:rPr>
      </w:pPr>
      <w:r>
        <w:rPr>
          <w:rFonts w:eastAsiaTheme="minorEastAsia"/>
        </w:rPr>
        <w:t>Notes:</w:t>
      </w:r>
    </w:p>
    <w:p w14:paraId="47D2AB99" w14:textId="2503A314" w:rsidR="00045D1E" w:rsidRDefault="00045D1E" w:rsidP="00045D1E">
      <w:pPr>
        <w:pStyle w:val="ListParagraph"/>
        <w:numPr>
          <w:ilvl w:val="0"/>
          <w:numId w:val="7"/>
        </w:numPr>
        <w:rPr>
          <w:rFonts w:eastAsiaTheme="minorEastAsia"/>
        </w:rPr>
      </w:pPr>
      <w:r>
        <w:rPr>
          <w:rFonts w:eastAsiaTheme="minorEastAsia"/>
        </w:rPr>
        <w:t>Standard moment method</w:t>
      </w:r>
    </w:p>
    <w:p w14:paraId="6F21C52B" w14:textId="77777777" w:rsidR="00045D1E" w:rsidRDefault="00045D1E" w:rsidP="00045D1E">
      <w:pPr>
        <w:pStyle w:val="ListParagraph"/>
        <w:numPr>
          <w:ilvl w:val="1"/>
          <w:numId w:val="7"/>
        </w:numPr>
        <w:rPr>
          <w:rFonts w:eastAsiaTheme="minorEastAsia"/>
        </w:rPr>
      </w:pPr>
    </w:p>
    <w:p w14:paraId="22DF3427" w14:textId="242A647E" w:rsidR="00045D1E" w:rsidRDefault="00045D1E" w:rsidP="00045D1E">
      <w:pPr>
        <w:pStyle w:val="ListParagraph"/>
        <w:numPr>
          <w:ilvl w:val="0"/>
          <w:numId w:val="7"/>
        </w:numPr>
        <w:rPr>
          <w:rFonts w:eastAsiaTheme="minorEastAsia"/>
        </w:rPr>
      </w:pPr>
      <w:r>
        <w:rPr>
          <w:rFonts w:eastAsiaTheme="minorEastAsia"/>
        </w:rPr>
        <w:t xml:space="preserve">Quadrature </w:t>
      </w:r>
      <w:proofErr w:type="spellStart"/>
      <w:r>
        <w:rPr>
          <w:rFonts w:eastAsiaTheme="minorEastAsia"/>
        </w:rPr>
        <w:t>Mehtod</w:t>
      </w:r>
      <w:proofErr w:type="spellEnd"/>
      <w:r>
        <w:rPr>
          <w:rFonts w:eastAsiaTheme="minorEastAsia"/>
        </w:rPr>
        <w:t xml:space="preserve"> of Moments</w:t>
      </w:r>
    </w:p>
    <w:p w14:paraId="77D793B9" w14:textId="2BBE2F1F" w:rsidR="00045D1E" w:rsidRDefault="00C3529D" w:rsidP="00045D1E">
      <w:pPr>
        <w:pStyle w:val="ListParagraph"/>
        <w:numPr>
          <w:ilvl w:val="1"/>
          <w:numId w:val="7"/>
        </w:numPr>
        <w:rPr>
          <w:rFonts w:eastAsiaTheme="minorEastAsia"/>
        </w:rPr>
      </w:pPr>
      <w:r>
        <w:rPr>
          <w:rFonts w:eastAsiaTheme="minorEastAsia"/>
        </w:rPr>
        <w:t xml:space="preserve">Closure problem is solved using a quadrature </w:t>
      </w:r>
      <w:proofErr w:type="gramStart"/>
      <w:r>
        <w:rPr>
          <w:rFonts w:eastAsiaTheme="minorEastAsia"/>
        </w:rPr>
        <w:t>approx..</w:t>
      </w:r>
      <w:proofErr w:type="gramEnd"/>
    </w:p>
    <w:p w14:paraId="59AAF3DE" w14:textId="77777777" w:rsidR="00C3529D" w:rsidRPr="00045D1E" w:rsidRDefault="00C3529D" w:rsidP="00045D1E">
      <w:pPr>
        <w:pStyle w:val="ListParagraph"/>
        <w:numPr>
          <w:ilvl w:val="1"/>
          <w:numId w:val="7"/>
        </w:numPr>
        <w:rPr>
          <w:rFonts w:eastAsiaTheme="minorEastAsia"/>
        </w:rPr>
      </w:pPr>
    </w:p>
    <w:p w14:paraId="37F01BF9" w14:textId="77777777" w:rsidR="009532AF" w:rsidRDefault="009532AF" w:rsidP="00944843">
      <w:pPr>
        <w:rPr>
          <w:rFonts w:eastAsiaTheme="minorEastAsia"/>
        </w:rPr>
      </w:pPr>
    </w:p>
    <w:p w14:paraId="4B5AA06E" w14:textId="77777777" w:rsidR="00944843" w:rsidRDefault="00944843" w:rsidP="00944843">
      <w:pPr>
        <w:rPr>
          <w:rFonts w:eastAsiaTheme="minorEastAsia"/>
        </w:rPr>
      </w:pPr>
    </w:p>
    <w:p w14:paraId="27BA5F91" w14:textId="77777777" w:rsidR="00944843" w:rsidRPr="00944843" w:rsidRDefault="00944843" w:rsidP="00944843">
      <w:pPr>
        <w:rPr>
          <w:rFonts w:eastAsiaTheme="minorEastAsia"/>
        </w:rPr>
      </w:pPr>
      <w:r w:rsidRPr="00944843">
        <w:rPr>
          <w:rFonts w:eastAsiaTheme="minorEastAsia"/>
        </w:rPr>
        <w:t xml:space="preserve">McGraw, Robert. “Description of Aerosol Dynamics by the Quadrature Method of Moments.” </w:t>
      </w:r>
      <w:r w:rsidRPr="00944843">
        <w:rPr>
          <w:rFonts w:eastAsiaTheme="minorEastAsia"/>
          <w:i/>
          <w:iCs/>
        </w:rPr>
        <w:t>Aerosol Science and Technology</w:t>
      </w:r>
      <w:r w:rsidRPr="00944843">
        <w:rPr>
          <w:rFonts w:eastAsiaTheme="minorEastAsia"/>
        </w:rPr>
        <w:t xml:space="preserve"> 27, no. 2 (January 1997): 255–65. </w:t>
      </w:r>
      <w:hyperlink r:id="rId13" w:history="1">
        <w:r w:rsidRPr="00944843">
          <w:rPr>
            <w:rStyle w:val="Hyperlink"/>
            <w:rFonts w:eastAsiaTheme="minorEastAsia"/>
          </w:rPr>
          <w:t>https://doi.org/10.1080/02786829708965471</w:t>
        </w:r>
      </w:hyperlink>
      <w:r w:rsidRPr="00944843">
        <w:rPr>
          <w:rFonts w:eastAsiaTheme="minorEastAsia"/>
        </w:rPr>
        <w:t>.</w:t>
      </w:r>
    </w:p>
    <w:p w14:paraId="42F69A35" w14:textId="6642EE99" w:rsidR="00944843" w:rsidRPr="00944843" w:rsidRDefault="00944843" w:rsidP="00944843">
      <w:pPr>
        <w:rPr>
          <w:rFonts w:eastAsiaTheme="minorEastAsia"/>
        </w:rPr>
      </w:pPr>
      <w:r>
        <w:rPr>
          <w:rFonts w:eastAsiaTheme="minorEastAsia"/>
        </w:rPr>
        <w:t>Notes:</w:t>
      </w:r>
    </w:p>
    <w:p w14:paraId="40476C46" w14:textId="2B01DB7A" w:rsidR="00A85077" w:rsidRDefault="0026383D" w:rsidP="00A85077">
      <w:pPr>
        <w:pStyle w:val="ListParagraph"/>
        <w:numPr>
          <w:ilvl w:val="0"/>
          <w:numId w:val="5"/>
        </w:numPr>
        <w:rPr>
          <w:rFonts w:eastAsiaTheme="minorEastAsia"/>
        </w:rPr>
      </w:pPr>
      <w:r>
        <w:rPr>
          <w:rFonts w:eastAsiaTheme="minorEastAsia"/>
        </w:rPr>
        <w:t>Replace the dynamical equations for moment evolution with a quadrature based approximate set that satisfies closure under a broader range of conditions.</w:t>
      </w:r>
    </w:p>
    <w:p w14:paraId="7F36F530" w14:textId="3EE80293" w:rsidR="00AE3DD9" w:rsidRDefault="00BC3EBE" w:rsidP="00A85077">
      <w:pPr>
        <w:pStyle w:val="ListParagraph"/>
        <w:numPr>
          <w:ilvl w:val="0"/>
          <w:numId w:val="5"/>
        </w:numPr>
        <w:rPr>
          <w:rFonts w:eastAsiaTheme="minorEastAsia"/>
        </w:rPr>
      </w:pPr>
      <w:r>
        <w:rPr>
          <w:rFonts w:eastAsiaTheme="minorEastAsia"/>
        </w:rPr>
        <w:t>Closure of the equations is the main challenge for the standard method of moments</w:t>
      </w:r>
    </w:p>
    <w:p w14:paraId="4EE5758A" w14:textId="2F2843F8" w:rsidR="00BC3EBE" w:rsidRDefault="00BC3EBE" w:rsidP="00A85077">
      <w:pPr>
        <w:pStyle w:val="ListParagraph"/>
        <w:numPr>
          <w:ilvl w:val="0"/>
          <w:numId w:val="5"/>
        </w:numPr>
        <w:rPr>
          <w:rFonts w:eastAsiaTheme="minorEastAsia"/>
        </w:rPr>
      </w:pPr>
      <w:r>
        <w:rPr>
          <w:rFonts w:eastAsiaTheme="minorEastAsia"/>
        </w:rPr>
        <w:t xml:space="preserve">Quadrature Method of Moments (QMOM) </w:t>
      </w:r>
    </w:p>
    <w:p w14:paraId="2541CBAD" w14:textId="2BF64169" w:rsidR="00BC3EBE" w:rsidRDefault="00BC3EBE" w:rsidP="00BC3EBE">
      <w:pPr>
        <w:pStyle w:val="ListParagraph"/>
        <w:numPr>
          <w:ilvl w:val="1"/>
          <w:numId w:val="5"/>
        </w:numPr>
        <w:rPr>
          <w:rFonts w:eastAsiaTheme="minorEastAsia"/>
        </w:rPr>
      </w:pPr>
      <w:r>
        <w:rPr>
          <w:rFonts w:eastAsiaTheme="minorEastAsia"/>
        </w:rPr>
        <w:t>Moments of f are tracked in time directly.</w:t>
      </w:r>
    </w:p>
    <w:p w14:paraId="03CF41CF" w14:textId="62012CBD" w:rsidR="00BC3EBE" w:rsidRDefault="00BC3EBE" w:rsidP="00BC3EBE">
      <w:pPr>
        <w:pStyle w:val="ListParagraph"/>
        <w:numPr>
          <w:ilvl w:val="1"/>
          <w:numId w:val="5"/>
        </w:numPr>
        <w:rPr>
          <w:rFonts w:eastAsiaTheme="minorEastAsia"/>
        </w:rPr>
      </w:pPr>
      <w:r>
        <w:rPr>
          <w:rFonts w:eastAsiaTheme="minorEastAsia"/>
        </w:rPr>
        <w:t>No exact closure, instead just numerical quadrature</w:t>
      </w:r>
    </w:p>
    <w:p w14:paraId="3CA24A0A" w14:textId="33820A46" w:rsidR="00BC3EBE" w:rsidRDefault="004D04D3" w:rsidP="004D04D3">
      <w:pPr>
        <w:pStyle w:val="ListParagraph"/>
        <w:numPr>
          <w:ilvl w:val="0"/>
          <w:numId w:val="5"/>
        </w:numPr>
        <w:rPr>
          <w:rFonts w:eastAsiaTheme="minorEastAsia"/>
        </w:rPr>
      </w:pPr>
      <w:r>
        <w:rPr>
          <w:rFonts w:eastAsiaTheme="minorEastAsia"/>
        </w:rPr>
        <w:lastRenderedPageBreak/>
        <w:t>Moment Evolution Equations</w:t>
      </w:r>
    </w:p>
    <w:p w14:paraId="7A6E670F" w14:textId="77777777" w:rsidR="000E1427" w:rsidRDefault="00496EE1" w:rsidP="00967F42">
      <w:pPr>
        <w:pStyle w:val="ListParagraph"/>
        <w:numPr>
          <w:ilvl w:val="1"/>
          <w:numId w:val="5"/>
        </w:numPr>
        <w:rPr>
          <w:rFonts w:eastAsiaTheme="minorEastAsia"/>
        </w:rPr>
      </w:pPr>
      <w:r>
        <w:rPr>
          <w:rFonts w:eastAsiaTheme="minorEastAsia"/>
        </w:rPr>
        <w:t>For n-point quadrature, the moments are written as:</w:t>
      </w:r>
    </w:p>
    <w:p w14:paraId="48D9F0AC" w14:textId="13AD4CF7" w:rsidR="00967F42" w:rsidRDefault="00496EE1" w:rsidP="000E1427">
      <w:pPr>
        <w:pStyle w:val="ListParagraph"/>
        <w:numPr>
          <w:ilvl w:val="2"/>
          <w:numId w:val="5"/>
        </w:numPr>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r>
          <w:rPr>
            <w:rFonts w:ascii="Cambria Math" w:eastAsiaTheme="minorEastAsia" w:hAnsi="Cambria Math"/>
          </w:rPr>
          <m:t>=</m:t>
        </m:r>
        <m:nary>
          <m:naryPr>
            <m:limLoc m:val="subSup"/>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k</m:t>
                </m:r>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dr=</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i</m:t>
                    </m:r>
                  </m:sub>
                  <m:sup>
                    <m:r>
                      <w:rPr>
                        <w:rFonts w:ascii="Cambria Math" w:eastAsiaTheme="minorEastAsia" w:hAnsi="Cambria Math"/>
                      </w:rPr>
                      <m:t>k</m:t>
                    </m:r>
                  </m:sup>
                </m:sSubSup>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nary>
          </m:e>
        </m:nary>
      </m:oMath>
    </w:p>
    <w:p w14:paraId="530A72ED" w14:textId="7C226791" w:rsidR="00143FA5" w:rsidRDefault="00143FA5" w:rsidP="000E1427">
      <w:pPr>
        <w:pStyle w:val="ListParagraph"/>
        <w:numPr>
          <w:ilvl w:val="2"/>
          <w:numId w:val="5"/>
        </w:numPr>
        <w:rPr>
          <w:rFonts w:eastAsiaTheme="minorEastAsia"/>
        </w:rPr>
      </w:pPr>
      <w:r>
        <w:rPr>
          <w:rFonts w:eastAsiaTheme="minorEastAsia"/>
        </w:rPr>
        <w:t>For k = 0 through 2*n – 1</w:t>
      </w:r>
    </w:p>
    <w:p w14:paraId="51A7215C" w14:textId="1481676A" w:rsidR="004D04D3" w:rsidRPr="00143FA5" w:rsidRDefault="00143FA5" w:rsidP="00956A8C">
      <w:pPr>
        <w:pStyle w:val="ListParagraph"/>
        <w:numPr>
          <w:ilvl w:val="0"/>
          <w:numId w:val="5"/>
        </w:numPr>
        <w:rPr>
          <w:rFonts w:eastAsiaTheme="minorEastAsia"/>
        </w:rPr>
      </w:pPr>
      <w:r w:rsidRPr="00143FA5">
        <w:rPr>
          <w:rFonts w:eastAsiaTheme="minorEastAsia"/>
        </w:rPr>
        <w:t xml:space="preserve">Solve using a tridiagonal Jacobi matrix to find the abscissas and weights. </w:t>
      </w:r>
      <w:r>
        <w:rPr>
          <w:rFonts w:eastAsiaTheme="minorEastAsia"/>
        </w:rPr>
        <w:t xml:space="preserve"> </w:t>
      </w:r>
      <w:r w:rsidR="00561B31" w:rsidRPr="00143FA5">
        <w:rPr>
          <w:rFonts w:eastAsiaTheme="minorEastAsia"/>
        </w:rPr>
        <w:t xml:space="preserve">Appendix A provides algorithm for calculating the weights and </w:t>
      </w:r>
      <w:proofErr w:type="spellStart"/>
      <w:r w:rsidR="00561B31" w:rsidRPr="00143FA5">
        <w:rPr>
          <w:rFonts w:eastAsiaTheme="minorEastAsia"/>
        </w:rPr>
        <w:t>absissas</w:t>
      </w:r>
      <w:proofErr w:type="spellEnd"/>
    </w:p>
    <w:p w14:paraId="119EBB0C" w14:textId="77777777" w:rsidR="00143FA5" w:rsidRDefault="00143FA5" w:rsidP="00561B31">
      <w:pPr>
        <w:pStyle w:val="ListParagraph"/>
        <w:numPr>
          <w:ilvl w:val="0"/>
          <w:numId w:val="5"/>
        </w:numPr>
        <w:rPr>
          <w:rFonts w:eastAsiaTheme="minorEastAsia"/>
        </w:rPr>
      </w:pPr>
    </w:p>
    <w:p w14:paraId="66CEBF93" w14:textId="2AC5B0CC" w:rsidR="00561B31" w:rsidRDefault="00561B31" w:rsidP="00D521B3">
      <w:pPr>
        <w:rPr>
          <w:rFonts w:eastAsiaTheme="minorEastAsia"/>
        </w:rPr>
      </w:pPr>
    </w:p>
    <w:p w14:paraId="4256DE17" w14:textId="77777777" w:rsidR="00D521B3" w:rsidRDefault="00D521B3" w:rsidP="00D521B3">
      <w:pPr>
        <w:rPr>
          <w:rFonts w:eastAsiaTheme="minorEastAsia"/>
        </w:rPr>
      </w:pPr>
    </w:p>
    <w:p w14:paraId="34C14114" w14:textId="77777777" w:rsidR="00D521B3" w:rsidRDefault="00D521B3" w:rsidP="00D521B3">
      <w:pPr>
        <w:rPr>
          <w:rFonts w:eastAsiaTheme="minorEastAsia"/>
        </w:rPr>
      </w:pPr>
    </w:p>
    <w:p w14:paraId="61C77B38" w14:textId="307DAEBA" w:rsidR="00D521B3" w:rsidRDefault="00D521B3" w:rsidP="00D521B3">
      <w:pPr>
        <w:rPr>
          <w:rFonts w:eastAsiaTheme="minorEastAsia"/>
        </w:rPr>
      </w:pPr>
      <w:r>
        <w:rPr>
          <w:rFonts w:eastAsiaTheme="minorEastAsia"/>
        </w:rPr>
        <w:t>Other topics</w:t>
      </w:r>
    </w:p>
    <w:p w14:paraId="31DAA852" w14:textId="77777777" w:rsidR="00D521B3" w:rsidRDefault="00D521B3" w:rsidP="00D521B3">
      <w:pPr>
        <w:rPr>
          <w:rFonts w:eastAsiaTheme="minorEastAsia"/>
        </w:rPr>
      </w:pPr>
    </w:p>
    <w:p w14:paraId="14B0C4E5" w14:textId="69A40FA9" w:rsidR="00D521B3" w:rsidRDefault="00D521B3" w:rsidP="00D521B3">
      <w:pPr>
        <w:rPr>
          <w:rFonts w:eastAsiaTheme="minorEastAsia"/>
        </w:rPr>
      </w:pPr>
      <w:r>
        <w:rPr>
          <w:rFonts w:eastAsiaTheme="minorEastAsia"/>
        </w:rPr>
        <w:t>Gaussian Quadrature</w:t>
      </w:r>
    </w:p>
    <w:p w14:paraId="56F5C8D0" w14:textId="77639EA8" w:rsidR="006E1747" w:rsidRDefault="00BF2596" w:rsidP="009441CB">
      <w:pPr>
        <w:pStyle w:val="ListParagraph"/>
        <w:numPr>
          <w:ilvl w:val="0"/>
          <w:numId w:val="6"/>
        </w:numPr>
        <w:rPr>
          <w:rFonts w:eastAsiaTheme="minorEastAsia"/>
        </w:rPr>
      </w:pPr>
      <w:r>
        <w:rPr>
          <w:rFonts w:eastAsiaTheme="minorEastAsia"/>
        </w:rPr>
        <w:t>Doesn’t evaluate at evenly spaced points, instead finds the best possible points and weights to approximate polynomials</w:t>
      </w:r>
    </w:p>
    <w:p w14:paraId="4BFB27ED" w14:textId="2D934FF4" w:rsidR="00BF2596" w:rsidRDefault="00443980" w:rsidP="009441CB">
      <w:pPr>
        <w:pStyle w:val="ListParagraph"/>
        <w:numPr>
          <w:ilvl w:val="0"/>
          <w:numId w:val="6"/>
        </w:numPr>
        <w:rPr>
          <w:rFonts w:eastAsiaTheme="minorEastAsia"/>
        </w:rPr>
      </w:pPr>
      <w:r>
        <w:rPr>
          <w:rFonts w:eastAsiaTheme="minorEastAsia"/>
        </w:rPr>
        <w:t>Can be exact for polynomials up to order 2*N-1, where N is number of points</w:t>
      </w:r>
    </w:p>
    <w:p w14:paraId="4C82EC97" w14:textId="50154D3C" w:rsidR="00443980" w:rsidRDefault="00765D61" w:rsidP="009441CB">
      <w:pPr>
        <w:pStyle w:val="ListParagraph"/>
        <w:numPr>
          <w:ilvl w:val="0"/>
          <w:numId w:val="6"/>
        </w:numPr>
        <w:rPr>
          <w:rFonts w:eastAsiaTheme="minorEastAsia"/>
        </w:rPr>
      </w:pPr>
      <w:r>
        <w:rPr>
          <w:rFonts w:eastAsiaTheme="minorEastAsia"/>
        </w:rPr>
        <w:t xml:space="preserve">Uses different base polynomials: Legendre, Laguerre, </w:t>
      </w:r>
      <w:proofErr w:type="spellStart"/>
      <w:r>
        <w:rPr>
          <w:rFonts w:eastAsiaTheme="minorEastAsia"/>
        </w:rPr>
        <w:t>hermite</w:t>
      </w:r>
      <w:proofErr w:type="spellEnd"/>
      <w:r>
        <w:rPr>
          <w:rFonts w:eastAsiaTheme="minorEastAsia"/>
        </w:rPr>
        <w:t>, Chebyshev</w:t>
      </w:r>
    </w:p>
    <w:p w14:paraId="4070ADC8" w14:textId="77777777" w:rsidR="00765D61" w:rsidRDefault="00765D61" w:rsidP="00504B55">
      <w:pPr>
        <w:rPr>
          <w:rFonts w:eastAsiaTheme="minorEastAsia"/>
        </w:rPr>
      </w:pPr>
    </w:p>
    <w:p w14:paraId="338A41B2" w14:textId="77777777" w:rsidR="00504B55" w:rsidRDefault="00504B55" w:rsidP="00504B55">
      <w:pPr>
        <w:rPr>
          <w:rFonts w:eastAsiaTheme="minorEastAsia"/>
        </w:rPr>
      </w:pPr>
    </w:p>
    <w:p w14:paraId="5BD0813A" w14:textId="77777777" w:rsidR="00504B55" w:rsidRDefault="00504B55" w:rsidP="00504B55">
      <w:pPr>
        <w:rPr>
          <w:rFonts w:eastAsiaTheme="minorEastAsia"/>
        </w:rPr>
      </w:pPr>
    </w:p>
    <w:p w14:paraId="6D1A3D27" w14:textId="46E49A8E" w:rsidR="00504B55" w:rsidRPr="00504B55" w:rsidRDefault="00504B55" w:rsidP="00504B55">
      <w:pPr>
        <w:pStyle w:val="Heading3"/>
        <w:rPr>
          <w:rFonts w:eastAsiaTheme="minorEastAsia"/>
        </w:rPr>
      </w:pPr>
      <w:r>
        <w:rPr>
          <w:rFonts w:eastAsiaTheme="minorEastAsia"/>
        </w:rPr>
        <w:t>Distribution Reconstruction</w:t>
      </w:r>
    </w:p>
    <w:p w14:paraId="7E55C23D" w14:textId="77777777" w:rsidR="00D316E4" w:rsidRPr="00D316E4" w:rsidRDefault="00D316E4" w:rsidP="00D316E4">
      <w:pPr>
        <w:rPr>
          <w:rFonts w:eastAsiaTheme="minorEastAsia"/>
        </w:rPr>
      </w:pPr>
      <w:r w:rsidRPr="00D316E4">
        <w:rPr>
          <w:rFonts w:eastAsiaTheme="minorEastAsia"/>
        </w:rPr>
        <w:t xml:space="preserve">John, V., I. Angelov, A.A. </w:t>
      </w:r>
      <w:proofErr w:type="spellStart"/>
      <w:r w:rsidRPr="00D316E4">
        <w:rPr>
          <w:rFonts w:eastAsiaTheme="minorEastAsia"/>
        </w:rPr>
        <w:t>Öncül</w:t>
      </w:r>
      <w:proofErr w:type="spellEnd"/>
      <w:r w:rsidRPr="00D316E4">
        <w:rPr>
          <w:rFonts w:eastAsiaTheme="minorEastAsia"/>
        </w:rPr>
        <w:t xml:space="preserve">, and D. </w:t>
      </w:r>
      <w:proofErr w:type="spellStart"/>
      <w:r w:rsidRPr="00D316E4">
        <w:rPr>
          <w:rFonts w:eastAsiaTheme="minorEastAsia"/>
        </w:rPr>
        <w:t>Thévenin</w:t>
      </w:r>
      <w:proofErr w:type="spellEnd"/>
      <w:r w:rsidRPr="00D316E4">
        <w:rPr>
          <w:rFonts w:eastAsiaTheme="minorEastAsia"/>
        </w:rPr>
        <w:t xml:space="preserve">. “Techniques for the Reconstruction of a Distribution from a Finite Number of Its Moments.” </w:t>
      </w:r>
      <w:r w:rsidRPr="00D316E4">
        <w:rPr>
          <w:rFonts w:eastAsiaTheme="minorEastAsia"/>
          <w:i/>
          <w:iCs/>
        </w:rPr>
        <w:t>Chemical Engineering Science</w:t>
      </w:r>
      <w:r w:rsidRPr="00D316E4">
        <w:rPr>
          <w:rFonts w:eastAsiaTheme="minorEastAsia"/>
        </w:rPr>
        <w:t xml:space="preserve"> 62, no. 11 (June 2007): 2890–2904. </w:t>
      </w:r>
      <w:hyperlink r:id="rId14" w:history="1">
        <w:r w:rsidRPr="00D316E4">
          <w:rPr>
            <w:rStyle w:val="Hyperlink"/>
            <w:rFonts w:eastAsiaTheme="minorEastAsia"/>
          </w:rPr>
          <w:t>https://doi.org/10.1016/j.ces.2007.02.041</w:t>
        </w:r>
      </w:hyperlink>
      <w:r w:rsidRPr="00D316E4">
        <w:rPr>
          <w:rFonts w:eastAsiaTheme="minorEastAsia"/>
        </w:rPr>
        <w:t>.</w:t>
      </w:r>
    </w:p>
    <w:p w14:paraId="669017EE" w14:textId="69722C93" w:rsidR="00D521B3" w:rsidRDefault="00D316E4" w:rsidP="00D521B3">
      <w:pPr>
        <w:rPr>
          <w:rFonts w:eastAsiaTheme="minorEastAsia"/>
        </w:rPr>
      </w:pPr>
      <w:r>
        <w:rPr>
          <w:rFonts w:eastAsiaTheme="minorEastAsia"/>
        </w:rPr>
        <w:t>Notes:</w:t>
      </w:r>
    </w:p>
    <w:p w14:paraId="110B59E0" w14:textId="751FA7AF" w:rsidR="00D316E4" w:rsidRDefault="003452E8" w:rsidP="00D316E4">
      <w:pPr>
        <w:pStyle w:val="ListParagraph"/>
        <w:numPr>
          <w:ilvl w:val="0"/>
          <w:numId w:val="9"/>
        </w:numPr>
        <w:rPr>
          <w:rFonts w:eastAsiaTheme="minorEastAsia"/>
        </w:rPr>
      </w:pPr>
      <w:r>
        <w:rPr>
          <w:rFonts w:eastAsiaTheme="minorEastAsia"/>
        </w:rPr>
        <w:t>Methods evaluated: Prescribed functions, discrete method, spline-based reconstruction</w:t>
      </w:r>
    </w:p>
    <w:p w14:paraId="34BE1DCE" w14:textId="2168DCAF" w:rsidR="003452E8" w:rsidRDefault="0094099D" w:rsidP="00D316E4">
      <w:pPr>
        <w:pStyle w:val="ListParagraph"/>
        <w:numPr>
          <w:ilvl w:val="0"/>
          <w:numId w:val="9"/>
        </w:numPr>
        <w:rPr>
          <w:rFonts w:eastAsiaTheme="minorEastAsia"/>
        </w:rPr>
      </w:pPr>
      <w:r>
        <w:rPr>
          <w:rFonts w:eastAsiaTheme="minorEastAsia"/>
        </w:rPr>
        <w:t>Even knowing all the moments is not sufficient to determine a function uniquely</w:t>
      </w:r>
    </w:p>
    <w:p w14:paraId="08FF1AF3" w14:textId="55C93C71" w:rsidR="0094099D" w:rsidRDefault="0094099D" w:rsidP="00D316E4">
      <w:pPr>
        <w:pStyle w:val="ListParagraph"/>
        <w:numPr>
          <w:ilvl w:val="0"/>
          <w:numId w:val="9"/>
        </w:numPr>
        <w:rPr>
          <w:rFonts w:eastAsiaTheme="minorEastAsia"/>
        </w:rPr>
      </w:pPr>
      <w:r>
        <w:rPr>
          <w:rFonts w:eastAsiaTheme="minorEastAsia"/>
        </w:rPr>
        <w:t xml:space="preserve">Instead, a priori </w:t>
      </w:r>
      <w:proofErr w:type="gramStart"/>
      <w:r>
        <w:rPr>
          <w:rFonts w:eastAsiaTheme="minorEastAsia"/>
        </w:rPr>
        <w:t>restriction  of</w:t>
      </w:r>
      <w:proofErr w:type="gramEnd"/>
      <w:r>
        <w:rPr>
          <w:rFonts w:eastAsiaTheme="minorEastAsia"/>
        </w:rPr>
        <w:t xml:space="preserve"> function class is required</w:t>
      </w:r>
    </w:p>
    <w:p w14:paraId="5F3DF054" w14:textId="50DACEDD" w:rsidR="00425C61" w:rsidRDefault="00425C61" w:rsidP="00425C61">
      <w:pPr>
        <w:pStyle w:val="ListParagraph"/>
        <w:numPr>
          <w:ilvl w:val="1"/>
          <w:numId w:val="9"/>
        </w:numPr>
        <w:rPr>
          <w:rFonts w:eastAsiaTheme="minorEastAsia"/>
        </w:rPr>
      </w:pPr>
      <w:r>
        <w:rPr>
          <w:rFonts w:eastAsiaTheme="minorEastAsia"/>
        </w:rPr>
        <w:t>“</w:t>
      </w:r>
      <w:r w:rsidRPr="00425C61">
        <w:rPr>
          <w:rFonts w:eastAsiaTheme="minorEastAsia"/>
        </w:rPr>
        <w:t xml:space="preserve">Following this guideline, chemical engineers dealing with applications generally assume a very simple a priori shape for the distribution (Gaussian, log-normal, </w:t>
      </w:r>
      <w:r w:rsidRPr="00425C61">
        <w:rPr>
          <w:rFonts w:eastAsiaTheme="minorEastAsia"/>
        </w:rPr>
        <w:separator/>
        <w:t>-function, etc.), so that only a very small number of moments are needed to determine the best fit within this assumed class of functions.</w:t>
      </w:r>
      <w:r>
        <w:rPr>
          <w:rFonts w:eastAsiaTheme="minorEastAsia"/>
        </w:rPr>
        <w:t>”</w:t>
      </w:r>
    </w:p>
    <w:p w14:paraId="04769ED0" w14:textId="77777777" w:rsidR="00425C61" w:rsidRPr="00D316E4" w:rsidRDefault="00425C61" w:rsidP="00425C61">
      <w:pPr>
        <w:pStyle w:val="ListParagraph"/>
        <w:numPr>
          <w:ilvl w:val="0"/>
          <w:numId w:val="9"/>
        </w:numPr>
        <w:rPr>
          <w:rFonts w:eastAsiaTheme="minorEastAsia"/>
        </w:rPr>
      </w:pPr>
    </w:p>
    <w:p w14:paraId="1EDF9200" w14:textId="77777777" w:rsidR="00A75520" w:rsidRDefault="00A75520" w:rsidP="00A75520"/>
    <w:p w14:paraId="3B6203F0" w14:textId="5EA51CEA" w:rsidR="001A0304" w:rsidRDefault="00D3138D" w:rsidP="00D3138D">
      <w:pPr>
        <w:pStyle w:val="Heading2"/>
      </w:pPr>
      <w:r>
        <w:t>Moving Pivot Technique</w:t>
      </w:r>
    </w:p>
    <w:p w14:paraId="6B06CB76" w14:textId="77777777" w:rsidR="00D3138D" w:rsidRDefault="00D3138D" w:rsidP="00D3138D"/>
    <w:p w14:paraId="0BF3E5C2" w14:textId="77777777" w:rsidR="00D334C1" w:rsidRPr="00D334C1" w:rsidRDefault="00D334C1" w:rsidP="00D334C1">
      <w:r w:rsidRPr="00D334C1">
        <w:lastRenderedPageBreak/>
        <w:t xml:space="preserve">Kumar, Sanjeev, and D. Ramkrishna. “On the Solution of Population Balance Equations by Discretization—II. A Moving Pivot Technique.” </w:t>
      </w:r>
      <w:r w:rsidRPr="00D334C1">
        <w:rPr>
          <w:i/>
          <w:iCs/>
        </w:rPr>
        <w:t>Chemical Engineering Science</w:t>
      </w:r>
      <w:r w:rsidRPr="00D334C1">
        <w:t xml:space="preserve"> 51, no. 8 (April 1996): 1333–42. </w:t>
      </w:r>
      <w:hyperlink r:id="rId15" w:history="1">
        <w:r w:rsidRPr="00D334C1">
          <w:rPr>
            <w:rStyle w:val="Hyperlink"/>
          </w:rPr>
          <w:t>https://doi.org/10.1016/0009-2509(95)00355-X</w:t>
        </w:r>
      </w:hyperlink>
      <w:r w:rsidRPr="00D334C1">
        <w:t>.</w:t>
      </w:r>
    </w:p>
    <w:p w14:paraId="01725C2C" w14:textId="160319F6" w:rsidR="00D3138D" w:rsidRDefault="00D334C1" w:rsidP="00D3138D">
      <w:r>
        <w:t>Notes:</w:t>
      </w:r>
    </w:p>
    <w:p w14:paraId="10FC1AF0" w14:textId="02F493FE" w:rsidR="00D334C1" w:rsidRDefault="003256EF" w:rsidP="00D334C1">
      <w:pPr>
        <w:pStyle w:val="ListParagraph"/>
        <w:numPr>
          <w:ilvl w:val="0"/>
          <w:numId w:val="8"/>
        </w:numPr>
      </w:pPr>
      <w:r>
        <w:t xml:space="preserve">Goal is to account for the variation of number </w:t>
      </w:r>
      <w:proofErr w:type="spellStart"/>
      <w:r>
        <w:t>densit</w:t>
      </w:r>
      <w:proofErr w:type="spellEnd"/>
      <w:r>
        <w:t xml:space="preserve"> with size within a size range used for discretization</w:t>
      </w:r>
    </w:p>
    <w:p w14:paraId="1717A289" w14:textId="541C9C4F" w:rsidR="003256EF" w:rsidRDefault="00C03D71" w:rsidP="00D334C1">
      <w:pPr>
        <w:pStyle w:val="ListParagraph"/>
        <w:numPr>
          <w:ilvl w:val="0"/>
          <w:numId w:val="8"/>
        </w:numPr>
      </w:pPr>
      <w:r>
        <w:t xml:space="preserve">Selection of pivot location within a size range </w:t>
      </w:r>
      <w:proofErr w:type="spellStart"/>
      <w:r>
        <w:t>iss</w:t>
      </w:r>
      <w:proofErr w:type="spellEnd"/>
      <w:r>
        <w:t xml:space="preserve"> chosen to reflect variation of the density in the range</w:t>
      </w:r>
    </w:p>
    <w:p w14:paraId="65AF47BB" w14:textId="486840DD" w:rsidR="004805EF" w:rsidRDefault="004805EF" w:rsidP="00D334C1">
      <w:pPr>
        <w:pStyle w:val="ListParagraph"/>
        <w:numPr>
          <w:ilvl w:val="0"/>
          <w:numId w:val="8"/>
        </w:numPr>
      </w:pPr>
      <w:r>
        <w:t>“</w:t>
      </w:r>
      <w:r w:rsidRPr="004805EF">
        <w:t>For the type of density shown in Fig. 1, x~ stays closer to the middle of the section and for steeply decreasing densities, as shown in Fig. 2, it stays closer to the lower end of the section, i.e. closer to v~, thus capturing the aggregation process more realistically. If the density in a section changes from steeply decreasing to nearly uniform due to the particulate process, the pivot moves from the lower end of the section to the middle.</w:t>
      </w:r>
      <w:r>
        <w:t>”</w:t>
      </w:r>
    </w:p>
    <w:p w14:paraId="5F4A2E50" w14:textId="2888E32C" w:rsidR="004805EF" w:rsidRDefault="00BB00FF" w:rsidP="00D334C1">
      <w:pPr>
        <w:pStyle w:val="ListParagraph"/>
        <w:numPr>
          <w:ilvl w:val="0"/>
          <w:numId w:val="8"/>
        </w:numPr>
      </w:pPr>
      <w:r>
        <w:t>Discrete equations:</w:t>
      </w:r>
    </w:p>
    <w:p w14:paraId="0F1A519E" w14:textId="77777777" w:rsidR="00BB00FF" w:rsidRPr="00D3138D" w:rsidRDefault="00BB00FF" w:rsidP="00BB00FF">
      <w:pPr>
        <w:pStyle w:val="ListParagraph"/>
        <w:numPr>
          <w:ilvl w:val="1"/>
          <w:numId w:val="8"/>
        </w:numPr>
      </w:pPr>
    </w:p>
    <w:sectPr w:rsidR="00BB00FF" w:rsidRPr="00D31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574"/>
    <w:multiLevelType w:val="hybridMultilevel"/>
    <w:tmpl w:val="2E200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96B17"/>
    <w:multiLevelType w:val="hybridMultilevel"/>
    <w:tmpl w:val="29609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8568D4"/>
    <w:multiLevelType w:val="hybridMultilevel"/>
    <w:tmpl w:val="B3A074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114965"/>
    <w:multiLevelType w:val="hybridMultilevel"/>
    <w:tmpl w:val="CE82C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9C045D"/>
    <w:multiLevelType w:val="hybridMultilevel"/>
    <w:tmpl w:val="3968D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53E55"/>
    <w:multiLevelType w:val="hybridMultilevel"/>
    <w:tmpl w:val="5F941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B3335B"/>
    <w:multiLevelType w:val="hybridMultilevel"/>
    <w:tmpl w:val="EE1E8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D751E7"/>
    <w:multiLevelType w:val="hybridMultilevel"/>
    <w:tmpl w:val="8812A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4A6268"/>
    <w:multiLevelType w:val="hybridMultilevel"/>
    <w:tmpl w:val="12A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960096">
    <w:abstractNumId w:val="2"/>
  </w:num>
  <w:num w:numId="2" w16cid:durableId="923878239">
    <w:abstractNumId w:val="3"/>
  </w:num>
  <w:num w:numId="3" w16cid:durableId="151793472">
    <w:abstractNumId w:val="5"/>
  </w:num>
  <w:num w:numId="4" w16cid:durableId="1811971739">
    <w:abstractNumId w:val="6"/>
  </w:num>
  <w:num w:numId="5" w16cid:durableId="1203588871">
    <w:abstractNumId w:val="0"/>
  </w:num>
  <w:num w:numId="6" w16cid:durableId="1264801486">
    <w:abstractNumId w:val="8"/>
  </w:num>
  <w:num w:numId="7" w16cid:durableId="1096511258">
    <w:abstractNumId w:val="1"/>
  </w:num>
  <w:num w:numId="8" w16cid:durableId="401608333">
    <w:abstractNumId w:val="7"/>
  </w:num>
  <w:num w:numId="9" w16cid:durableId="1186675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6DB"/>
    <w:rsid w:val="00045D1E"/>
    <w:rsid w:val="000619DA"/>
    <w:rsid w:val="000B11DF"/>
    <w:rsid w:val="000D2834"/>
    <w:rsid w:val="000E1427"/>
    <w:rsid w:val="000F6CEC"/>
    <w:rsid w:val="001036CC"/>
    <w:rsid w:val="00113308"/>
    <w:rsid w:val="0012478D"/>
    <w:rsid w:val="001410AE"/>
    <w:rsid w:val="00143FA5"/>
    <w:rsid w:val="001A0304"/>
    <w:rsid w:val="001B2432"/>
    <w:rsid w:val="00244536"/>
    <w:rsid w:val="0026383D"/>
    <w:rsid w:val="002716D9"/>
    <w:rsid w:val="002A7957"/>
    <w:rsid w:val="002D78B6"/>
    <w:rsid w:val="003256EF"/>
    <w:rsid w:val="003452E8"/>
    <w:rsid w:val="003455BB"/>
    <w:rsid w:val="00354B45"/>
    <w:rsid w:val="00371D58"/>
    <w:rsid w:val="00383601"/>
    <w:rsid w:val="003A4274"/>
    <w:rsid w:val="003F4832"/>
    <w:rsid w:val="00405350"/>
    <w:rsid w:val="00422981"/>
    <w:rsid w:val="00425C61"/>
    <w:rsid w:val="00443980"/>
    <w:rsid w:val="00453EC3"/>
    <w:rsid w:val="004805EF"/>
    <w:rsid w:val="00496EE1"/>
    <w:rsid w:val="004B26DB"/>
    <w:rsid w:val="004D04D3"/>
    <w:rsid w:val="004E56CA"/>
    <w:rsid w:val="00503FAB"/>
    <w:rsid w:val="00504B55"/>
    <w:rsid w:val="00507C10"/>
    <w:rsid w:val="0053387A"/>
    <w:rsid w:val="00561B31"/>
    <w:rsid w:val="0057334C"/>
    <w:rsid w:val="00595E1F"/>
    <w:rsid w:val="005B18AB"/>
    <w:rsid w:val="005B45B9"/>
    <w:rsid w:val="005E0E92"/>
    <w:rsid w:val="005F6125"/>
    <w:rsid w:val="00621A3C"/>
    <w:rsid w:val="006248A2"/>
    <w:rsid w:val="00625DBA"/>
    <w:rsid w:val="006271EB"/>
    <w:rsid w:val="00686726"/>
    <w:rsid w:val="006B0505"/>
    <w:rsid w:val="006E1747"/>
    <w:rsid w:val="0070521B"/>
    <w:rsid w:val="00747DE2"/>
    <w:rsid w:val="00765D61"/>
    <w:rsid w:val="007A5D0C"/>
    <w:rsid w:val="007C6551"/>
    <w:rsid w:val="007E29D1"/>
    <w:rsid w:val="00815F9E"/>
    <w:rsid w:val="00827879"/>
    <w:rsid w:val="00840AD5"/>
    <w:rsid w:val="00850CF1"/>
    <w:rsid w:val="00885F05"/>
    <w:rsid w:val="008879F4"/>
    <w:rsid w:val="008B005C"/>
    <w:rsid w:val="008E047B"/>
    <w:rsid w:val="0094099D"/>
    <w:rsid w:val="009441CB"/>
    <w:rsid w:val="00944843"/>
    <w:rsid w:val="009532AF"/>
    <w:rsid w:val="00967F42"/>
    <w:rsid w:val="009E6DE9"/>
    <w:rsid w:val="00A67E46"/>
    <w:rsid w:val="00A75520"/>
    <w:rsid w:val="00A8469D"/>
    <w:rsid w:val="00A85077"/>
    <w:rsid w:val="00AA1703"/>
    <w:rsid w:val="00AE3DD9"/>
    <w:rsid w:val="00AE4BCB"/>
    <w:rsid w:val="00B13720"/>
    <w:rsid w:val="00B14437"/>
    <w:rsid w:val="00B3381E"/>
    <w:rsid w:val="00B52699"/>
    <w:rsid w:val="00BB00FF"/>
    <w:rsid w:val="00BC3EBE"/>
    <w:rsid w:val="00BD71E0"/>
    <w:rsid w:val="00BF2596"/>
    <w:rsid w:val="00C03D71"/>
    <w:rsid w:val="00C23F0B"/>
    <w:rsid w:val="00C3529D"/>
    <w:rsid w:val="00C73938"/>
    <w:rsid w:val="00CA033E"/>
    <w:rsid w:val="00D3138D"/>
    <w:rsid w:val="00D316E4"/>
    <w:rsid w:val="00D334C1"/>
    <w:rsid w:val="00D46F8E"/>
    <w:rsid w:val="00D521B3"/>
    <w:rsid w:val="00D55B39"/>
    <w:rsid w:val="00D71431"/>
    <w:rsid w:val="00D714CA"/>
    <w:rsid w:val="00D97DBB"/>
    <w:rsid w:val="00DC469D"/>
    <w:rsid w:val="00DE0E5D"/>
    <w:rsid w:val="00DF391F"/>
    <w:rsid w:val="00E0177F"/>
    <w:rsid w:val="00E021E6"/>
    <w:rsid w:val="00E1659C"/>
    <w:rsid w:val="00EB081E"/>
    <w:rsid w:val="00ED7C26"/>
    <w:rsid w:val="00FC460C"/>
    <w:rsid w:val="00FD5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94A3B"/>
  <w15:chartTrackingRefBased/>
  <w15:docId w15:val="{8B42160E-1CC7-49BD-BF9B-AA3B1FD1A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C26"/>
    <w:rPr>
      <w:rFonts w:ascii="Arial" w:hAnsi="Arial"/>
    </w:rPr>
  </w:style>
  <w:style w:type="paragraph" w:styleId="Heading1">
    <w:name w:val="heading 1"/>
    <w:basedOn w:val="Normal"/>
    <w:next w:val="Normal"/>
    <w:link w:val="Heading1Char"/>
    <w:autoRedefine/>
    <w:uiPriority w:val="9"/>
    <w:qFormat/>
    <w:rsid w:val="00625DBA"/>
    <w:pPr>
      <w:keepNext/>
      <w:keepLines/>
      <w:spacing w:before="480" w:after="20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A0304"/>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504B55"/>
    <w:pPr>
      <w:keepNext/>
      <w:keepLines/>
      <w:spacing w:before="160" w:after="80"/>
      <w:outlineLvl w:val="2"/>
    </w:pPr>
    <w:rPr>
      <w:rFonts w:eastAsiaTheme="majorEastAsia" w:cstheme="majorBidi"/>
      <w:b/>
      <w:sz w:val="24"/>
      <w:szCs w:val="28"/>
    </w:rPr>
  </w:style>
  <w:style w:type="paragraph" w:styleId="Heading4">
    <w:name w:val="heading 4"/>
    <w:basedOn w:val="Normal"/>
    <w:next w:val="Normal"/>
    <w:link w:val="Heading4Char"/>
    <w:uiPriority w:val="9"/>
    <w:semiHidden/>
    <w:unhideWhenUsed/>
    <w:qFormat/>
    <w:rsid w:val="004B26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26D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26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26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26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26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DBA"/>
    <w:rPr>
      <w:rFonts w:ascii="Arial" w:eastAsiaTheme="majorEastAsia" w:hAnsi="Arial" w:cstheme="majorBidi"/>
      <w:b/>
      <w:sz w:val="40"/>
      <w:szCs w:val="40"/>
    </w:rPr>
  </w:style>
  <w:style w:type="character" w:customStyle="1" w:styleId="Heading2Char">
    <w:name w:val="Heading 2 Char"/>
    <w:basedOn w:val="DefaultParagraphFont"/>
    <w:link w:val="Heading2"/>
    <w:uiPriority w:val="9"/>
    <w:rsid w:val="001A0304"/>
    <w:rPr>
      <w:rFonts w:ascii="Arial" w:eastAsiaTheme="majorEastAsia" w:hAnsi="Arial" w:cstheme="majorBidi"/>
      <w:b/>
      <w:sz w:val="28"/>
      <w:szCs w:val="32"/>
    </w:rPr>
  </w:style>
  <w:style w:type="character" w:customStyle="1" w:styleId="Heading3Char">
    <w:name w:val="Heading 3 Char"/>
    <w:basedOn w:val="DefaultParagraphFont"/>
    <w:link w:val="Heading3"/>
    <w:uiPriority w:val="9"/>
    <w:rsid w:val="00504B55"/>
    <w:rPr>
      <w:rFonts w:ascii="Arial" w:eastAsiaTheme="majorEastAsia" w:hAnsi="Arial" w:cstheme="majorBidi"/>
      <w:b/>
      <w:sz w:val="24"/>
      <w:szCs w:val="28"/>
    </w:rPr>
  </w:style>
  <w:style w:type="character" w:customStyle="1" w:styleId="Heading4Char">
    <w:name w:val="Heading 4 Char"/>
    <w:basedOn w:val="DefaultParagraphFont"/>
    <w:link w:val="Heading4"/>
    <w:uiPriority w:val="9"/>
    <w:semiHidden/>
    <w:rsid w:val="004B2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6DB"/>
    <w:rPr>
      <w:rFonts w:eastAsiaTheme="majorEastAsia" w:cstheme="majorBidi"/>
      <w:color w:val="272727" w:themeColor="text1" w:themeTint="D8"/>
    </w:rPr>
  </w:style>
  <w:style w:type="paragraph" w:styleId="Title">
    <w:name w:val="Title"/>
    <w:basedOn w:val="Normal"/>
    <w:next w:val="Normal"/>
    <w:link w:val="TitleChar"/>
    <w:uiPriority w:val="10"/>
    <w:qFormat/>
    <w:rsid w:val="008E047B"/>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8E047B"/>
    <w:rPr>
      <w:rFonts w:ascii="Arial" w:eastAsiaTheme="majorEastAsia" w:hAnsi="Arial" w:cstheme="majorBidi"/>
      <w:b/>
      <w:spacing w:val="-10"/>
      <w:kern w:val="28"/>
      <w:sz w:val="56"/>
      <w:szCs w:val="56"/>
    </w:rPr>
  </w:style>
  <w:style w:type="paragraph" w:styleId="Subtitle">
    <w:name w:val="Subtitle"/>
    <w:basedOn w:val="Normal"/>
    <w:next w:val="Normal"/>
    <w:link w:val="SubtitleChar"/>
    <w:uiPriority w:val="11"/>
    <w:qFormat/>
    <w:rsid w:val="004B26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6DB"/>
    <w:pPr>
      <w:spacing w:before="160"/>
      <w:jc w:val="center"/>
    </w:pPr>
    <w:rPr>
      <w:i/>
      <w:iCs/>
      <w:color w:val="404040" w:themeColor="text1" w:themeTint="BF"/>
    </w:rPr>
  </w:style>
  <w:style w:type="character" w:customStyle="1" w:styleId="QuoteChar">
    <w:name w:val="Quote Char"/>
    <w:basedOn w:val="DefaultParagraphFont"/>
    <w:link w:val="Quote"/>
    <w:uiPriority w:val="29"/>
    <w:rsid w:val="004B26DB"/>
    <w:rPr>
      <w:rFonts w:ascii="Arial" w:hAnsi="Arial"/>
      <w:i/>
      <w:iCs/>
      <w:color w:val="404040" w:themeColor="text1" w:themeTint="BF"/>
    </w:rPr>
  </w:style>
  <w:style w:type="paragraph" w:styleId="ListParagraph">
    <w:name w:val="List Paragraph"/>
    <w:basedOn w:val="Normal"/>
    <w:uiPriority w:val="34"/>
    <w:qFormat/>
    <w:rsid w:val="004B26DB"/>
    <w:pPr>
      <w:ind w:left="720"/>
      <w:contextualSpacing/>
    </w:pPr>
  </w:style>
  <w:style w:type="character" w:styleId="IntenseEmphasis">
    <w:name w:val="Intense Emphasis"/>
    <w:basedOn w:val="DefaultParagraphFont"/>
    <w:uiPriority w:val="21"/>
    <w:qFormat/>
    <w:rsid w:val="004B26DB"/>
    <w:rPr>
      <w:i/>
      <w:iCs/>
      <w:color w:val="2F5496" w:themeColor="accent1" w:themeShade="BF"/>
    </w:rPr>
  </w:style>
  <w:style w:type="paragraph" w:styleId="IntenseQuote">
    <w:name w:val="Intense Quote"/>
    <w:basedOn w:val="Normal"/>
    <w:next w:val="Normal"/>
    <w:link w:val="IntenseQuoteChar"/>
    <w:uiPriority w:val="30"/>
    <w:qFormat/>
    <w:rsid w:val="004B2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6DB"/>
    <w:rPr>
      <w:rFonts w:ascii="Arial" w:hAnsi="Arial"/>
      <w:i/>
      <w:iCs/>
      <w:color w:val="2F5496" w:themeColor="accent1" w:themeShade="BF"/>
    </w:rPr>
  </w:style>
  <w:style w:type="character" w:styleId="IntenseReference">
    <w:name w:val="Intense Reference"/>
    <w:basedOn w:val="DefaultParagraphFont"/>
    <w:uiPriority w:val="32"/>
    <w:qFormat/>
    <w:rsid w:val="004B26DB"/>
    <w:rPr>
      <w:b/>
      <w:bCs/>
      <w:smallCaps/>
      <w:color w:val="2F5496" w:themeColor="accent1" w:themeShade="BF"/>
      <w:spacing w:val="5"/>
    </w:rPr>
  </w:style>
  <w:style w:type="character" w:styleId="Hyperlink">
    <w:name w:val="Hyperlink"/>
    <w:basedOn w:val="DefaultParagraphFont"/>
    <w:uiPriority w:val="99"/>
    <w:unhideWhenUsed/>
    <w:rsid w:val="004B26DB"/>
    <w:rPr>
      <w:color w:val="0563C1" w:themeColor="hyperlink"/>
      <w:u w:val="single"/>
    </w:rPr>
  </w:style>
  <w:style w:type="character" w:styleId="UnresolvedMention">
    <w:name w:val="Unresolved Mention"/>
    <w:basedOn w:val="DefaultParagraphFont"/>
    <w:uiPriority w:val="99"/>
    <w:semiHidden/>
    <w:unhideWhenUsed/>
    <w:rsid w:val="004B26DB"/>
    <w:rPr>
      <w:color w:val="605E5C"/>
      <w:shd w:val="clear" w:color="auto" w:fill="E1DFDD"/>
    </w:rPr>
  </w:style>
  <w:style w:type="character" w:styleId="PlaceholderText">
    <w:name w:val="Placeholder Text"/>
    <w:basedOn w:val="DefaultParagraphFont"/>
    <w:uiPriority w:val="99"/>
    <w:semiHidden/>
    <w:rsid w:val="001B24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1676">
      <w:bodyDiv w:val="1"/>
      <w:marLeft w:val="0"/>
      <w:marRight w:val="0"/>
      <w:marTop w:val="0"/>
      <w:marBottom w:val="0"/>
      <w:divBdr>
        <w:top w:val="none" w:sz="0" w:space="0" w:color="auto"/>
        <w:left w:val="none" w:sz="0" w:space="0" w:color="auto"/>
        <w:bottom w:val="none" w:sz="0" w:space="0" w:color="auto"/>
        <w:right w:val="none" w:sz="0" w:space="0" w:color="auto"/>
      </w:divBdr>
      <w:divsChild>
        <w:div w:id="1537960364">
          <w:marLeft w:val="480"/>
          <w:marRight w:val="0"/>
          <w:marTop w:val="0"/>
          <w:marBottom w:val="0"/>
          <w:divBdr>
            <w:top w:val="none" w:sz="0" w:space="0" w:color="auto"/>
            <w:left w:val="none" w:sz="0" w:space="0" w:color="auto"/>
            <w:bottom w:val="none" w:sz="0" w:space="0" w:color="auto"/>
            <w:right w:val="none" w:sz="0" w:space="0" w:color="auto"/>
          </w:divBdr>
          <w:divsChild>
            <w:div w:id="2101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9877">
      <w:bodyDiv w:val="1"/>
      <w:marLeft w:val="0"/>
      <w:marRight w:val="0"/>
      <w:marTop w:val="0"/>
      <w:marBottom w:val="0"/>
      <w:divBdr>
        <w:top w:val="none" w:sz="0" w:space="0" w:color="auto"/>
        <w:left w:val="none" w:sz="0" w:space="0" w:color="auto"/>
        <w:bottom w:val="none" w:sz="0" w:space="0" w:color="auto"/>
        <w:right w:val="none" w:sz="0" w:space="0" w:color="auto"/>
      </w:divBdr>
      <w:divsChild>
        <w:div w:id="1748768950">
          <w:marLeft w:val="480"/>
          <w:marRight w:val="0"/>
          <w:marTop w:val="0"/>
          <w:marBottom w:val="0"/>
          <w:divBdr>
            <w:top w:val="none" w:sz="0" w:space="0" w:color="auto"/>
            <w:left w:val="none" w:sz="0" w:space="0" w:color="auto"/>
            <w:bottom w:val="none" w:sz="0" w:space="0" w:color="auto"/>
            <w:right w:val="none" w:sz="0" w:space="0" w:color="auto"/>
          </w:divBdr>
          <w:divsChild>
            <w:div w:id="176352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1450">
      <w:bodyDiv w:val="1"/>
      <w:marLeft w:val="0"/>
      <w:marRight w:val="0"/>
      <w:marTop w:val="0"/>
      <w:marBottom w:val="0"/>
      <w:divBdr>
        <w:top w:val="none" w:sz="0" w:space="0" w:color="auto"/>
        <w:left w:val="none" w:sz="0" w:space="0" w:color="auto"/>
        <w:bottom w:val="none" w:sz="0" w:space="0" w:color="auto"/>
        <w:right w:val="none" w:sz="0" w:space="0" w:color="auto"/>
      </w:divBdr>
      <w:divsChild>
        <w:div w:id="1565292292">
          <w:marLeft w:val="480"/>
          <w:marRight w:val="0"/>
          <w:marTop w:val="0"/>
          <w:marBottom w:val="0"/>
          <w:divBdr>
            <w:top w:val="none" w:sz="0" w:space="0" w:color="auto"/>
            <w:left w:val="none" w:sz="0" w:space="0" w:color="auto"/>
            <w:bottom w:val="none" w:sz="0" w:space="0" w:color="auto"/>
            <w:right w:val="none" w:sz="0" w:space="0" w:color="auto"/>
          </w:divBdr>
          <w:divsChild>
            <w:div w:id="5027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0476">
      <w:bodyDiv w:val="1"/>
      <w:marLeft w:val="0"/>
      <w:marRight w:val="0"/>
      <w:marTop w:val="0"/>
      <w:marBottom w:val="0"/>
      <w:divBdr>
        <w:top w:val="none" w:sz="0" w:space="0" w:color="auto"/>
        <w:left w:val="none" w:sz="0" w:space="0" w:color="auto"/>
        <w:bottom w:val="none" w:sz="0" w:space="0" w:color="auto"/>
        <w:right w:val="none" w:sz="0" w:space="0" w:color="auto"/>
      </w:divBdr>
      <w:divsChild>
        <w:div w:id="1648434472">
          <w:marLeft w:val="480"/>
          <w:marRight w:val="0"/>
          <w:marTop w:val="0"/>
          <w:marBottom w:val="0"/>
          <w:divBdr>
            <w:top w:val="none" w:sz="0" w:space="0" w:color="auto"/>
            <w:left w:val="none" w:sz="0" w:space="0" w:color="auto"/>
            <w:bottom w:val="none" w:sz="0" w:space="0" w:color="auto"/>
            <w:right w:val="none" w:sz="0" w:space="0" w:color="auto"/>
          </w:divBdr>
          <w:divsChild>
            <w:div w:id="11231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59101">
      <w:bodyDiv w:val="1"/>
      <w:marLeft w:val="0"/>
      <w:marRight w:val="0"/>
      <w:marTop w:val="0"/>
      <w:marBottom w:val="0"/>
      <w:divBdr>
        <w:top w:val="none" w:sz="0" w:space="0" w:color="auto"/>
        <w:left w:val="none" w:sz="0" w:space="0" w:color="auto"/>
        <w:bottom w:val="none" w:sz="0" w:space="0" w:color="auto"/>
        <w:right w:val="none" w:sz="0" w:space="0" w:color="auto"/>
      </w:divBdr>
      <w:divsChild>
        <w:div w:id="1776097165">
          <w:marLeft w:val="480"/>
          <w:marRight w:val="0"/>
          <w:marTop w:val="0"/>
          <w:marBottom w:val="0"/>
          <w:divBdr>
            <w:top w:val="none" w:sz="0" w:space="0" w:color="auto"/>
            <w:left w:val="none" w:sz="0" w:space="0" w:color="auto"/>
            <w:bottom w:val="none" w:sz="0" w:space="0" w:color="auto"/>
            <w:right w:val="none" w:sz="0" w:space="0" w:color="auto"/>
          </w:divBdr>
          <w:divsChild>
            <w:div w:id="10024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26579">
      <w:bodyDiv w:val="1"/>
      <w:marLeft w:val="0"/>
      <w:marRight w:val="0"/>
      <w:marTop w:val="0"/>
      <w:marBottom w:val="0"/>
      <w:divBdr>
        <w:top w:val="none" w:sz="0" w:space="0" w:color="auto"/>
        <w:left w:val="none" w:sz="0" w:space="0" w:color="auto"/>
        <w:bottom w:val="none" w:sz="0" w:space="0" w:color="auto"/>
        <w:right w:val="none" w:sz="0" w:space="0" w:color="auto"/>
      </w:divBdr>
      <w:divsChild>
        <w:div w:id="431172689">
          <w:marLeft w:val="480"/>
          <w:marRight w:val="0"/>
          <w:marTop w:val="0"/>
          <w:marBottom w:val="0"/>
          <w:divBdr>
            <w:top w:val="none" w:sz="0" w:space="0" w:color="auto"/>
            <w:left w:val="none" w:sz="0" w:space="0" w:color="auto"/>
            <w:bottom w:val="none" w:sz="0" w:space="0" w:color="auto"/>
            <w:right w:val="none" w:sz="0" w:space="0" w:color="auto"/>
          </w:divBdr>
          <w:divsChild>
            <w:div w:id="117068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64098">
      <w:bodyDiv w:val="1"/>
      <w:marLeft w:val="0"/>
      <w:marRight w:val="0"/>
      <w:marTop w:val="0"/>
      <w:marBottom w:val="0"/>
      <w:divBdr>
        <w:top w:val="none" w:sz="0" w:space="0" w:color="auto"/>
        <w:left w:val="none" w:sz="0" w:space="0" w:color="auto"/>
        <w:bottom w:val="none" w:sz="0" w:space="0" w:color="auto"/>
        <w:right w:val="none" w:sz="0" w:space="0" w:color="auto"/>
      </w:divBdr>
      <w:divsChild>
        <w:div w:id="6834389">
          <w:marLeft w:val="480"/>
          <w:marRight w:val="0"/>
          <w:marTop w:val="0"/>
          <w:marBottom w:val="0"/>
          <w:divBdr>
            <w:top w:val="none" w:sz="0" w:space="0" w:color="auto"/>
            <w:left w:val="none" w:sz="0" w:space="0" w:color="auto"/>
            <w:bottom w:val="none" w:sz="0" w:space="0" w:color="auto"/>
            <w:right w:val="none" w:sz="0" w:space="0" w:color="auto"/>
          </w:divBdr>
          <w:divsChild>
            <w:div w:id="187180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8521">
      <w:bodyDiv w:val="1"/>
      <w:marLeft w:val="0"/>
      <w:marRight w:val="0"/>
      <w:marTop w:val="0"/>
      <w:marBottom w:val="0"/>
      <w:divBdr>
        <w:top w:val="none" w:sz="0" w:space="0" w:color="auto"/>
        <w:left w:val="none" w:sz="0" w:space="0" w:color="auto"/>
        <w:bottom w:val="none" w:sz="0" w:space="0" w:color="auto"/>
        <w:right w:val="none" w:sz="0" w:space="0" w:color="auto"/>
      </w:divBdr>
      <w:divsChild>
        <w:div w:id="1727100604">
          <w:marLeft w:val="480"/>
          <w:marRight w:val="0"/>
          <w:marTop w:val="0"/>
          <w:marBottom w:val="0"/>
          <w:divBdr>
            <w:top w:val="none" w:sz="0" w:space="0" w:color="auto"/>
            <w:left w:val="none" w:sz="0" w:space="0" w:color="auto"/>
            <w:bottom w:val="none" w:sz="0" w:space="0" w:color="auto"/>
            <w:right w:val="none" w:sz="0" w:space="0" w:color="auto"/>
          </w:divBdr>
          <w:divsChild>
            <w:div w:id="189989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62744">
      <w:bodyDiv w:val="1"/>
      <w:marLeft w:val="0"/>
      <w:marRight w:val="0"/>
      <w:marTop w:val="0"/>
      <w:marBottom w:val="0"/>
      <w:divBdr>
        <w:top w:val="none" w:sz="0" w:space="0" w:color="auto"/>
        <w:left w:val="none" w:sz="0" w:space="0" w:color="auto"/>
        <w:bottom w:val="none" w:sz="0" w:space="0" w:color="auto"/>
        <w:right w:val="none" w:sz="0" w:space="0" w:color="auto"/>
      </w:divBdr>
      <w:divsChild>
        <w:div w:id="1017343999">
          <w:marLeft w:val="480"/>
          <w:marRight w:val="0"/>
          <w:marTop w:val="0"/>
          <w:marBottom w:val="0"/>
          <w:divBdr>
            <w:top w:val="none" w:sz="0" w:space="0" w:color="auto"/>
            <w:left w:val="none" w:sz="0" w:space="0" w:color="auto"/>
            <w:bottom w:val="none" w:sz="0" w:space="0" w:color="auto"/>
            <w:right w:val="none" w:sz="0" w:space="0" w:color="auto"/>
          </w:divBdr>
          <w:divsChild>
            <w:div w:id="12940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85336">
      <w:bodyDiv w:val="1"/>
      <w:marLeft w:val="0"/>
      <w:marRight w:val="0"/>
      <w:marTop w:val="0"/>
      <w:marBottom w:val="0"/>
      <w:divBdr>
        <w:top w:val="none" w:sz="0" w:space="0" w:color="auto"/>
        <w:left w:val="none" w:sz="0" w:space="0" w:color="auto"/>
        <w:bottom w:val="none" w:sz="0" w:space="0" w:color="auto"/>
        <w:right w:val="none" w:sz="0" w:space="0" w:color="auto"/>
      </w:divBdr>
      <w:divsChild>
        <w:div w:id="145365589">
          <w:marLeft w:val="480"/>
          <w:marRight w:val="0"/>
          <w:marTop w:val="0"/>
          <w:marBottom w:val="0"/>
          <w:divBdr>
            <w:top w:val="none" w:sz="0" w:space="0" w:color="auto"/>
            <w:left w:val="none" w:sz="0" w:space="0" w:color="auto"/>
            <w:bottom w:val="none" w:sz="0" w:space="0" w:color="auto"/>
            <w:right w:val="none" w:sz="0" w:space="0" w:color="auto"/>
          </w:divBdr>
          <w:divsChild>
            <w:div w:id="951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16515">
      <w:bodyDiv w:val="1"/>
      <w:marLeft w:val="0"/>
      <w:marRight w:val="0"/>
      <w:marTop w:val="0"/>
      <w:marBottom w:val="0"/>
      <w:divBdr>
        <w:top w:val="none" w:sz="0" w:space="0" w:color="auto"/>
        <w:left w:val="none" w:sz="0" w:space="0" w:color="auto"/>
        <w:bottom w:val="none" w:sz="0" w:space="0" w:color="auto"/>
        <w:right w:val="none" w:sz="0" w:space="0" w:color="auto"/>
      </w:divBdr>
      <w:divsChild>
        <w:div w:id="624309430">
          <w:marLeft w:val="480"/>
          <w:marRight w:val="0"/>
          <w:marTop w:val="0"/>
          <w:marBottom w:val="0"/>
          <w:divBdr>
            <w:top w:val="none" w:sz="0" w:space="0" w:color="auto"/>
            <w:left w:val="none" w:sz="0" w:space="0" w:color="auto"/>
            <w:bottom w:val="none" w:sz="0" w:space="0" w:color="auto"/>
            <w:right w:val="none" w:sz="0" w:space="0" w:color="auto"/>
          </w:divBdr>
          <w:divsChild>
            <w:div w:id="9093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92553">
      <w:bodyDiv w:val="1"/>
      <w:marLeft w:val="0"/>
      <w:marRight w:val="0"/>
      <w:marTop w:val="0"/>
      <w:marBottom w:val="0"/>
      <w:divBdr>
        <w:top w:val="none" w:sz="0" w:space="0" w:color="auto"/>
        <w:left w:val="none" w:sz="0" w:space="0" w:color="auto"/>
        <w:bottom w:val="none" w:sz="0" w:space="0" w:color="auto"/>
        <w:right w:val="none" w:sz="0" w:space="0" w:color="auto"/>
      </w:divBdr>
      <w:divsChild>
        <w:div w:id="350033573">
          <w:marLeft w:val="480"/>
          <w:marRight w:val="0"/>
          <w:marTop w:val="0"/>
          <w:marBottom w:val="0"/>
          <w:divBdr>
            <w:top w:val="none" w:sz="0" w:space="0" w:color="auto"/>
            <w:left w:val="none" w:sz="0" w:space="0" w:color="auto"/>
            <w:bottom w:val="none" w:sz="0" w:space="0" w:color="auto"/>
            <w:right w:val="none" w:sz="0" w:space="0" w:color="auto"/>
          </w:divBdr>
          <w:divsChild>
            <w:div w:id="17623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18134">
      <w:bodyDiv w:val="1"/>
      <w:marLeft w:val="0"/>
      <w:marRight w:val="0"/>
      <w:marTop w:val="0"/>
      <w:marBottom w:val="0"/>
      <w:divBdr>
        <w:top w:val="none" w:sz="0" w:space="0" w:color="auto"/>
        <w:left w:val="none" w:sz="0" w:space="0" w:color="auto"/>
        <w:bottom w:val="none" w:sz="0" w:space="0" w:color="auto"/>
        <w:right w:val="none" w:sz="0" w:space="0" w:color="auto"/>
      </w:divBdr>
      <w:divsChild>
        <w:div w:id="58134364">
          <w:marLeft w:val="480"/>
          <w:marRight w:val="0"/>
          <w:marTop w:val="0"/>
          <w:marBottom w:val="0"/>
          <w:divBdr>
            <w:top w:val="none" w:sz="0" w:space="0" w:color="auto"/>
            <w:left w:val="none" w:sz="0" w:space="0" w:color="auto"/>
            <w:bottom w:val="none" w:sz="0" w:space="0" w:color="auto"/>
            <w:right w:val="none" w:sz="0" w:space="0" w:color="auto"/>
          </w:divBdr>
          <w:divsChild>
            <w:div w:id="19566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0008">
      <w:bodyDiv w:val="1"/>
      <w:marLeft w:val="0"/>
      <w:marRight w:val="0"/>
      <w:marTop w:val="0"/>
      <w:marBottom w:val="0"/>
      <w:divBdr>
        <w:top w:val="none" w:sz="0" w:space="0" w:color="auto"/>
        <w:left w:val="none" w:sz="0" w:space="0" w:color="auto"/>
        <w:bottom w:val="none" w:sz="0" w:space="0" w:color="auto"/>
        <w:right w:val="none" w:sz="0" w:space="0" w:color="auto"/>
      </w:divBdr>
      <w:divsChild>
        <w:div w:id="1515458500">
          <w:marLeft w:val="480"/>
          <w:marRight w:val="0"/>
          <w:marTop w:val="0"/>
          <w:marBottom w:val="0"/>
          <w:divBdr>
            <w:top w:val="none" w:sz="0" w:space="0" w:color="auto"/>
            <w:left w:val="none" w:sz="0" w:space="0" w:color="auto"/>
            <w:bottom w:val="none" w:sz="0" w:space="0" w:color="auto"/>
            <w:right w:val="none" w:sz="0" w:space="0" w:color="auto"/>
          </w:divBdr>
          <w:divsChild>
            <w:div w:id="9180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50620">
      <w:bodyDiv w:val="1"/>
      <w:marLeft w:val="0"/>
      <w:marRight w:val="0"/>
      <w:marTop w:val="0"/>
      <w:marBottom w:val="0"/>
      <w:divBdr>
        <w:top w:val="none" w:sz="0" w:space="0" w:color="auto"/>
        <w:left w:val="none" w:sz="0" w:space="0" w:color="auto"/>
        <w:bottom w:val="none" w:sz="0" w:space="0" w:color="auto"/>
        <w:right w:val="none" w:sz="0" w:space="0" w:color="auto"/>
      </w:divBdr>
      <w:divsChild>
        <w:div w:id="733041672">
          <w:marLeft w:val="480"/>
          <w:marRight w:val="0"/>
          <w:marTop w:val="0"/>
          <w:marBottom w:val="0"/>
          <w:divBdr>
            <w:top w:val="none" w:sz="0" w:space="0" w:color="auto"/>
            <w:left w:val="none" w:sz="0" w:space="0" w:color="auto"/>
            <w:bottom w:val="none" w:sz="0" w:space="0" w:color="auto"/>
            <w:right w:val="none" w:sz="0" w:space="0" w:color="auto"/>
          </w:divBdr>
          <w:divsChild>
            <w:div w:id="4970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7171">
      <w:bodyDiv w:val="1"/>
      <w:marLeft w:val="0"/>
      <w:marRight w:val="0"/>
      <w:marTop w:val="0"/>
      <w:marBottom w:val="0"/>
      <w:divBdr>
        <w:top w:val="none" w:sz="0" w:space="0" w:color="auto"/>
        <w:left w:val="none" w:sz="0" w:space="0" w:color="auto"/>
        <w:bottom w:val="none" w:sz="0" w:space="0" w:color="auto"/>
        <w:right w:val="none" w:sz="0" w:space="0" w:color="auto"/>
      </w:divBdr>
      <w:divsChild>
        <w:div w:id="991643198">
          <w:marLeft w:val="480"/>
          <w:marRight w:val="0"/>
          <w:marTop w:val="0"/>
          <w:marBottom w:val="0"/>
          <w:divBdr>
            <w:top w:val="none" w:sz="0" w:space="0" w:color="auto"/>
            <w:left w:val="none" w:sz="0" w:space="0" w:color="auto"/>
            <w:bottom w:val="none" w:sz="0" w:space="0" w:color="auto"/>
            <w:right w:val="none" w:sz="0" w:space="0" w:color="auto"/>
          </w:divBdr>
          <w:divsChild>
            <w:div w:id="6367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5860">
      <w:bodyDiv w:val="1"/>
      <w:marLeft w:val="0"/>
      <w:marRight w:val="0"/>
      <w:marTop w:val="0"/>
      <w:marBottom w:val="0"/>
      <w:divBdr>
        <w:top w:val="none" w:sz="0" w:space="0" w:color="auto"/>
        <w:left w:val="none" w:sz="0" w:space="0" w:color="auto"/>
        <w:bottom w:val="none" w:sz="0" w:space="0" w:color="auto"/>
        <w:right w:val="none" w:sz="0" w:space="0" w:color="auto"/>
      </w:divBdr>
      <w:divsChild>
        <w:div w:id="57215056">
          <w:marLeft w:val="480"/>
          <w:marRight w:val="0"/>
          <w:marTop w:val="0"/>
          <w:marBottom w:val="0"/>
          <w:divBdr>
            <w:top w:val="none" w:sz="0" w:space="0" w:color="auto"/>
            <w:left w:val="none" w:sz="0" w:space="0" w:color="auto"/>
            <w:bottom w:val="none" w:sz="0" w:space="0" w:color="auto"/>
            <w:right w:val="none" w:sz="0" w:space="0" w:color="auto"/>
          </w:divBdr>
          <w:divsChild>
            <w:div w:id="117665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75313">
      <w:bodyDiv w:val="1"/>
      <w:marLeft w:val="0"/>
      <w:marRight w:val="0"/>
      <w:marTop w:val="0"/>
      <w:marBottom w:val="0"/>
      <w:divBdr>
        <w:top w:val="none" w:sz="0" w:space="0" w:color="auto"/>
        <w:left w:val="none" w:sz="0" w:space="0" w:color="auto"/>
        <w:bottom w:val="none" w:sz="0" w:space="0" w:color="auto"/>
        <w:right w:val="none" w:sz="0" w:space="0" w:color="auto"/>
      </w:divBdr>
      <w:divsChild>
        <w:div w:id="1233807807">
          <w:marLeft w:val="480"/>
          <w:marRight w:val="0"/>
          <w:marTop w:val="0"/>
          <w:marBottom w:val="0"/>
          <w:divBdr>
            <w:top w:val="none" w:sz="0" w:space="0" w:color="auto"/>
            <w:left w:val="none" w:sz="0" w:space="0" w:color="auto"/>
            <w:bottom w:val="none" w:sz="0" w:space="0" w:color="auto"/>
            <w:right w:val="none" w:sz="0" w:space="0" w:color="auto"/>
          </w:divBdr>
          <w:divsChild>
            <w:div w:id="6128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4655">
      <w:bodyDiv w:val="1"/>
      <w:marLeft w:val="0"/>
      <w:marRight w:val="0"/>
      <w:marTop w:val="0"/>
      <w:marBottom w:val="0"/>
      <w:divBdr>
        <w:top w:val="none" w:sz="0" w:space="0" w:color="auto"/>
        <w:left w:val="none" w:sz="0" w:space="0" w:color="auto"/>
        <w:bottom w:val="none" w:sz="0" w:space="0" w:color="auto"/>
        <w:right w:val="none" w:sz="0" w:space="0" w:color="auto"/>
      </w:divBdr>
      <w:divsChild>
        <w:div w:id="1219395266">
          <w:marLeft w:val="480"/>
          <w:marRight w:val="0"/>
          <w:marTop w:val="0"/>
          <w:marBottom w:val="0"/>
          <w:divBdr>
            <w:top w:val="none" w:sz="0" w:space="0" w:color="auto"/>
            <w:left w:val="none" w:sz="0" w:space="0" w:color="auto"/>
            <w:bottom w:val="none" w:sz="0" w:space="0" w:color="auto"/>
            <w:right w:val="none" w:sz="0" w:space="0" w:color="auto"/>
          </w:divBdr>
          <w:divsChild>
            <w:div w:id="18412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2088">
      <w:bodyDiv w:val="1"/>
      <w:marLeft w:val="0"/>
      <w:marRight w:val="0"/>
      <w:marTop w:val="0"/>
      <w:marBottom w:val="0"/>
      <w:divBdr>
        <w:top w:val="none" w:sz="0" w:space="0" w:color="auto"/>
        <w:left w:val="none" w:sz="0" w:space="0" w:color="auto"/>
        <w:bottom w:val="none" w:sz="0" w:space="0" w:color="auto"/>
        <w:right w:val="none" w:sz="0" w:space="0" w:color="auto"/>
      </w:divBdr>
      <w:divsChild>
        <w:div w:id="351690738">
          <w:marLeft w:val="480"/>
          <w:marRight w:val="0"/>
          <w:marTop w:val="0"/>
          <w:marBottom w:val="0"/>
          <w:divBdr>
            <w:top w:val="none" w:sz="0" w:space="0" w:color="auto"/>
            <w:left w:val="none" w:sz="0" w:space="0" w:color="auto"/>
            <w:bottom w:val="none" w:sz="0" w:space="0" w:color="auto"/>
            <w:right w:val="none" w:sz="0" w:space="0" w:color="auto"/>
          </w:divBdr>
          <w:divsChild>
            <w:div w:id="122402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pr8040414" TargetMode="External"/><Relationship Id="rId13" Type="http://schemas.openxmlformats.org/officeDocument/2006/relationships/hyperlink" Target="https://doi.org/10.1080/02786829708965471" TargetMode="External"/><Relationship Id="rId3" Type="http://schemas.openxmlformats.org/officeDocument/2006/relationships/settings" Target="settings.xml"/><Relationship Id="rId7" Type="http://schemas.openxmlformats.org/officeDocument/2006/relationships/hyperlink" Target="https://doi.org/10.1016/j.jaerosci.2012.04.003" TargetMode="External"/><Relationship Id="rId12" Type="http://schemas.openxmlformats.org/officeDocument/2006/relationships/hyperlink" Target="https://doi.org/10.1002/aic.69049051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2514/6.2014-1440" TargetMode="External"/><Relationship Id="rId11" Type="http://schemas.openxmlformats.org/officeDocument/2006/relationships/hyperlink" Target="https://doi.org/10.1016/S0021-9797(02)00054-1" TargetMode="External"/><Relationship Id="rId5" Type="http://schemas.openxmlformats.org/officeDocument/2006/relationships/hyperlink" Target="https://www.mathworks.com/help/matlab/math/solve-differential-algebraic-equations-daes.html" TargetMode="External"/><Relationship Id="rId15" Type="http://schemas.openxmlformats.org/officeDocument/2006/relationships/hyperlink" Target="https://doi.org/10.1016/0009-2509(95)00355-X" TargetMode="External"/><Relationship Id="rId10" Type="http://schemas.openxmlformats.org/officeDocument/2006/relationships/hyperlink" Target="https://doi.org/10.1016/j.ces.2008.05.006" TargetMode="External"/><Relationship Id="rId4" Type="http://schemas.openxmlformats.org/officeDocument/2006/relationships/webSettings" Target="webSettings.xml"/><Relationship Id="rId9" Type="http://schemas.openxmlformats.org/officeDocument/2006/relationships/hyperlink" Target="https://doi.org/10.1146/annurev-chembioeng-092319-075814" TargetMode="External"/><Relationship Id="rId14" Type="http://schemas.openxmlformats.org/officeDocument/2006/relationships/hyperlink" Target="https://doi.org/10.1016/j.ces.2007.02.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31466</TotalTime>
  <Pages>7</Pages>
  <Words>1656</Words>
  <Characters>9445</Characters>
  <Application>Microsoft Office Word</Application>
  <DocSecurity>0</DocSecurity>
  <Lines>78</Lines>
  <Paragraphs>22</Paragraphs>
  <ScaleCrop>false</ScaleCrop>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Gilleland</dc:creator>
  <cp:keywords/>
  <dc:description/>
  <cp:lastModifiedBy>Braden Gilleland</cp:lastModifiedBy>
  <cp:revision>105</cp:revision>
  <dcterms:created xsi:type="dcterms:W3CDTF">2025-02-28T15:20:00Z</dcterms:created>
  <dcterms:modified xsi:type="dcterms:W3CDTF">2025-05-08T14:24:00Z</dcterms:modified>
</cp:coreProperties>
</file>