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Sprint 3 Pre-Assessment Quiz</w:t>
      </w:r>
    </w:p>
    <w:p>
      <w:pPr>
        <w:jc w:val="center"/>
      </w:pPr>
      <w:r>
        <w:rPr>
          <w:b/>
          <w:sz w:val="26"/>
        </w:rPr>
        <w:t>Question &amp; Answer Study Guide</w:t>
      </w:r>
    </w:p>
    <w:p>
      <w:pPr>
        <w:spacing w:before="180" w:after="60"/>
      </w:pPr>
      <w:r>
        <w:rPr>
          <w:b/>
        </w:rPr>
        <w:t xml:space="preserve">Question 1. </w:t>
      </w:r>
      <w:r>
        <w:t>A customer report must include every client, even if they have no account. Which join should be used?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LEFT JOIN from clients to accounts</w:t>
      </w:r>
    </w:p>
    <w:p>
      <w:pPr>
        <w:spacing w:before="180" w:after="60"/>
      </w:pPr>
      <w:r>
        <w:rPr>
          <w:b/>
        </w:rPr>
        <w:t xml:space="preserve">Question 2. </w:t>
      </w:r>
      <w:r>
        <w:t>A query changes from LEFT JOIN to INNER JOIN, and clients without accounts disappear. Why?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INNER JOIN requires a match in both tables.</w:t>
      </w:r>
    </w:p>
    <w:p>
      <w:pPr>
        <w:spacing w:before="180" w:after="60"/>
      </w:pPr>
      <w:r>
        <w:rPr>
          <w:b/>
        </w:rPr>
        <w:t xml:space="preserve">Question 3. </w:t>
      </w:r>
      <w:r>
        <w:t>In your SQL for your advisors table, you need advisors with at least three clients. Which SQL pattern is correct?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GROUP BY advisor_id HAVING COUNT(*) &gt;= 3</w:t>
      </w:r>
    </w:p>
    <w:p>
      <w:pPr>
        <w:spacing w:before="180" w:after="60"/>
      </w:pPr>
      <w:r>
        <w:rPr>
          <w:b/>
        </w:rPr>
        <w:t xml:space="preserve">Question 4. </w:t>
      </w:r>
      <w:r>
        <w:t>You are asked to provide a report that shows each account and the date of its latest transaction regardless of the number of transactions associated with the account. A query finds each account's latest transaction using a correlated subquery. Which statements are true? Select all that apply — 3 correct answers.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It can reference values from the outer query.; It is conceptually evaluated for each outer row.; A non-correlated scalar subquery may be evaluated once.</w:t>
      </w:r>
    </w:p>
    <w:p>
      <w:pPr>
        <w:spacing w:before="180" w:after="60"/>
      </w:pPr>
      <w:r>
        <w:rPr>
          <w:b/>
        </w:rPr>
        <w:t xml:space="preserve">Question 5. </w:t>
      </w:r>
      <w:r>
        <w:t>What is a chief reason for using a CTE over a derived table subquery?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It is often easier to read and maintain.</w:t>
      </w:r>
    </w:p>
    <w:p>
      <w:pPr>
        <w:spacing w:before="180" w:after="60"/>
      </w:pPr>
      <w:r>
        <w:rPr>
          <w:b/>
        </w:rPr>
        <w:t xml:space="preserve">Question 6. </w:t>
      </w:r>
      <w:r>
        <w:t>A team lead suggests using a GenAI generated query replacing a CTE query hand written by the team. What should the team do? Select all that apply - 3 Correct Answers.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Confirm the results are still correct.; Use it only if it provides a real benefit.; Compare readability and maintainability.</w:t>
      </w:r>
    </w:p>
    <w:p>
      <w:pPr>
        <w:spacing w:before="180" w:after="60"/>
      </w:pPr>
      <w:r>
        <w:rPr>
          <w:b/>
        </w:rPr>
        <w:t xml:space="preserve">Question 7. </w:t>
      </w:r>
      <w:r>
        <w:t>A flat file repeats advisor names and portfolio weights for instruments across many rows. What is the main risk?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Conflicting values for the same fact</w:t>
      </w:r>
    </w:p>
    <w:p>
      <w:pPr>
        <w:spacing w:before="180" w:after="60"/>
      </w:pPr>
      <w:r>
        <w:rPr>
          <w:b/>
        </w:rPr>
        <w:t xml:space="preserve">Question 8. </w:t>
      </w:r>
      <w:r>
        <w:t>You are asked to normalize a flat fit report that is using the following composite key (portfolio_id, Instrument_id). In reviewing the table you find a property called sector that is only tied to instrument_id. Which statements properly describe the problem and the fix? Select all that apply - 2 correct answers.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Fixing it helps achieve 2NF.; Move it to a table keyed by instrument.</w:t>
      </w:r>
    </w:p>
    <w:p>
      <w:pPr>
        <w:spacing w:before="180" w:after="60"/>
      </w:pPr>
      <w:r>
        <w:rPr>
          <w:b/>
        </w:rPr>
        <w:t xml:space="preserve">Question 9. </w:t>
      </w:r>
      <w:r>
        <w:t>You are reviewing the model portfolio schema and find it has an advisor_name that is dependent on advisor_id rather than the client_id. Which statements describe the issue and the steps that should be taken. Select all that apply - 2 answers are correct.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The change supports 3NF.; It creates a transitive dependency.; Moving region to the advisor table removes it.</w:t>
      </w:r>
    </w:p>
    <w:p>
      <w:pPr>
        <w:spacing w:before="180" w:after="60"/>
      </w:pPr>
      <w:r>
        <w:rPr>
          <w:b/>
        </w:rPr>
        <w:t xml:space="preserve">Question 10. </w:t>
      </w:r>
      <w:r>
        <w:t>A holdings table stores client_id, instrument_id, quantity, and as_of_date. Why use (client_id, instrument_id, as_of_date) as the key?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It represents the natural identity of a holding snapshot.</w:t>
      </w:r>
    </w:p>
    <w:p>
      <w:pPr>
        <w:spacing w:before="180" w:after="60"/>
      </w:pPr>
      <w:r>
        <w:rPr>
          <w:b/>
        </w:rPr>
        <w:t xml:space="preserve">Question 11. </w:t>
      </w:r>
      <w:r>
        <w:t>An instrument table has a primary key on instrument_id and a UNIQUE constraint on ticker. Why keep both? Select all that apply - 3 correct answers.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The primary key provides stable database identity.; UNIQUE prevents duplicate ticker values.; They enforce different kinds of uniqueness.</w:t>
      </w:r>
    </w:p>
    <w:p>
      <w:pPr>
        <w:spacing w:before="180" w:after="60"/>
      </w:pPr>
      <w:r>
        <w:rPr>
          <w:b/>
        </w:rPr>
        <w:t xml:space="preserve">Question 12. </w:t>
      </w:r>
      <w:r>
        <w:t>A CHECK constraint requires target_weight_pct to be between 0 and 100. What happens if 150 is inserted?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The insert is rejected.</w:t>
      </w:r>
    </w:p>
    <w:p>
      <w:pPr>
        <w:spacing w:before="180" w:after="60"/>
      </w:pPr>
      <w:r>
        <w:rPr>
          <w:b/>
        </w:rPr>
        <w:t xml:space="preserve">Question 13. </w:t>
      </w:r>
      <w:r>
        <w:t>An audit table is write-heavy and rarely queried by a foreign key. Why might you skip an index on that column? Assume Postgres is being used.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Indexes add write-maintenance cost.</w:t>
      </w:r>
    </w:p>
    <w:p>
      <w:pPr>
        <w:spacing w:before="180" w:after="60"/>
      </w:pPr>
      <w:r>
        <w:rPr>
          <w:b/>
        </w:rPr>
        <w:t xml:space="preserve">Question 14. </w:t>
      </w:r>
      <w:r>
        <w:t>A stakeholder asks for a report showing clients who have "drifted significantly," but gives no definition. What should you do first? Select all that apply - 3 correct answers.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Identify existing data that could support the report.; Record your assumptions.; List questions that need clarification.</w:t>
      </w:r>
    </w:p>
    <w:p>
      <w:pPr>
        <w:spacing w:before="180" w:after="60"/>
      </w:pPr>
      <w:r>
        <w:rPr>
          <w:b/>
        </w:rPr>
        <w:t xml:space="preserve">Question 15. </w:t>
      </w:r>
      <w:r>
        <w:t>Before coding the client DRIFT report, the team writes: "Does drift mean being more than X percentage points above target?" Why?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To validate the interpretation first</w:t>
      </w:r>
    </w:p>
    <w:p>
      <w:pPr>
        <w:spacing w:before="180" w:after="60"/>
      </w:pPr>
      <w:r>
        <w:rPr>
          <w:b/>
        </w:rPr>
        <w:t xml:space="preserve">Question 16. </w:t>
      </w:r>
      <w:r>
        <w:t>A session service needs fast token lookups and automatic expiration. Why might a key-value store fit? Select all that apply - 3 correct answers.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Fast single-key access; Built-in expiration support; No need for joins or aggregation</w:t>
      </w:r>
    </w:p>
    <w:p>
      <w:pPr>
        <w:spacing w:before="180" w:after="60"/>
      </w:pPr>
      <w:r>
        <w:rPr>
          <w:b/>
        </w:rPr>
        <w:t xml:space="preserve">Question 17. </w:t>
      </w:r>
      <w:r>
        <w:t>A system stores millions of price ticks and mainly queries price history by instrument and time range. Why consider columnar storage? Select all that apply - 3 correct answers.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Similar column values can compress well.; Queries often read only a few columns.; The workload scans values across many rows.</w:t>
      </w:r>
    </w:p>
    <w:p>
      <w:pPr>
        <w:spacing w:before="180" w:after="60"/>
      </w:pPr>
      <w:r>
        <w:rPr>
          <w:b/>
        </w:rPr>
        <w:t xml:space="preserve">Question 18. </w:t>
      </w:r>
      <w:r>
        <w:t>Different financial goal types need different fields, and new types are added regularly. Which storage model fits best?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Document</w:t>
      </w:r>
    </w:p>
    <w:p>
      <w:pPr>
        <w:spacing w:before="180" w:after="60"/>
      </w:pPr>
      <w:r>
        <w:rPr>
          <w:b/>
        </w:rPr>
        <w:t xml:space="preserve">Question 19. </w:t>
      </w:r>
      <w:r>
        <w:t>Reporting moves from a live PostgreSQL database to an OLAP based warehouse. What trade-offs should you expect? Select all that apply - 3 correct answers.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Warehouse data may be slightly delayed.</w:t>
      </w:r>
    </w:p>
    <w:p>
      <w:pPr>
        <w:spacing w:before="180" w:after="60"/>
      </w:pPr>
      <w:r>
        <w:rPr>
          <w:b/>
        </w:rPr>
        <w:t xml:space="preserve">Question 20. </w:t>
      </w:r>
      <w:r>
        <w:t>What is a benefit of separating storage and compute in a cloud warehouse?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Storage and compute can scale independently.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