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A56DB"/>
          <w:sz w:val="56"/>
        </w:rPr>
        <w:t>RealVault — Development Backlog</w:t>
      </w:r>
    </w:p>
    <w:p>
      <w:pPr>
        <w:spacing w:after="80"/>
        <w:jc w:val="center"/>
      </w:pPr>
      <w:r>
        <w:rPr>
          <w:rFonts w:ascii="Arial" w:hAnsi="Arial"/>
          <w:color w:val="666666"/>
          <w:sz w:val="22"/>
        </w:rPr>
        <w:t>Last updated: March 31, 2026</w:t>
      </w:r>
    </w:p>
    <w:p>
      <w:pPr>
        <w:spacing w:after="400"/>
        <w:jc w:val="center"/>
      </w:pPr>
      <w:r>
        <w:rPr>
          <w:rFonts w:ascii="Arial" w:hAnsi="Arial"/>
          <w:i/>
          <w:color w:val="666666"/>
          <w:sz w:val="22"/>
        </w:rPr>
        <w:t>Current State: Frontend Prototype (Single JSX)</w:t>
      </w:r>
    </w:p>
    <w:p>
      <w:pPr>
        <w:spacing w:after="240"/>
        <w:pBdr>
          <w:bottom w:val="single" w:sz="6" w:space="1" w:color="1a56db"/>
        </w:pBdr>
      </w:pPr>
    </w:p>
    <w:p>
      <w:pPr>
        <w:spacing w:after="280"/>
      </w:pPr>
      <w:r>
        <w:rPr>
          <w:rFonts w:ascii="Arial" w:hAnsi="Arial"/>
          <w:b/>
          <w:color w:val="DC2626"/>
          <w:sz w:val="18"/>
        </w:rPr>
        <w:t xml:space="preserve">  High  </w:t>
      </w:r>
      <w:r>
        <w:t xml:space="preserve">    </w:t>
      </w:r>
      <w:r>
        <w:rPr>
          <w:rFonts w:ascii="Arial" w:hAnsi="Arial"/>
          <w:b/>
          <w:color w:val="D97706"/>
          <w:sz w:val="18"/>
        </w:rPr>
        <w:t xml:space="preserve">  Medium  </w:t>
      </w:r>
      <w:r>
        <w:t xml:space="preserve">    </w:t>
      </w:r>
      <w:r>
        <w:rPr>
          <w:rFonts w:ascii="Arial" w:hAnsi="Arial"/>
          <w:b/>
          <w:color w:val="16A34A"/>
          <w:sz w:val="18"/>
        </w:rPr>
        <w:t xml:space="preserve">  Low  </w:t>
      </w:r>
    </w:p>
    <w:p>
      <w:pPr>
        <w:pStyle w:val="Heading1"/>
      </w:pPr>
      <w:r>
        <w:t>1. Backend &amp; Persistence</w:t>
      </w:r>
    </w:p>
    <w:p>
      <w:r>
        <w:t>Core infrastructure needed to move from a frontend prototype to a production application with real data storage, authentication, and multi-device support.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008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C2626"/>
                <w:sz w:val="18"/>
              </w:rPr>
              <w:t>High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Database &amp; API layer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Stand up a backend (Supabase, Firebase, or custom) with REST/GraphQL endpoints for all CRUD operations. Replace in-memory DEMO data with persistent storage.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Large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C2626"/>
                <w:sz w:val="18"/>
              </w:rPr>
              <w:t>High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User authentication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Email/password and OAuth login, session management, password reset flow. Gate all data behind authenticated user context.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Large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C2626"/>
                <w:sz w:val="18"/>
              </w:rPr>
              <w:t>High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Multi-property data isolation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Ensure each user only sees their own properties, transactions, and documents. Row-level security or tenant scoping.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Audit trail system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Log every data change (property value updates, transaction edits, status changes) with timestamp, old value, new value, and user. Powers appreciation history and change tracking.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Value history tracking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Store timestamped property value entries to build real appreciation charts instead of simple purchase-vs-current comparison.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File/document storage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Upload and attach receipts, leases, inspection reports, closing documents to properties and transactions. Cloud storage with signed URLs.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Subscription &amp; billing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Stripe integration for $25-50/mo subscription tiers, trial periods, payment management, and feature gating.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</w:tbl>
    <w:p/>
    <w:p>
      <w:pPr>
        <w:pStyle w:val="Heading1"/>
      </w:pPr>
      <w:r>
        <w:t>2. Depreciation &amp; Tax Accuracy</w:t>
      </w:r>
    </w:p>
    <w:p>
      <w:r>
        <w:t>Improvements needed to make tax reports accurate enough for real filing. Currently using simplified straight-line calculations without IRS-required conventions.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008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C2626"/>
                <w:sz w:val="18"/>
              </w:rPr>
              <w:t>High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Mid-month convention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IRS requires mid-month convention for real property placed in service. First and last year depreciation must be prorated based on the month of acquisition/disposition.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C2626"/>
                <w:sz w:val="18"/>
              </w:rPr>
              <w:t>High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Configurable land value %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Land is not depreciable. Currently hardcoded at 20% of purchase price. Allow per-property land value entry or percentage override.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Capital improvements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Track capital improvements (roof, HVAC, etc.) as separate depreciable assets with their own basis, placed-in-service date, and recovery period.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Section 179 / bonus depreciation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Support accelerated depreciation elections for qualifying property. Important for commercial investors.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Prior-year filing history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Import or manually enter prior-year depreciation claimed to calculate remaining basis accurately for properties not purchased in the current year.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</w:tbl>
    <w:p/>
    <w:p>
      <w:pPr>
        <w:pStyle w:val="Heading1"/>
      </w:pPr>
      <w:r>
        <w:t>3. Screen-by-Screen Review (Remaining)</w:t>
      </w:r>
    </w:p>
    <w:p>
      <w:r>
        <w:t>The following screens have not yet been reviewed for data accuracy, UX consistency, and feature completeness. Each needs the same treatment applied to Properties, Analytics, and Reports.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008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Rent Roll review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Verify rent roll calculations, lease tracking, vacancy rates. Ensure consistency with transaction-derived income data.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Mileage Tracker review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Review mileage logging UX, IRS rate accuracy, annual summaries. Add trip categorization and export for tax filing.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Deal Analyzer review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Validate purchase analysis calculations (cap rate, cash-on-cash, IRR projections). Ensure inputs and outputs match industry standards.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Flip Pipeline review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Review flip deal tracking, stage management, and profit projections. Verify ARV and rehab cost calculations.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Rehab Tracker review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Check budget tracking, contractor management, timeline features. Ensure cost categories align with reporting.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Contractor management review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Review contractor database, payment tracking, and 1099 reporting features.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</w:tbl>
    <w:p/>
    <w:p>
      <w:pPr>
        <w:pStyle w:val="Heading1"/>
      </w:pPr>
      <w:r>
        <w:t>4. Data &amp; Integrations</w:t>
      </w:r>
    </w:p>
    <w:p>
      <w:r>
        <w:t>External data connections to reduce manual entry and improve accuracy.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008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Bank/card transaction import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Plaid or similar integration to auto-import transactions. Categorization rules, duplicate detection, and manual review queue.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Large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Property value API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Zillow/Redfin/ATTOM API integration for automated property valuations. Scheduled refreshes with manual override option.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MLS data integration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Pull comparable sales and rental rates for deal analysis and rent benchmarking.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Accounting software export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QuickBooks/Xero export for bookkeeping handoff. Map RealVault categories to chart of accounts.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</w:tbl>
    <w:p/>
    <w:p>
      <w:pPr>
        <w:pStyle w:val="Heading1"/>
      </w:pPr>
      <w:r>
        <w:t>5. Polish &amp; Revenue Features</w:t>
      </w:r>
    </w:p>
    <w:p>
      <w:r>
        <w:t>Features that differentiate from free tools and justify the subscription price point.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008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Mobile responsive design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Full mobile layout for on-the-go property management. Touch-optimized interactions, swipe gestures, bottom navigation.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Large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Dashboard customization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Let users choose which KPIs appear on their dashboard. Drag-and-drop widget arrangement, saved layouts.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Notifications &amp; alerts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Lease expiration reminders, rent due alerts, maintenance schedules, insurance renewal dates. Email and in-app notifications.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Portfolio sharing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Read-only portfolio view shareable with partners, lenders, or accountants via secure link. Configurable data visibility.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Dark mode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System-preference-aware dark theme across all screens.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</w:tbl>
    <w:p/>
    <w:p>
      <w:pPr>
        <w:pStyle w:val="Heading1"/>
      </w:pPr>
      <w:r>
        <w:t>6. Admin &amp; Operations</w:t>
      </w:r>
    </w:p>
    <w:p>
      <w:r>
        <w:t>Internal tooling for managing the app, updating config, and handling operational tasks without code deploys.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fill="1a56db" w:val="clea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008"/>
            <w:shd w:fill="1a56db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C2626"/>
                <w:sz w:val="18"/>
              </w:rPr>
              <w:t>High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Admin dashboard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Web-based admin panel for managing app configuration without code changes. Update TAX_CONFIG values (IRS mileage rate, tax brackets, depreciation periods, year ranges), toggle feature flags, manage subscription tiers and pricing.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Large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C2626"/>
                <w:sz w:val="18"/>
              </w:rPr>
              <w:t>High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Annual tax config updates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Admin UI to update IRS rates each January: mileage rate, bracket percentages, depreciation rules, QBI deduction status. Currently centralized in TAX_CONFIG block in code — needs to move to a database-backed admin screen.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User management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View active users, subscription status, usage metrics. Handle support cases, account issues, and refunds.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Medium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D97706"/>
                <w:sz w:val="18"/>
              </w:rPr>
              <w:t>Medium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b/>
                <w:sz w:val="20"/>
              </w:rPr>
              <w:t>Feature flags</w:t>
            </w:r>
          </w:p>
        </w:tc>
        <w:tc>
          <w:tcPr>
            <w:tcW w:type="dxa" w:w="2340"/>
            <w:shd w:fill="ffffff" w:val="clear"/>
          </w:tcPr>
          <w:p>
            <w:r>
              <w:rPr>
                <w:rFonts w:ascii="Arial" w:hAnsi="Arial"/>
                <w:color w:val="555555"/>
                <w:sz w:val="18"/>
              </w:rPr>
              <w:t>Toggle features on/off per user tier or globally. Enable beta features for select users. Control rollout of new modules.</w:t>
            </w:r>
          </w:p>
        </w:tc>
        <w:tc>
          <w:tcPr>
            <w:tcW w:type="dxa" w:w="2340"/>
            <w:shd w:fill="ffffff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  <w:tr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8"/>
              </w:rPr>
              <w:t>Low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b/>
                <w:sz w:val="20"/>
              </w:rPr>
              <w:t>Changelog &amp; versioning</w:t>
            </w:r>
          </w:p>
        </w:tc>
        <w:tc>
          <w:tcPr>
            <w:tcW w:type="dxa" w:w="2340"/>
            <w:shd w:fill="f8fafc" w:val="clear"/>
          </w:tcPr>
          <w:p>
            <w:r>
              <w:rPr>
                <w:rFonts w:ascii="Arial" w:hAnsi="Arial"/>
                <w:color w:val="555555"/>
                <w:sz w:val="18"/>
              </w:rPr>
              <w:t>In-app changelog that shows users what's new. Version tracking for the admin to see which release each user is on.</w:t>
            </w:r>
          </w:p>
        </w:tc>
        <w:tc>
          <w:tcPr>
            <w:tcW w:type="dxa" w:w="2340"/>
            <w:shd w:fill="f8fafc" w:val="clear"/>
          </w:tcPr>
          <w:p>
            <w:pPr>
              <w:jc w:val="center"/>
            </w:pPr>
            <w:r>
              <w:rPr>
                <w:rFonts w:ascii="Arial" w:hAnsi="Arial"/>
                <w:color w:val="666666"/>
                <w:sz w:val="18"/>
              </w:rPr>
              <w:t>Small</w:t>
            </w:r>
          </w:p>
        </w:tc>
      </w:tr>
    </w:tbl>
    <w:p/>
    <w:p/>
    <w:p>
      <w:pPr>
        <w:jc w:val="center"/>
      </w:pPr>
      <w:r>
        <w:rPr>
          <w:rFonts w:ascii="Arial" w:hAnsi="Arial"/>
          <w:i/>
          <w:color w:val="999999"/>
          <w:sz w:val="18"/>
        </w:rPr>
        <w:t>This document is a living backlog. Update priorities and scope as development progresses.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56D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1A56D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