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56DB"/>
          <w:sz w:val="56"/>
        </w:rPr>
        <w:t>RealVault — Development Backlog</w:t>
      </w:r>
    </w:p>
    <w:p>
      <w:pPr>
        <w:spacing w:after="80"/>
        <w:jc w:val="center"/>
      </w:pPr>
      <w:r>
        <w:rPr>
          <w:rFonts w:ascii="Arial" w:hAnsi="Arial"/>
          <w:color w:val="666666"/>
          <w:sz w:val="22"/>
        </w:rPr>
        <w:t>Last updated: March 31, 2026</w:t>
      </w:r>
    </w:p>
    <w:p>
      <w:pPr>
        <w:spacing w:after="400"/>
        <w:jc w:val="center"/>
      </w:pPr>
      <w:r>
        <w:rPr>
          <w:rFonts w:ascii="Arial" w:hAnsi="Arial"/>
          <w:i/>
          <w:color w:val="666666"/>
          <w:sz w:val="22"/>
        </w:rPr>
        <w:t>Current State: Frontend Prototype (Single JSX)</w:t>
      </w:r>
    </w:p>
    <w:p>
      <w:pPr>
        <w:spacing w:after="240"/>
        <w:pBdr>
          <w:bottom w:val="single" w:sz="6" w:space="1" w:color="1a56db"/>
        </w:pBdr>
      </w:pPr>
    </w:p>
    <w:p>
      <w:pPr>
        <w:spacing w:after="280"/>
      </w:pPr>
      <w:r>
        <w:rPr>
          <w:rFonts w:ascii="Arial" w:hAnsi="Arial"/>
          <w:b/>
          <w:color w:val="DC2626"/>
          <w:sz w:val="18"/>
        </w:rPr>
        <w:t xml:space="preserve">  High  </w:t>
      </w:r>
      <w:r>
        <w:t xml:space="preserve">    </w:t>
      </w:r>
      <w:r>
        <w:rPr>
          <w:rFonts w:ascii="Arial" w:hAnsi="Arial"/>
          <w:b/>
          <w:color w:val="D97706"/>
          <w:sz w:val="18"/>
        </w:rPr>
        <w:t xml:space="preserve">  Medium  </w:t>
      </w:r>
      <w:r>
        <w:t xml:space="preserve">    </w:t>
      </w:r>
      <w:r>
        <w:rPr>
          <w:rFonts w:ascii="Arial" w:hAnsi="Arial"/>
          <w:b/>
          <w:color w:val="16A34A"/>
          <w:sz w:val="18"/>
        </w:rPr>
        <w:t xml:space="preserve">  Low  </w:t>
      </w:r>
    </w:p>
    <w:p>
      <w:pPr>
        <w:pStyle w:val="Heading1"/>
      </w:pPr>
      <w:r>
        <w:t>1. Backend &amp; Persistence</w:t>
      </w:r>
    </w:p>
    <w:p>
      <w:r>
        <w:t>Core infrastructure needed to move from a frontend prototype to a production application with real data storage, authentication, and multi-device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Database &amp; API layer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Stand up a backend (Supabase, Firebase, or custom) with REST/GraphQL endpoints for all CRUD operations. Replace in-memory DEMO data with persistent storage.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Large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User authentication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Email/password and OAuth login, session management, password reset flow. Gate all data behind authenticated user context.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Large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Multi-property data isolation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Ensure each user only sees their own properties, transactions, and documents. Row-level security or tenant scoping.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Audit trail system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Log every data change (property value updates, transaction edits, status changes) with timestamp, old value, new value, and user. Powers appreciation history and change tracking.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Value history tracking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Store timestamped property value entries to build real appreciation charts instead of simple purchase-vs-current comparison.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File/document storage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Upload and attach receipts, leases, inspection reports, closing documents to properties and transactions. Cloud storage with signed URLs.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Subscription &amp; billing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Stripe integration for $25-50/mo subscription tiers, trial periods, payment management, and feature gating.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2. Depreciation &amp; Tax Accuracy</w:t>
      </w:r>
    </w:p>
    <w:p>
      <w:r>
        <w:t>Improvements needed to make tax reports accurate enough for real filing. Currently using simplified straight-line calculations without IRS-required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Mid-month convention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IRS requires mid-month convention for real property placed in service. First and last year depreciation must be prorated based on the month of acquisition/disposition.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Configurable land value %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Land is not depreciable. Currently hardcoded at 20% of purchase price. Allow per-property land value entry or percentage override.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Capital improvements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Track capital improvements (roof, HVAC, etc.) as separate depreciable assets with their own basis, placed-in-service date, and recovery period.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Section 179 / bonus depreciation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Support accelerated depreciation elections for qualifying property. Important for commercial investors.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Prior-year filing history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Import or manually enter prior-year depreciation claimed to calculate remaining basis accurately for properties not purchased in the current year.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</w:tbl>
    <w:p/>
    <w:p>
      <w:pPr>
        <w:pStyle w:val="Heading1"/>
      </w:pPr>
      <w:r>
        <w:t>3. Screen-by-Screen Review (Remaining)</w:t>
      </w:r>
    </w:p>
    <w:p>
      <w:r>
        <w:t>The following screens have not yet been reviewed for data accuracy, UX consistency, and feature completeness. Each needs the same treatment applied to Properties, Analytics, and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Rent Roll review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Verify rent roll calculations, lease tracking, vacancy rates. Ensure consistency with transaction-derived income data.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Mileage Tracker review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Review mileage logging UX, IRS rate accuracy, annual summaries. Add trip categorization and export for tax filing.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Deal Analyzer review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Validate purchase analysis calculations (cap rate, cash-on-cash, IRR projections). Ensure inputs and outputs match industry standards.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Flip Pipeline review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Review flip deal tracking, stage management, and profit projections. Verify ARV and rehab cost calculations.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Rehab Tracker review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Check budget tracking, contractor management, timeline features. Ensure cost categories align with reporting.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Contractor management review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Review contractor database, payment tracking, and 1099 reporting features.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</w:tbl>
    <w:p/>
    <w:p>
      <w:pPr>
        <w:pStyle w:val="Heading1"/>
      </w:pPr>
      <w:r>
        <w:t>4. Data &amp; Integrations</w:t>
      </w:r>
    </w:p>
    <w:p>
      <w:r>
        <w:t>External data connections to reduce manual entry and improve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Bank/card transaction import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Plaid or similar integration to auto-import transactions. Categorization rules, duplicate detection, and manual review queue.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Large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Property value API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Zillow/Redfin/ATTOM API integration for automated property valuations. Scheduled refreshes with manual override option.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MLS data integration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Pull comparable sales and rental rates for deal analysis and rent benchmarking.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Accounting software export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QuickBooks/Xero export for bookkeeping handoff. Map RealVault categories to chart of accounts.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</w:tbl>
    <w:p/>
    <w:p>
      <w:pPr>
        <w:pStyle w:val="Heading1"/>
      </w:pPr>
      <w:r>
        <w:t>5. Polish &amp; Revenue Features</w:t>
      </w:r>
    </w:p>
    <w:p>
      <w:r>
        <w:t>Features that differentiate from free tools and justify the subscription price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1a56d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fill="1a56d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Mobile responsive design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Full mobile layout for on-the-go property management. Touch-optimized interactions, swipe gestures, bottom navigation.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Large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Dashboard customization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Let users choose which KPIs appear on their dashboard. Drag-and-drop widget arrangement, saved layouts.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Notifications &amp; alerts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Lease expiration reminders, rent due alerts, maintenance schedules, insurance renewal dates. Email and in-app notifications.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Medium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b/>
                <w:sz w:val="20"/>
              </w:rPr>
              <w:t>Portfolio sharing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hAnsi="Arial"/>
                <w:color w:val="555555"/>
                <w:sz w:val="18"/>
              </w:rPr>
              <w:t>Read-only portfolio view shareable with partners, lenders, or accountants via secure link. Configurable data visibility.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  <w:tr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Low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b/>
                <w:sz w:val="20"/>
              </w:rPr>
              <w:t>Dark mode</w:t>
            </w:r>
          </w:p>
        </w:tc>
        <w:tc>
          <w:tcPr>
            <w:tcW w:type="dxa" w:w="2340"/>
            <w:shd w:fill="f8fafc" w:val="clear"/>
          </w:tcPr>
          <w:p>
            <w:r>
              <w:rPr>
                <w:rFonts w:ascii="Arial" w:hAnsi="Arial"/>
                <w:color w:val="555555"/>
                <w:sz w:val="18"/>
              </w:rPr>
              <w:t>System-preference-aware dark theme across all screens.</w:t>
            </w:r>
          </w:p>
        </w:tc>
        <w:tc>
          <w:tcPr>
            <w:tcW w:type="dxa" w:w="2340"/>
            <w:shd w:fill="f8fafc" w:val="clear"/>
          </w:tcPr>
          <w:p>
            <w:pPr>
              <w:jc w:val="center"/>
            </w:pPr>
            <w:r>
              <w:rPr>
                <w:rFonts w:ascii="Arial" w:hAnsi="Arial"/>
                <w:color w:val="666666"/>
                <w:sz w:val="18"/>
              </w:rPr>
              <w:t>Small</w:t>
            </w:r>
          </w:p>
        </w:tc>
      </w:tr>
    </w:tbl>
    <w:p/>
    <w:p/>
    <w:p>
      <w:pPr>
        <w:jc w:val="center"/>
      </w:pPr>
      <w:r>
        <w:rPr>
          <w:rFonts w:ascii="Arial" w:hAnsi="Arial"/>
          <w:i/>
          <w:color w:val="999999"/>
          <w:sz w:val="18"/>
        </w:rPr>
        <w:t>This document is a living backlog. Update priorities and scope as development progresses.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