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color w:val="475569"/>
          <w:sz w:val="32"/>
        </w:rPr>
        <w:t>IntelliBroń Aman</w:t>
      </w:r>
    </w:p>
    <w:p>
      <w:r>
        <w:rPr>
          <w:b/>
          <w:color w:val="1A2733"/>
          <w:sz w:val="68"/>
        </w:rPr>
        <w:t>SIEM Configuration Guide</w:t>
      </w:r>
    </w:p>
    <w:p>
      <w:r>
        <w:rPr>
          <w:color w:val="2A52B8"/>
          <w:sz w:val="36"/>
        </w:rPr>
        <w:t>What Aman sends, and how to set your SIEM up to receive it</w:t>
      </w:r>
    </w:p>
    <w:p/>
    <w:p>
      <w:r>
        <w:rPr>
          <w:b/>
        </w:rPr>
        <w:t xml:space="preserve">Status:  </w:t>
      </w:r>
      <w:r>
        <w:rPr>
          <w:color w:val="B42318"/>
        </w:rPr>
        <w:t>DRAFT — for internal review before this goes to any customer</w:t>
      </w:r>
    </w:p>
    <w:p>
      <w:r>
        <w:rPr>
          <w:b/>
        </w:rPr>
        <w:t xml:space="preserve">Prepared by:  </w:t>
      </w:r>
      <w:r>
        <w:rPr>
          <w:color w:val="475569"/>
        </w:rPr>
        <w:t>Brian Hikari Janna — Cyber Security Product Researcher, ITSEC Asia</w:t>
      </w:r>
    </w:p>
    <w:p>
      <w:r>
        <w:rPr>
          <w:b/>
        </w:rPr>
        <w:t xml:space="preserve">Date:  </w:t>
      </w:r>
      <w:r>
        <w:rPr>
          <w:color w:val="475569"/>
        </w:rPr>
        <w:t>2026-09-01</w:t>
      </w:r>
    </w:p>
    <w:p>
      <w:r>
        <w:rPr>
          <w:b/>
        </w:rPr>
        <w:t xml:space="preserve">Source repo:  </w:t>
      </w:r>
      <w:r>
        <w:rPr>
          <w:color w:val="475569"/>
        </w:rPr>
        <w:t>github.com/bhikari40-cloud/aman-siem-pipeline, branch customer-onboarding-gate</w:t>
      </w:r>
    </w:p>
    <w:p/>
    <w:p>
      <w:pPr>
        <w:pStyle w:val="Heading1"/>
      </w:pPr>
      <w:r>
        <w:rPr>
          <w:rFonts w:ascii="Calibri" w:hAnsi="Calibri"/>
          <w:b/>
          <w:color w:val="1A2733"/>
          <w:sz w:val="42"/>
        </w:rPr>
        <w:t>1. What Aman sends</w:t>
      </w:r>
    </w:p>
    <w:p>
      <w:r>
        <w:t>Aman delivers each blocked DNS event as a single HTTPS POST request to a URL you provide. There is no batching and no separate “native alert” — each blocked query is sent to you as soon as it happens.</w:t>
      </w:r>
    </w:p>
    <w:p>
      <w:r>
        <w:t>The body of each request is one line of plain text: a standard syslog (RFC 5424) header, followed by a JSON object holding the event's fields — domain, source IP, severity, and so on — using Elastic Common Schema (ECS) field names. This is a real, working example:</w:t>
      </w:r>
    </w:p>
    <w:p>
      <w:pPr>
        <w:spacing w:before="40" w:after="160"/>
      </w:pPr>
      <w:r>
        <w:rPr>
          <w:rFonts w:ascii="SF Mono" w:hAnsi="SF Mono"/>
          <w:color w:val="0A0A0A"/>
          <w:sz w:val="19"/>
        </w:rPr>
        <w:t>&lt;34&gt;1 2026-09-01T02:14:07.000Z aman-pipeline aman-dns - - - {"@timestamp":"2026-09-01T02:14:07.000Z","event":{"type":["denied"],"category":["network"],"action":"blocked"},"source":{"ip":"203.153.118.242"},"dns":{"question":{"name":"phishing-kit.example","type":"ANY"}},"severity":"Critical"}</w:t>
      </w:r>
    </w:p>
    <w:p>
      <w:r>
        <w:t>The part before the JSON is the syslog header; everything from the first { onward is the JSON object.</w:t>
      </w:r>
    </w:p>
    <w:p>
      <w:r>
        <w:t>Every request also carries an Authorization header, using a token you provide: Authorization: Bearer &lt;your token&gt;. Splunk is the one exception — see the Splunk section below for the login format it requires instead.</w:t>
      </w:r>
    </w:p>
    <w:p>
      <w:pPr>
        <w:pStyle w:val="Heading1"/>
      </w:pPr>
      <w:r>
        <w:rPr>
          <w:rFonts w:ascii="Calibri" w:hAnsi="Calibri"/>
          <w:b/>
          <w:color w:val="1A2733"/>
          <w:sz w:val="42"/>
        </w:rPr>
        <w:t>2. What to give Aman</w:t>
      </w:r>
    </w:p>
    <w:tbl>
      <w:tblPr>
        <w:tblStyle w:val="TableGrid"/>
        <w:tblW w:type="auto" w:w="0"/>
        <w:tblLook w:firstColumn="1" w:firstRow="1" w:lastColumn="0" w:lastRow="0" w:noHBand="0" w:noVBand="1" w:val="04A0"/>
      </w:tblPr>
      <w:tblGrid>
        <w:gridCol w:w="4320"/>
        <w:gridCol w:w="4320"/>
      </w:tblGrid>
      <w:tr>
        <w:tc>
          <w:tcPr>
            <w:tcW w:type="dxa" w:w="4320"/>
          </w:tcPr>
          <w:p>
            <w:r/>
            <w:r>
              <w:rPr>
                <w:b/>
                <w:color w:val="1A2733"/>
                <w:sz w:val="21"/>
              </w:rPr>
              <w:t>Webhook URL</w:t>
            </w:r>
          </w:p>
        </w:tc>
        <w:tc>
          <w:tcPr>
            <w:tcW w:type="dxa" w:w="4320"/>
          </w:tcPr>
          <w:p>
            <w:r/>
            <w:r>
              <w:rPr>
                <w:rFonts w:ascii="Calibri" w:hAnsi="Calibri"/>
                <w:sz w:val="21"/>
              </w:rPr>
              <w:t>the HTTPS address Aman should send each alert to</w:t>
            </w:r>
          </w:p>
        </w:tc>
      </w:tr>
      <w:tr>
        <w:tc>
          <w:tcPr>
            <w:tcW w:type="dxa" w:w="4320"/>
          </w:tcPr>
          <w:p>
            <w:r/>
            <w:r>
              <w:rPr>
                <w:b/>
                <w:color w:val="1A2733"/>
                <w:sz w:val="21"/>
              </w:rPr>
              <w:t>Auth token</w:t>
            </w:r>
          </w:p>
        </w:tc>
        <w:tc>
          <w:tcPr>
            <w:tcW w:type="dxa" w:w="4320"/>
          </w:tcPr>
          <w:p>
            <w:r/>
            <w:r>
              <w:rPr>
                <w:rFonts w:ascii="Calibri" w:hAnsi="Calibri"/>
                <w:sz w:val="21"/>
              </w:rPr>
              <w:t>a token you generate — Aman sends it back to you in every request</w:t>
            </w:r>
          </w:p>
        </w:tc>
      </w:tr>
    </w:tbl>
    <w:p/>
    <w:p>
      <w:pPr>
        <w:pStyle w:val="Heading1"/>
      </w:pPr>
      <w:r>
        <w:rPr>
          <w:rFonts w:ascii="Calibri" w:hAnsi="Calibri"/>
          <w:b/>
          <w:color w:val="1A2733"/>
          <w:sz w:val="42"/>
        </w:rPr>
        <w:t>3. Setting up Splunk</w:t>
      </w:r>
    </w:p>
    <w:p>
      <w:r>
        <w:t>Splunk has a built-in way to receive exactly this kind of data: its HTTP Event Collector (HEC).</w:t>
      </w:r>
    </w:p>
    <w:p>
      <w:pPr>
        <w:pStyle w:val="ListNumber"/>
      </w:pPr>
      <w:r>
        <w:t>In Splunk Web: Settings → Data Inputs → HTTP Event Collector → New Token.</w:t>
      </w:r>
    </w:p>
    <w:p>
      <w:pPr>
        <w:pStyle w:val="ListNumber"/>
      </w:pPr>
      <w:r>
        <w:t>Name it (for example, “IntelliBroń Aman”), choose or create a source type, and continue.</w:t>
      </w:r>
    </w:p>
    <w:p>
      <w:pPr>
        <w:pStyle w:val="ListNumber"/>
      </w:pPr>
      <w:r>
        <w:t>Choose which index should receive the data, then Review and Submit.</w:t>
      </w:r>
    </w:p>
    <w:p>
      <w:pPr>
        <w:pStyle w:val="ListNumber"/>
      </w:pPr>
      <w:r>
        <w:t>Under Settings → Data Inputs → HTTP Event Collector → Global Settings, confirm “All Tokens” is enabled, and enable SSL if it is not already on.</w:t>
      </w:r>
    </w:p>
    <w:p>
      <w:pPr>
        <w:pStyle w:val="ListNumber"/>
      </w:pPr>
      <w:r>
        <w:t>Copy the token value Splunk generates — you will not be able to view it again later.</w:t>
      </w:r>
    </w:p>
    <w:tbl>
      <w:tblPr>
        <w:tblStyle w:val="TableGrid"/>
        <w:tblW w:type="auto" w:w="0"/>
        <w:tblLook w:firstColumn="1" w:firstRow="1" w:lastColumn="0" w:lastRow="0" w:noHBand="0" w:noVBand="1" w:val="04A0"/>
      </w:tblPr>
      <w:tblGrid>
        <w:gridCol w:w="4320"/>
        <w:gridCol w:w="4320"/>
      </w:tblGrid>
      <w:tr>
        <w:tc>
          <w:tcPr>
            <w:tcW w:type="dxa" w:w="4320"/>
          </w:tcPr>
          <w:p>
            <w:r/>
            <w:r>
              <w:rPr>
                <w:b/>
                <w:color w:val="1A2733"/>
                <w:sz w:val="21"/>
              </w:rPr>
              <w:t>Webhook URL</w:t>
            </w:r>
          </w:p>
        </w:tc>
        <w:tc>
          <w:tcPr>
            <w:tcW w:type="dxa" w:w="4320"/>
          </w:tcPr>
          <w:p>
            <w:r/>
            <w:r>
              <w:rPr>
                <w:rFonts w:ascii="SF Mono" w:hAnsi="SF Mono"/>
                <w:sz w:val="21"/>
              </w:rPr>
              <w:t>https://&lt;your-splunk-host&gt;:8088/services/collector/raw</w:t>
            </w:r>
          </w:p>
        </w:tc>
      </w:tr>
      <w:tr>
        <w:tc>
          <w:tcPr>
            <w:tcW w:type="dxa" w:w="4320"/>
          </w:tcPr>
          <w:p>
            <w:r/>
            <w:r>
              <w:rPr>
                <w:b/>
                <w:color w:val="1A2733"/>
                <w:sz w:val="21"/>
              </w:rPr>
              <w:t>Auth token</w:t>
            </w:r>
          </w:p>
        </w:tc>
        <w:tc>
          <w:tcPr>
            <w:tcW w:type="dxa" w:w="4320"/>
          </w:tcPr>
          <w:p>
            <w:r/>
            <w:r>
              <w:rPr>
                <w:rFonts w:ascii="Calibri" w:hAnsi="Calibri"/>
                <w:sz w:val="21"/>
              </w:rPr>
              <w:t>the HEC token from step 5 above</w:t>
            </w:r>
          </w:p>
        </w:tc>
      </w:tr>
    </w:tbl>
    <w:p/>
    <w:p>
      <w:r>
        <w:t>Use the /services/collector/raw path exactly as shown, not the bare /services/collector address — that address only accepts JSON, and will reject this format.</w:t>
      </w:r>
    </w:p>
    <w:p>
      <w:r>
        <w:t>Splunk indexes each line as raw text by default — it does not automatically split the JSON portion into separate searchable fields. To search on individual fields (domain, severity, and so on), use Splunk's spath command at search time, or add field extraction (KV_MODE=json) to the sourcetype you chose in step 2.</w:t>
      </w:r>
    </w:p>
    <w:p>
      <w:pPr>
        <w:pStyle w:val="Heading1"/>
      </w:pPr>
      <w:r>
        <w:rPr>
          <w:rFonts w:ascii="Calibri" w:hAnsi="Calibri"/>
          <w:b/>
          <w:color w:val="1A2733"/>
          <w:sz w:val="42"/>
        </w:rPr>
        <w:t>4. Setting up any other SIEM, or your own custom endpoint</w:t>
      </w:r>
    </w:p>
    <w:p>
      <w:r>
        <w:t>Any endpoint that can accept an HTTPS POST request, read a plain-text body, and check the Authorization header can receive this webhook. Many platforms — including Elastic, Graylog, and others — have a generic HTTP or webhook input for exactly this purpose; check your own SIEM's documentation for terms like “HTTP input,” “webhook,” or “custom log source.”</w:t>
      </w:r>
    </w:p>
    <w:p>
      <w:r>
        <w:t>If your SIEM's only ingestion method expects its own specific format (a common example: Elasticsearch's Bulk API expects newline-delimited JSON, not plain text), you will need something in between that accepts this webhook and forwards the data into your SIEM the way it expects — for example, a log shipper's generic HTTP input (Logstash's http input plugin is a common choice), or a short custom script.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