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475569"/>
          <w:sz w:val="32"/>
        </w:rPr>
        <w:t>IntelliBroń Aman</w:t>
      </w:r>
    </w:p>
    <w:p>
      <w:r>
        <w:rPr>
          <w:b/>
          <w:color w:val="1A2733"/>
          <w:sz w:val="68"/>
        </w:rPr>
        <w:t>SIEM Configuration Guide</w:t>
      </w:r>
    </w:p>
    <w:p>
      <w:r>
        <w:rPr>
          <w:color w:val="2A52B8"/>
          <w:sz w:val="36"/>
        </w:rPr>
        <w:t>How to configure your SIEM to receive blocked-DNS alerts</w:t>
      </w:r>
    </w:p>
    <w:p/>
    <w:p>
      <w:r>
        <w:rPr>
          <w:b/>
        </w:rPr>
        <w:t xml:space="preserve">Status:  </w:t>
      </w:r>
      <w:r>
        <w:rPr>
          <w:color w:val="B42318"/>
        </w:rPr>
        <w:t>DRAFT — for internal review before this goes to any customer</w:t>
      </w:r>
    </w:p>
    <w:p>
      <w:r>
        <w:rPr>
          <w:b/>
        </w:rPr>
        <w:t xml:space="preserve">Prepared by:  </w:t>
      </w:r>
      <w:r>
        <w:rPr>
          <w:color w:val="475569"/>
        </w:rPr>
        <w:t>Brian Hikari Janna — Cyber Security Product Researcher, ITSEC Asia</w:t>
      </w:r>
    </w:p>
    <w:p>
      <w:r>
        <w:rPr>
          <w:b/>
        </w:rPr>
        <w:t xml:space="preserve">Date:  </w:t>
      </w:r>
      <w:r>
        <w:rPr>
          <w:color w:val="475569"/>
        </w:rPr>
        <w:t>2026-09-01</w:t>
      </w:r>
    </w:p>
    <w:p>
      <w:r>
        <w:rPr>
          <w:b/>
        </w:rPr>
        <w:t xml:space="preserve">Source repo:  </w:t>
      </w:r>
      <w:r>
        <w:rPr>
          <w:color w:val="475569"/>
        </w:rPr>
        <w:t>github.com/bhikari40-cloud/aman-siem-pipeline, branch customer-onboarding-gate (see HANDOFF.md / README.md / PROGRESS.md for engineering detail)</w:t>
      </w:r>
    </w:p>
    <w:p/>
    <w:p>
      <w:pPr>
        <w:pStyle w:val="Heading1"/>
      </w:pPr>
      <w:r>
        <w:rPr>
          <w:rFonts w:ascii="Calibri" w:hAnsi="Calibri"/>
          <w:b/>
          <w:color w:val="1A2733"/>
          <w:sz w:val="42"/>
        </w:rPr>
        <w:t>1. About this guide</w:t>
      </w:r>
    </w:p>
    <w:p>
      <w:r>
        <w:t>IntelliBroń Aman blocks malicious and unwanted DNS queries. This guide explains how to configure your own SIEM so it can receive the DNS queries Aman has blocked, as alert data you can search, dashboard, and — where noted below — build native alerts from.</w:t>
      </w:r>
    </w:p>
    <w:p>
      <w:r>
        <w:t>A “webhook,” in this guide, is simply an address on your SIEM that can accept an incoming HTTP(S) request. You give Aman that address plus a credential; Aman sends your blocked-DNS data there. Nothing is sent to any other destination, and nothing is sent for DNS queries that were not blocked.</w:t>
      </w:r>
    </w:p>
    <w:p>
      <w:pPr>
        <w:pStyle w:val="Heading2"/>
      </w:pPr>
      <w:r>
        <w:rPr>
          <w:rFonts w:ascii="Calibri" w:hAnsi="Calibri"/>
          <w:b/>
          <w:color w:val="2A52B8"/>
          <w:sz w:val="30"/>
        </w:rPr>
        <w:t>How to read the status labels</w:t>
      </w:r>
    </w:p>
    <w:p>
      <w:r>
        <w:t>Every SIEM below is labeled with what is actually true today, not what is planned. Three labels:</w:t>
      </w:r>
    </w:p>
    <w:p>
      <w:pPr>
        <w:pStyle w:val="ListBullet"/>
      </w:pPr>
      <w:r>
        <w:rPr>
          <w:b/>
        </w:rPr>
        <w:t xml:space="preserve">LIVE — </w:t>
      </w:r>
      <w:r>
        <w:t>Aman sends this data to real customers today, over the pipeline that is currently running.</w:t>
      </w:r>
    </w:p>
    <w:p>
      <w:pPr>
        <w:pStyle w:val="ListBullet"/>
      </w:pPr>
      <w:r>
        <w:rPr>
          <w:b/>
        </w:rPr>
        <w:t xml:space="preserve">BUILT, NOT YET LIVE — </w:t>
      </w:r>
      <w:r>
        <w:t>The format has been built and confirmed against a real instance of this SIEM, but the engine that produces it is not yet the one sending live customer data. Configuring this today will not deliver anything.</w:t>
      </w:r>
    </w:p>
    <w:p>
      <w:pPr>
        <w:pStyle w:val="ListBullet"/>
      </w:pPr>
      <w:r>
        <w:rPr>
          <w:b/>
        </w:rPr>
        <w:t xml:space="preserve">NOT YET AVAILABLE — </w:t>
      </w:r>
      <w:r>
        <w:t>This SIEM's format does not exist in Aman yet. The steps below are what to expect, not something you can configure today.</w:t>
      </w:r>
    </w:p>
    <w:p>
      <w:pPr>
        <w:pStyle w:val="Heading1"/>
      </w:pPr>
      <w:r>
        <w:rPr>
          <w:rFonts w:ascii="Calibri" w:hAnsi="Calibri"/>
          <w:b/>
          <w:color w:val="1A2733"/>
          <w:sz w:val="42"/>
        </w:rPr>
        <w:t>2. Status at a glance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733"/>
          </w:tcPr>
          <w:p>
            <w:r/>
            <w:r>
              <w:rPr>
                <w:b/>
                <w:color w:val="FFFFFF"/>
                <w:sz w:val="21"/>
              </w:rPr>
              <w:t>SIEM</w:t>
            </w:r>
          </w:p>
        </w:tc>
        <w:tc>
          <w:tcPr>
            <w:tcW w:type="dxa" w:w="2880"/>
            <w:shd w:val="clear" w:color="auto" w:fill="1A2733"/>
          </w:tcPr>
          <w:p>
            <w:r/>
            <w:r>
              <w:rPr>
                <w:b/>
                <w:color w:val="FFFFFF"/>
                <w:sz w:val="21"/>
              </w:rPr>
              <w:t>Status</w:t>
            </w:r>
          </w:p>
        </w:tc>
        <w:tc>
          <w:tcPr>
            <w:tcW w:type="dxa" w:w="2880"/>
            <w:shd w:val="clear" w:color="auto" w:fill="1A2733"/>
          </w:tcPr>
          <w:p>
            <w:r/>
            <w:r>
              <w:rPr>
                <w:b/>
                <w:color w:val="FFFFFF"/>
                <w:sz w:val="21"/>
              </w:rPr>
              <w:t>Shows as a native alert in your SIEM?</w:t>
            </w:r>
          </w:p>
        </w:tc>
      </w:tr>
      <w:tr>
        <w:tc>
          <w:tcPr>
            <w:tcW w:type="dxa" w:w="2880"/>
          </w:tcPr>
          <w:p>
            <w:r/>
            <w:r>
              <w:rPr>
                <w:b w:val="0"/>
                <w:sz w:val="21"/>
              </w:rPr>
              <w:t>Splunk</w:t>
            </w:r>
          </w:p>
        </w:tc>
        <w:tc>
          <w:tcPr>
            <w:tcW w:type="dxa" w:w="2880"/>
          </w:tcPr>
          <w:p>
            <w:r/>
            <w:r>
              <w:rPr>
                <w:b/>
                <w:color w:val="156D34"/>
                <w:sz w:val="21"/>
              </w:rPr>
              <w:t>LIVE</w:t>
            </w:r>
          </w:p>
        </w:tc>
        <w:tc>
          <w:tcPr>
            <w:tcW w:type="dxa" w:w="2880"/>
          </w:tcPr>
          <w:p>
            <w:r/>
            <w:r>
              <w:rPr>
                <w:b w:val="0"/>
                <w:sz w:val="21"/>
              </w:rPr>
              <w:t>Not yet — data lands as a searchable event</w:t>
            </w:r>
          </w:p>
        </w:tc>
      </w:tr>
      <w:tr>
        <w:tc>
          <w:tcPr>
            <w:tcW w:type="dxa" w:w="2880"/>
          </w:tcPr>
          <w:p>
            <w:r/>
            <w:r>
              <w:rPr>
                <w:b w:val="0"/>
                <w:sz w:val="21"/>
              </w:rPr>
              <w:t>Generic / custom webhook</w:t>
            </w:r>
          </w:p>
        </w:tc>
        <w:tc>
          <w:tcPr>
            <w:tcW w:type="dxa" w:w="2880"/>
          </w:tcPr>
          <w:p>
            <w:r/>
            <w:r>
              <w:rPr>
                <w:b/>
                <w:color w:val="156D34"/>
                <w:sz w:val="21"/>
              </w:rPr>
              <w:t>LIVE</w:t>
            </w:r>
          </w:p>
        </w:tc>
        <w:tc>
          <w:tcPr>
            <w:tcW w:type="dxa" w:w="2880"/>
          </w:tcPr>
          <w:p>
            <w:r/>
            <w:r>
              <w:rPr>
                <w:b w:val="0"/>
                <w:sz w:val="21"/>
              </w:rPr>
              <w:t>Depends entirely on what you build to receive it</w:t>
            </w:r>
          </w:p>
        </w:tc>
      </w:tr>
      <w:tr>
        <w:tc>
          <w:tcPr>
            <w:tcW w:type="dxa" w:w="2880"/>
          </w:tcPr>
          <w:p>
            <w:r/>
            <w:r>
              <w:rPr>
                <w:b w:val="0"/>
                <w:sz w:val="21"/>
              </w:rPr>
              <w:t>Elastic</w:t>
            </w:r>
          </w:p>
        </w:tc>
        <w:tc>
          <w:tcPr>
            <w:tcW w:type="dxa" w:w="2880"/>
          </w:tcPr>
          <w:p>
            <w:r/>
            <w:r>
              <w:rPr>
                <w:b/>
                <w:color w:val="92400E"/>
                <w:sz w:val="21"/>
              </w:rPr>
              <w:t>BUILT, NOT YET LIVE</w:t>
            </w:r>
          </w:p>
        </w:tc>
        <w:tc>
          <w:tcPr>
            <w:tcW w:type="dxa" w:w="2880"/>
          </w:tcPr>
          <w:p>
            <w:r/>
            <w:r>
              <w:rPr>
                <w:b w:val="0"/>
                <w:sz w:val="21"/>
              </w:rPr>
              <w:t>Yes — a working Kibana detection rule is proven</w:t>
            </w:r>
          </w:p>
        </w:tc>
      </w:tr>
      <w:tr>
        <w:tc>
          <w:tcPr>
            <w:tcW w:type="dxa" w:w="2880"/>
          </w:tcPr>
          <w:p>
            <w:r/>
            <w:r>
              <w:rPr>
                <w:b w:val="0"/>
                <w:sz w:val="21"/>
              </w:rPr>
              <w:t>Wazuh (syslog to manager)</w:t>
            </w:r>
          </w:p>
        </w:tc>
        <w:tc>
          <w:tcPr>
            <w:tcW w:type="dxa" w:w="2880"/>
          </w:tcPr>
          <w:p>
            <w:r/>
            <w:r>
              <w:rPr>
                <w:b/>
                <w:color w:val="92400E"/>
                <w:sz w:val="21"/>
              </w:rPr>
              <w:t>BUILT, NOT YET LIVE</w:t>
            </w:r>
          </w:p>
        </w:tc>
        <w:tc>
          <w:tcPr>
            <w:tcW w:type="dxa" w:w="2880"/>
          </w:tcPr>
          <w:p>
            <w:r/>
            <w:r>
              <w:rPr>
                <w:b w:val="0"/>
                <w:sz w:val="21"/>
              </w:rPr>
              <w:t>Yes — a real Wazuh alert, correct severity</w:t>
            </w:r>
          </w:p>
        </w:tc>
      </w:tr>
      <w:tr>
        <w:tc>
          <w:tcPr>
            <w:tcW w:type="dxa" w:w="2880"/>
          </w:tcPr>
          <w:p>
            <w:r/>
            <w:r>
              <w:rPr>
                <w:b w:val="0"/>
                <w:sz w:val="21"/>
              </w:rPr>
              <w:t>Wazuh (bulk to indexer)</w:t>
            </w:r>
          </w:p>
        </w:tc>
        <w:tc>
          <w:tcPr>
            <w:tcW w:type="dxa" w:w="2880"/>
          </w:tcPr>
          <w:p>
            <w:r/>
            <w:r>
              <w:rPr>
                <w:b/>
                <w:color w:val="92400E"/>
                <w:sz w:val="21"/>
              </w:rPr>
              <w:t>BUILT, NOT YET LIVE</w:t>
            </w:r>
          </w:p>
        </w:tc>
        <w:tc>
          <w:tcPr>
            <w:tcW w:type="dxa" w:w="2880"/>
          </w:tcPr>
          <w:p>
            <w:r/>
            <w:r>
              <w:rPr>
                <w:b w:val="0"/>
                <w:sz w:val="21"/>
              </w:rPr>
              <w:t>No — searchable only, bypasses Wazuh's rule engine</w:t>
            </w:r>
          </w:p>
        </w:tc>
      </w:tr>
      <w:tr>
        <w:tc>
          <w:tcPr>
            <w:tcW w:type="dxa" w:w="2880"/>
          </w:tcPr>
          <w:p>
            <w:r/>
            <w:r>
              <w:rPr>
                <w:b w:val="0"/>
                <w:sz w:val="21"/>
              </w:rPr>
              <w:t>Graylog (GELF HTTP)</w:t>
            </w:r>
          </w:p>
        </w:tc>
        <w:tc>
          <w:tcPr>
            <w:tcW w:type="dxa" w:w="2880"/>
          </w:tcPr>
          <w:p>
            <w:r/>
            <w:r>
              <w:rPr>
                <w:b/>
                <w:color w:val="92400E"/>
                <w:sz w:val="21"/>
              </w:rPr>
              <w:t>BUILT, NOT YET LIVE</w:t>
            </w:r>
          </w:p>
        </w:tc>
        <w:tc>
          <w:tcPr>
            <w:tcW w:type="dxa" w:w="2880"/>
          </w:tcPr>
          <w:p>
            <w:r/>
            <w:r>
              <w:rPr>
                <w:b w:val="0"/>
                <w:sz w:val="21"/>
              </w:rPr>
              <w:t>No — blocked by an open defect in Graylog itself</w:t>
            </w:r>
          </w:p>
        </w:tc>
      </w:tr>
      <w:tr>
        <w:tc>
          <w:tcPr>
            <w:tcW w:type="dxa" w:w="2880"/>
          </w:tcPr>
          <w:p>
            <w:r/>
            <w:r>
              <w:rPr>
                <w:b w:val="0"/>
                <w:sz w:val="21"/>
              </w:rPr>
              <w:t>Graylog (syslog)</w:t>
            </w:r>
          </w:p>
        </w:tc>
        <w:tc>
          <w:tcPr>
            <w:tcW w:type="dxa" w:w="2880"/>
          </w:tcPr>
          <w:p>
            <w:r/>
            <w:r>
              <w:rPr>
                <w:b/>
                <w:color w:val="92400E"/>
                <w:sz w:val="21"/>
              </w:rPr>
              <w:t>BUILT, NOT YET LIVE</w:t>
            </w:r>
          </w:p>
        </w:tc>
        <w:tc>
          <w:tcPr>
            <w:tcW w:type="dxa" w:w="2880"/>
          </w:tcPr>
          <w:p>
            <w:r/>
            <w:r>
              <w:rPr>
                <w:b w:val="0"/>
                <w:sz w:val="21"/>
              </w:rPr>
              <w:t>No — same open Graylog defect</w:t>
            </w:r>
          </w:p>
        </w:tc>
      </w:tr>
      <w:tr>
        <w:tc>
          <w:tcPr>
            <w:tcW w:type="dxa" w:w="2880"/>
          </w:tcPr>
          <w:p>
            <w:r/>
            <w:r>
              <w:rPr>
                <w:b w:val="0"/>
                <w:sz w:val="21"/>
              </w:rPr>
              <w:t>Microsoft Sentinel</w:t>
            </w:r>
          </w:p>
        </w:tc>
        <w:tc>
          <w:tcPr>
            <w:tcW w:type="dxa" w:w="2880"/>
          </w:tcPr>
          <w:p>
            <w:r/>
            <w:r>
              <w:rPr>
                <w:b/>
                <w:color w:val="92400E"/>
                <w:sz w:val="21"/>
              </w:rPr>
              <w:t>BUILT, NOT LIVE-VERIFIED</w:t>
            </w:r>
          </w:p>
        </w:tc>
        <w:tc>
          <w:tcPr>
            <w:tcW w:type="dxa" w:w="2880"/>
          </w:tcPr>
          <w:p>
            <w:r/>
            <w:r>
              <w:rPr>
                <w:b w:val="0"/>
                <w:sz w:val="21"/>
              </w:rPr>
              <w:t>Not yet built</w:t>
            </w:r>
          </w:p>
        </w:tc>
      </w:tr>
      <w:tr>
        <w:tc>
          <w:tcPr>
            <w:tcW w:type="dxa" w:w="2880"/>
          </w:tcPr>
          <w:p>
            <w:r/>
            <w:r>
              <w:rPr>
                <w:b w:val="0"/>
                <w:sz w:val="21"/>
              </w:rPr>
              <w:t>Datadog</w:t>
            </w:r>
          </w:p>
        </w:tc>
        <w:tc>
          <w:tcPr>
            <w:tcW w:type="dxa" w:w="2880"/>
          </w:tcPr>
          <w:p>
            <w:r/>
            <w:r>
              <w:rPr>
                <w:b/>
                <w:color w:val="92400E"/>
                <w:sz w:val="21"/>
              </w:rPr>
              <w:t>BUILT, NOT LIVE-VERIFIED</w:t>
            </w:r>
          </w:p>
        </w:tc>
        <w:tc>
          <w:tcPr>
            <w:tcW w:type="dxa" w:w="2880"/>
          </w:tcPr>
          <w:p>
            <w:r/>
            <w:r>
              <w:rPr>
                <w:b w:val="0"/>
                <w:sz w:val="21"/>
              </w:rPr>
              <w:t>Not yet built</w:t>
            </w:r>
          </w:p>
        </w:tc>
      </w:tr>
      <w:tr>
        <w:tc>
          <w:tcPr>
            <w:tcW w:type="dxa" w:w="2880"/>
          </w:tcPr>
          <w:p>
            <w:r/>
            <w:r>
              <w:rPr>
                <w:b w:val="0"/>
                <w:sz w:val="21"/>
              </w:rPr>
              <w:t>Sumo Logic</w:t>
            </w:r>
          </w:p>
        </w:tc>
        <w:tc>
          <w:tcPr>
            <w:tcW w:type="dxa" w:w="2880"/>
          </w:tcPr>
          <w:p>
            <w:r/>
            <w:r>
              <w:rPr>
                <w:b/>
                <w:color w:val="B42318"/>
                <w:sz w:val="21"/>
              </w:rPr>
              <w:t>NOT YET AVAILABLE</w:t>
            </w:r>
          </w:p>
        </w:tc>
        <w:tc>
          <w:tcPr>
            <w:tcW w:type="dxa" w:w="2880"/>
          </w:tcPr>
          <w:p>
            <w:r/>
            <w:r>
              <w:rPr>
                <w:b w:val="0"/>
                <w:sz w:val="21"/>
              </w:rPr>
              <w:t>—</w:t>
            </w:r>
          </w:p>
        </w:tc>
      </w:tr>
      <w:tr>
        <w:tc>
          <w:tcPr>
            <w:tcW w:type="dxa" w:w="2880"/>
          </w:tcPr>
          <w:p>
            <w:r/>
            <w:r>
              <w:rPr>
                <w:b w:val="0"/>
                <w:sz w:val="21"/>
              </w:rPr>
              <w:t>CrowdStrike Falcon LogScale</w:t>
            </w:r>
          </w:p>
        </w:tc>
        <w:tc>
          <w:tcPr>
            <w:tcW w:type="dxa" w:w="2880"/>
          </w:tcPr>
          <w:p>
            <w:r/>
            <w:r>
              <w:rPr>
                <w:b/>
                <w:color w:val="B42318"/>
                <w:sz w:val="21"/>
              </w:rPr>
              <w:t>NOT YET AVAILABLE</w:t>
            </w:r>
          </w:p>
        </w:tc>
        <w:tc>
          <w:tcPr>
            <w:tcW w:type="dxa" w:w="2880"/>
          </w:tcPr>
          <w:p>
            <w:r/>
            <w:r>
              <w:rPr>
                <w:b w:val="0"/>
                <w:sz w:val="21"/>
              </w:rPr>
              <w:t>—</w:t>
            </w:r>
          </w:p>
        </w:tc>
      </w:tr>
    </w:tbl>
    <w:p/>
    <w:p>
      <w:pPr>
        <w:pStyle w:val="Heading1"/>
      </w:pPr>
      <w:r>
        <w:rPr>
          <w:rFonts w:ascii="Calibri" w:hAnsi="Calibri"/>
          <w:b/>
          <w:color w:val="1A2733"/>
          <w:sz w:val="42"/>
        </w:rPr>
        <w:t>3. Available now</w:t>
      </w:r>
    </w:p>
    <w:p>
      <w:pPr>
        <w:pStyle w:val="Heading2"/>
      </w:pPr>
      <w:r>
        <w:rPr>
          <w:rFonts w:ascii="Calibri" w:hAnsi="Calibri"/>
          <w:b/>
          <w:color w:val="2A52B8"/>
          <w:sz w:val="30"/>
        </w:rPr>
        <w:t>Splunk</w:t>
      </w:r>
    </w:p>
    <w:tbl>
      <w:tblPr>
        <w:tblW w:type="auto" w:w="0"/>
        <w:jc w:val="left"/>
        <w:tblLayout w:type="autofit"/>
        <w:tblLook w:firstColumn="1" w:firstRow="1" w:lastColumn="0" w:lastRow="0" w:noHBand="0" w:noVBand="1" w:val="04A0"/>
      </w:tblPr>
      <w:tblGrid>
        <w:gridCol w:w="5200"/>
      </w:tblGrid>
      <w:tr>
        <w:tc>
          <w:tcPr>
            <w:tcW w:type="dxa" w:w="8640"/>
            <w:shd w:val="clear" w:color="auto" w:fill="DCFCE7"/>
          </w:tcPr>
          <w:p>
            <w:r/>
            <w:r>
              <w:rPr>
                <w:b/>
                <w:color w:val="156D34"/>
                <w:sz w:val="21"/>
              </w:rPr>
              <w:t>LIVE</w:t>
            </w:r>
          </w:p>
        </w:tc>
      </w:tr>
    </w:tbl>
    <w:p>
      <w:r>
        <w:t>Splunk receives data over its own HTTP Event Collector (HEC). Set it up once, and every blocked-DNS event Aman sees for your account is sent there automatically.</w:t>
      </w:r>
    </w:p>
    <w:p>
      <w:pPr>
        <w:pStyle w:val="Heading3"/>
      </w:pPr>
      <w:r>
        <w:rPr>
          <w:rFonts w:ascii="Calibri" w:hAnsi="Calibri"/>
          <w:b/>
          <w:color w:val="2A52B8"/>
          <w:sz w:val="25"/>
        </w:rPr>
        <w:t>Set up in Splunk</w:t>
      </w:r>
    </w:p>
    <w:p>
      <w:pPr>
        <w:pStyle w:val="ListNumber"/>
      </w:pPr>
      <w:r>
        <w:t>In Splunk Web: Settings → Data Inputs → HTTP Event Collector → New Token.</w:t>
      </w:r>
    </w:p>
    <w:p>
      <w:pPr>
        <w:pStyle w:val="ListNumber"/>
      </w:pPr>
      <w:r>
        <w:t>Name it (for example, “IntelliBroń Aman”), choose or create a source type, and continue.</w:t>
      </w:r>
    </w:p>
    <w:p>
      <w:pPr>
        <w:pStyle w:val="ListNumber"/>
      </w:pPr>
      <w:r>
        <w:t>Choose which index should receive the data, then Review and Submit.</w:t>
      </w:r>
    </w:p>
    <w:p>
      <w:pPr>
        <w:pStyle w:val="ListNumber"/>
      </w:pPr>
      <w:r>
        <w:t>Under Settings → Data Inputs → HTTP Event Collector → Global Settings, confirm “All Tokens” is enabled, and enable SSL if it is not already on.</w:t>
      </w:r>
    </w:p>
    <w:p>
      <w:pPr>
        <w:pStyle w:val="ListNumber"/>
      </w:pPr>
      <w:r>
        <w:t>Copy the token value Splunk generates — you will not be able to view it again later.</w:t>
      </w:r>
    </w:p>
    <w:p>
      <w:pPr>
        <w:pStyle w:val="Heading3"/>
      </w:pPr>
      <w:r>
        <w:rPr>
          <w:rFonts w:ascii="Calibri" w:hAnsi="Calibri"/>
          <w:b/>
          <w:color w:val="2A52B8"/>
          <w:sz w:val="25"/>
        </w:rPr>
        <w:t>Give Aman</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Webhook URL</w:t>
            </w:r>
          </w:p>
        </w:tc>
        <w:tc>
          <w:tcPr>
            <w:tcW w:type="dxa" w:w="4320"/>
          </w:tcPr>
          <w:p>
            <w:r/>
            <w:r>
              <w:rPr>
                <w:rFonts w:ascii="SF Mono" w:hAnsi="SF Mono"/>
                <w:sz w:val="21"/>
              </w:rPr>
              <w:t>https://&lt;your-splunk-host&gt;:8088/services/collector/raw</w:t>
            </w:r>
          </w:p>
        </w:tc>
      </w:tr>
      <w:tr>
        <w:tc>
          <w:tcPr>
            <w:tcW w:type="dxa" w:w="4320"/>
          </w:tcPr>
          <w:p>
            <w:r/>
            <w:r>
              <w:rPr>
                <w:b/>
                <w:color w:val="1A2733"/>
                <w:sz w:val="21"/>
              </w:rPr>
              <w:t>Auth token</w:t>
            </w:r>
          </w:p>
        </w:tc>
        <w:tc>
          <w:tcPr>
            <w:tcW w:type="dxa" w:w="4320"/>
          </w:tcPr>
          <w:p>
            <w:r/>
            <w:r>
              <w:rPr>
                <w:rFonts w:ascii="Calibri" w:hAnsi="Calibri"/>
                <w:sz w:val="21"/>
              </w:rPr>
              <w:t>the HEC token from step 5 above</w:t>
            </w:r>
          </w:p>
        </w:tc>
      </w:tr>
    </w:tbl>
    <w:p/>
    <w:p>
      <w:r>
        <w:t>Use the /services/collector/raw path exactly as shown, not the bare /services/collector address — Aman sends plain text, and Splunk's non-raw endpoint only accepts JSON.</w:t>
      </w:r>
    </w:p>
    <w:p>
      <w:pPr>
        <w:pStyle w:val="Heading3"/>
      </w:pPr>
      <w:r>
        <w:rPr>
          <w:rFonts w:ascii="Calibri" w:hAnsi="Calibri"/>
          <w:b/>
          <w:color w:val="2A52B8"/>
          <w:sz w:val="25"/>
        </w:rPr>
        <w:t>What you'll see</w:t>
      </w:r>
    </w:p>
    <w:p>
      <w:r>
        <w:t>Each blocked event arrives as one indexed event: a syslog-style header followed by a JSON object containing the domain, source IP, severity, and related fields, using Elastic Common Schema (ECS) field names. Splunk indexes the whole line as raw text by default — it does not automatically break the JSON portion into separate searchable fields. To search on individual fields (domain, severity, and so on), use Splunk's spath command at search time, or add field extraction (KV_MODE=json) to the sourcetype you chose in step 2. Splunk's own Common Information Model (CIM) fields and its search-time geolocation lookup (iplocation) are not populated automatically — that mapping is your own configuration to build if you want it.</w:t>
      </w:r>
    </w:p>
    <w:p>
      <w:pPr>
        <w:pStyle w:val="Heading2"/>
      </w:pPr>
      <w:r>
        <w:rPr>
          <w:rFonts w:ascii="Calibri" w:hAnsi="Calibri"/>
          <w:b/>
          <w:color w:val="2A52B8"/>
          <w:sz w:val="30"/>
        </w:rPr>
        <w:t>Generic / custom webhook</w:t>
      </w:r>
    </w:p>
    <w:tbl>
      <w:tblPr>
        <w:tblW w:type="auto" w:w="0"/>
        <w:jc w:val="left"/>
        <w:tblLayout w:type="autofit"/>
        <w:tblLook w:firstColumn="1" w:firstRow="1" w:lastColumn="0" w:lastRow="0" w:noHBand="0" w:noVBand="1" w:val="04A0"/>
      </w:tblPr>
      <w:tblGrid>
        <w:gridCol w:w="5200"/>
      </w:tblGrid>
      <w:tr>
        <w:tc>
          <w:tcPr>
            <w:tcW w:type="dxa" w:w="8640"/>
            <w:shd w:val="clear" w:color="auto" w:fill="DCFCE7"/>
          </w:tcPr>
          <w:p>
            <w:r/>
            <w:r>
              <w:rPr>
                <w:b/>
                <w:color w:val="156D34"/>
                <w:sz w:val="21"/>
              </w:rPr>
              <w:t>LIVE</w:t>
            </w:r>
          </w:p>
        </w:tc>
      </w:tr>
    </w:tbl>
    <w:p>
      <w:r>
        <w:t>If your SIEM is not one of the named products below, or if you route logs through your own collector, relay, or log shipper first, Aman can send to any HTTPS address that can accept a POST request and return a success status code.</w:t>
      </w:r>
    </w:p>
    <w:p>
      <w:pPr>
        <w:pStyle w:val="Heading3"/>
      </w:pPr>
      <w:r>
        <w:rPr>
          <w:rFonts w:ascii="Calibri" w:hAnsi="Calibri"/>
          <w:b/>
          <w:color w:val="2A52B8"/>
          <w:sz w:val="25"/>
        </w:rPr>
        <w:t>Set up on your side</w:t>
      </w:r>
    </w:p>
    <w:p>
      <w:r>
        <w:t>Provide an HTTPS endpoint that accepts an HTTP POST with a plain-text body, checks the Authorization header against a token you choose, and returns a 2xx status once the request is accepted.</w:t>
      </w:r>
    </w:p>
    <w:p>
      <w:pPr>
        <w:pStyle w:val="Heading3"/>
      </w:pPr>
      <w:r>
        <w:rPr>
          <w:rFonts w:ascii="Calibri" w:hAnsi="Calibri"/>
          <w:b/>
          <w:color w:val="2A52B8"/>
          <w:sz w:val="25"/>
        </w:rPr>
        <w:t>Give Aman</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Webhook URL</w:t>
            </w:r>
          </w:p>
        </w:tc>
        <w:tc>
          <w:tcPr>
            <w:tcW w:type="dxa" w:w="4320"/>
          </w:tcPr>
          <w:p>
            <w:r/>
            <w:r>
              <w:rPr>
                <w:rFonts w:ascii="SF Mono" w:hAnsi="SF Mono"/>
                <w:sz w:val="21"/>
              </w:rPr>
              <w:t>https://your-endpoint.example/path</w:t>
            </w:r>
          </w:p>
        </w:tc>
      </w:tr>
      <w:tr>
        <w:tc>
          <w:tcPr>
            <w:tcW w:type="dxa" w:w="4320"/>
          </w:tcPr>
          <w:p>
            <w:r/>
            <w:r>
              <w:rPr>
                <w:b/>
                <w:color w:val="1A2733"/>
                <w:sz w:val="21"/>
              </w:rPr>
              <w:t>Auth token</w:t>
            </w:r>
          </w:p>
        </w:tc>
        <w:tc>
          <w:tcPr>
            <w:tcW w:type="dxa" w:w="4320"/>
          </w:tcPr>
          <w:p>
            <w:r/>
            <w:r>
              <w:rPr>
                <w:rFonts w:ascii="SF Mono" w:hAnsi="SF Mono"/>
                <w:sz w:val="21"/>
              </w:rPr>
              <w:t>a token you generate — Aman sends it as Authorization: Bearer &lt;token&gt;</w:t>
            </w:r>
          </w:p>
        </w:tc>
      </w:tr>
    </w:tbl>
    <w:p/>
    <w:p>
      <w:pPr>
        <w:pStyle w:val="Heading3"/>
      </w:pPr>
      <w:r>
        <w:rPr>
          <w:rFonts w:ascii="Calibri" w:hAnsi="Calibri"/>
          <w:b/>
          <w:color w:val="2A52B8"/>
          <w:sz w:val="25"/>
        </w:rPr>
        <w:t>What you'll receive</w:t>
      </w:r>
    </w:p>
    <w:p>
      <w:r>
        <w:t>One HTTP POST per blocked event, Content-Type: text/plain, with a body shaped like this:</w:t>
      </w:r>
    </w:p>
    <w:p>
      <w:pPr>
        <w:spacing w:before="40" w:after="160"/>
      </w:pPr>
      <w:r>
        <w:rPr>
          <w:rFonts w:ascii="SF Mono" w:hAnsi="SF Mono"/>
          <w:color w:val="0A0A0A"/>
          <w:sz w:val="19"/>
        </w:rPr>
        <w:t>&lt;34&gt;1 2026-09-01T02:14:07.000Z aman-pipeline aman-dns - - - {"@timestamp":"2026-09-01T02:14:07.000Z","event":{"type":["denied"],"category":["network"],"action":"blocked"},"source":{"ip":"203.153.118.242"},"dns":{"question":{"name":"phishing-kit.example","type":"ANY"}},"severity":"Critical"}</w:t>
      </w:r>
    </w:p>
    <w:p>
      <w:r>
        <w:t>The part before the JSON is a standard syslog (RFC 5424) header; everything from the first { onward is a JSON object with the alert's fields in ECS naming.</w:t>
      </w:r>
    </w:p>
    <w:p>
      <w:pPr>
        <w:pStyle w:val="Heading1"/>
      </w:pPr>
      <w:r>
        <w:rPr>
          <w:rFonts w:ascii="Calibri" w:hAnsi="Calibri"/>
          <w:b/>
          <w:color w:val="1A2733"/>
          <w:sz w:val="42"/>
        </w:rPr>
        <w:t>4. Built and tested — not yet turned on for live delivery</w:t>
      </w:r>
    </w:p>
    <w:tbl>
      <w:tblPr>
        <w:tblW w:type="auto" w:w="0"/>
        <w:tblLook w:firstColumn="1" w:firstRow="1" w:lastColumn="0" w:lastRow="0" w:noHBand="0" w:noVBand="1" w:val="04A0"/>
      </w:tblPr>
      <w:tblGrid>
        <w:gridCol w:w="8640"/>
      </w:tblGrid>
      <w:tr>
        <w:tc>
          <w:tcPr>
            <w:tcW w:type="dxa" w:w="8640"/>
            <w:shd w:val="clear" w:color="auto" w:fill="FEF3C7"/>
          </w:tcPr>
          <w:p>
            <w:r/>
            <w:r>
              <w:rPr>
                <w:b/>
                <w:color w:val="92400E"/>
                <w:sz w:val="22"/>
              </w:rPr>
              <w:t>Read this before continuing</w:t>
            </w:r>
          </w:p>
          <w:p>
            <w:r>
              <w:rPr>
                <w:color w:val="92400E"/>
                <w:sz w:val="21"/>
              </w:rPr>
              <w:t>Every SIEM in this section has been confirmed working against a real instance, using Aman's full delivery engine. That engine is not the one currently sending live customer data — only Splunk and a generic webhook (Section 3) are live today.</w:t>
            </w:r>
          </w:p>
          <w:p>
            <w:r>
              <w:rPr>
                <w:color w:val="92400E"/>
                <w:sz w:val="21"/>
              </w:rPr>
              <w:t>Configuring any of the SIEMs below will not deliver data yet. This section exists so you can prepare in advance and confirm your side is ready — talk to your Aman representative about timing before depending on it.</w:t>
            </w:r>
          </w:p>
        </w:tc>
      </w:tr>
    </w:tbl>
    <w:p/>
    <w:p>
      <w:pPr>
        <w:pStyle w:val="Heading2"/>
      </w:pPr>
      <w:r>
        <w:rPr>
          <w:rFonts w:ascii="Calibri" w:hAnsi="Calibri"/>
          <w:b/>
          <w:color w:val="2A52B8"/>
          <w:sz w:val="30"/>
        </w:rPr>
        <w:t>Elastic (and native OpenSearch — same wire protocol)</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YET LIVE</w:t>
            </w:r>
          </w:p>
        </w:tc>
      </w:tr>
    </w:tbl>
    <w:p>
      <w:r>
        <w:t>Elastic receives data through the Elasticsearch Bulk API, mapped into Elastic Common Schema (ECS) fields.</w:t>
      </w:r>
    </w:p>
    <w:p>
      <w:pPr>
        <w:pStyle w:val="Heading3"/>
      </w:pPr>
      <w:r>
        <w:rPr>
          <w:rFonts w:ascii="Calibri" w:hAnsi="Calibri"/>
          <w:b/>
          <w:color w:val="2A52B8"/>
          <w:sz w:val="25"/>
        </w:rPr>
        <w:t>Set up in Elastic</w:t>
      </w:r>
    </w:p>
    <w:p>
      <w:pPr>
        <w:pStyle w:val="ListNumber"/>
      </w:pPr>
      <w:r>
        <w:t>In Kibana: Stack Management → API Keys → Create API key.</w:t>
      </w:r>
    </w:p>
    <w:p>
      <w:pPr>
        <w:pStyle w:val="ListNumber"/>
      </w:pPr>
      <w:r>
        <w:t>Scope it to write access only, on the index you want alerts stored in — avoid using a superuser credential for this.</w:t>
      </w:r>
    </w:p>
    <w:p>
      <w:pPr>
        <w:pStyle w:val="ListNumber"/>
      </w:pPr>
      <w:r>
        <w:t>Have your Elasticsearch endpoint's Bulk URL for that index ready.</w:t>
      </w:r>
    </w:p>
    <w:p>
      <w:pPr>
        <w:pStyle w:val="Heading3"/>
      </w:pPr>
      <w:r>
        <w:rPr>
          <w:rFonts w:ascii="Calibri" w:hAnsi="Calibri"/>
          <w:b/>
          <w:color w:val="2A52B8"/>
          <w:sz w:val="25"/>
        </w:rPr>
        <w:t>Aman would need</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Webhook URL</w:t>
            </w:r>
          </w:p>
        </w:tc>
        <w:tc>
          <w:tcPr>
            <w:tcW w:type="dxa" w:w="4320"/>
          </w:tcPr>
          <w:p>
            <w:r/>
            <w:r>
              <w:rPr>
                <w:rFonts w:ascii="SF Mono" w:hAnsi="SF Mono"/>
                <w:sz w:val="21"/>
              </w:rPr>
              <w:t>https://&lt;your-elastic-host&gt;:9200/&lt;your-index&gt;/_bulk</w:t>
            </w:r>
          </w:p>
        </w:tc>
      </w:tr>
      <w:tr>
        <w:tc>
          <w:tcPr>
            <w:tcW w:type="dxa" w:w="4320"/>
          </w:tcPr>
          <w:p>
            <w:r/>
            <w:r>
              <w:rPr>
                <w:b/>
                <w:color w:val="1A2733"/>
                <w:sz w:val="21"/>
              </w:rPr>
              <w:t>Auth</w:t>
            </w:r>
          </w:p>
        </w:tc>
        <w:tc>
          <w:tcPr>
            <w:tcW w:type="dxa" w:w="4320"/>
          </w:tcPr>
          <w:p>
            <w:r/>
            <w:r>
              <w:rPr>
                <w:rFonts w:ascii="SF Mono" w:hAnsi="SF Mono"/>
                <w:sz w:val="21"/>
              </w:rPr>
              <w:t>ApiKey &lt;your encoded key&gt;</w:t>
            </w:r>
          </w:p>
        </w:tc>
      </w:tr>
    </w:tbl>
    <w:p/>
    <w:p>
      <w:pPr>
        <w:pStyle w:val="Heading3"/>
      </w:pPr>
      <w:r>
        <w:rPr>
          <w:rFonts w:ascii="Calibri" w:hAnsi="Calibri"/>
          <w:b/>
          <w:color w:val="2A52B8"/>
          <w:sz w:val="25"/>
        </w:rPr>
        <w:t>What this delivers, once live</w:t>
      </w:r>
    </w:p>
    <w:p>
      <w:r>
        <w:t>Every field mapped natively into ECS — including dns.question.registered_domain, an exact match for the blocked domain's root domain that most other SIEMs have no equivalent field for. A working Kibana Security detection rule (alerting on disposition: "Blocked") has already been confirmed against this exact data shape, so a native alert is realistic here, not just searchable data.</w:t>
      </w:r>
    </w:p>
    <w:p>
      <w:pPr>
        <w:pStyle w:val="Heading2"/>
      </w:pPr>
      <w:r>
        <w:rPr>
          <w:rFonts w:ascii="Calibri" w:hAnsi="Calibri"/>
          <w:b/>
          <w:color w:val="2A52B8"/>
          <w:sz w:val="30"/>
        </w:rPr>
        <w:t>Wazuh</w:t>
      </w:r>
    </w:p>
    <w:p>
      <w:r>
        <w:t>Wazuh supports two different setups, and they are not interchangeable — only one produces a real Wazuh alert.</w:t>
      </w:r>
    </w:p>
    <w:p>
      <w:pPr>
        <w:pStyle w:val="Heading3"/>
      </w:pPr>
      <w:r>
        <w:rPr>
          <w:rFonts w:ascii="Calibri" w:hAnsi="Calibri"/>
          <w:b/>
          <w:color w:val="2A52B8"/>
          <w:sz w:val="25"/>
        </w:rPr>
        <w:t>Option A — Syslog to your Wazuh manager (recommended)</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YET LIVE</w:t>
            </w:r>
          </w:p>
        </w:tc>
      </w:tr>
    </w:tbl>
    <w:p>
      <w:r>
        <w:t>This is the only option that produces a real, triageable alert in Wazuh's own Alerts view.</w:t>
      </w:r>
    </w:p>
    <w:p>
      <w:pPr>
        <w:pStyle w:val="Heading3"/>
      </w:pPr>
      <w:r>
        <w:rPr>
          <w:rFonts w:ascii="Calibri" w:hAnsi="Calibri"/>
          <w:b/>
          <w:color w:val="2A52B8"/>
          <w:sz w:val="25"/>
        </w:rPr>
        <w:t>Set up in Wazuh</w:t>
      </w:r>
    </w:p>
    <w:p>
      <w:r>
        <w:t>Add a syslog listener in your manager's configuration and allowlist Aman's source IP. Wazuh's syslog listener has no built-in authentication — the IP allowlist is the only access control, so this should sit behind a VPN or private link, not be exposed directly to the internet. Aman will also provide a small custom decoder and rule set for your team to add to the manager's configuration, so blocked-DNS events escalate into real alerts with the correct severity.</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Aman would need</w:t>
            </w:r>
          </w:p>
        </w:tc>
        <w:tc>
          <w:tcPr>
            <w:tcW w:type="dxa" w:w="4320"/>
          </w:tcPr>
          <w:p>
            <w:r/>
            <w:r>
              <w:rPr>
                <w:rFonts w:ascii="SF Mono" w:hAnsi="SF Mono"/>
                <w:sz w:val="21"/>
              </w:rPr>
              <w:t>syslog://&lt;your-wazuh-manager-host&gt;:514</w:t>
            </w:r>
          </w:p>
        </w:tc>
      </w:tr>
    </w:tbl>
    <w:p/>
    <w:p>
      <w:r>
        <w:t>What this delivers, once live: a real Wazuh alert, at the correct severity level, visible in the Alerts view — no dashboard work required on your side.</w:t>
      </w:r>
    </w:p>
    <w:p>
      <w:pPr>
        <w:pStyle w:val="Heading3"/>
      </w:pPr>
      <w:r>
        <w:rPr>
          <w:rFonts w:ascii="Calibri" w:hAnsi="Calibri"/>
          <w:b/>
          <w:color w:val="2A52B8"/>
          <w:sz w:val="25"/>
        </w:rPr>
        <w:t>Option B — Bulk indexing into your Wazuh indexer</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YET LIVE</w:t>
            </w:r>
          </w:p>
        </w:tc>
      </w:tr>
    </w:tbl>
    <w:p>
      <w:r>
        <w:t>This writes directly into Wazuh's OpenSearch-compatible indexer. It is faster to set up, but it bypasses Wazuh's rule engine entirely — the data is searchable, but it will not appear as an alert.</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Webhook URL</w:t>
            </w:r>
          </w:p>
        </w:tc>
        <w:tc>
          <w:tcPr>
            <w:tcW w:type="dxa" w:w="4320"/>
          </w:tcPr>
          <w:p>
            <w:r/>
            <w:r>
              <w:rPr>
                <w:rFonts w:ascii="SF Mono" w:hAnsi="SF Mono"/>
                <w:sz w:val="21"/>
              </w:rPr>
              <w:t>https://&lt;your-wazuh-indexer-host&gt;:9200/&lt;index&gt;/_bulk</w:t>
            </w:r>
          </w:p>
        </w:tc>
      </w:tr>
      <w:tr>
        <w:tc>
          <w:tcPr>
            <w:tcW w:type="dxa" w:w="4320"/>
          </w:tcPr>
          <w:p>
            <w:r/>
            <w:r>
              <w:rPr>
                <w:b/>
                <w:color w:val="1A2733"/>
                <w:sz w:val="21"/>
              </w:rPr>
              <w:t>Auth</w:t>
            </w:r>
          </w:p>
        </w:tc>
        <w:tc>
          <w:tcPr>
            <w:tcW w:type="dxa" w:w="4320"/>
          </w:tcPr>
          <w:p>
            <w:r/>
            <w:r>
              <w:rPr>
                <w:rFonts w:ascii="Calibri" w:hAnsi="Calibri"/>
                <w:sz w:val="21"/>
              </w:rPr>
              <w:t>username + password, scoped to write access only on that index</w:t>
            </w:r>
          </w:p>
        </w:tc>
      </w:tr>
    </w:tbl>
    <w:p/>
    <w:p>
      <w:r>
        <w:t>Use a scoped credential, not your Wazuh admin account — this endpoint should never need superuser access to your entire data store.</w:t>
      </w:r>
    </w:p>
    <w:p>
      <w:pPr>
        <w:pStyle w:val="Heading2"/>
      </w:pPr>
      <w:r>
        <w:rPr>
          <w:rFonts w:ascii="Calibri" w:hAnsi="Calibri"/>
          <w:b/>
          <w:color w:val="2A52B8"/>
          <w:sz w:val="30"/>
        </w:rPr>
        <w:t>Graylog</w:t>
      </w:r>
    </w:p>
    <w:p>
      <w:r>
        <w:t>Graylog also supports two setups. Both deliver data reliably; neither currently produces a native Graylog alert, for a reason on Graylog's side, not Aman's.</w:t>
      </w:r>
    </w:p>
    <w:p>
      <w:pPr>
        <w:pStyle w:val="Heading3"/>
      </w:pPr>
      <w:r>
        <w:rPr>
          <w:rFonts w:ascii="Calibri" w:hAnsi="Calibri"/>
          <w:b/>
          <w:color w:val="2A52B8"/>
          <w:sz w:val="25"/>
        </w:rPr>
        <w:t>Option A — GELF over HTTP (recommended)</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YET LIVE</w:t>
            </w:r>
          </w:p>
        </w:tc>
      </w:tr>
    </w:tbl>
    <w:p>
      <w:pPr>
        <w:pStyle w:val="Heading3"/>
      </w:pPr>
      <w:r>
        <w:rPr>
          <w:rFonts w:ascii="Calibri" w:hAnsi="Calibri"/>
          <w:b/>
          <w:color w:val="2A52B8"/>
          <w:sz w:val="25"/>
        </w:rPr>
        <w:t>Set up in Graylog</w:t>
      </w:r>
    </w:p>
    <w:p>
      <w:r>
        <w:t>System → Inputs → create a GELF HTTP input. Optionally configure a shared Authorization header value for basic access control on the input.</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Aman would need</w:t>
            </w:r>
          </w:p>
        </w:tc>
        <w:tc>
          <w:tcPr>
            <w:tcW w:type="dxa" w:w="4320"/>
          </w:tcPr>
          <w:p>
            <w:r/>
            <w:r>
              <w:rPr>
                <w:rFonts w:ascii="SF Mono" w:hAnsi="SF Mono"/>
                <w:sz w:val="21"/>
              </w:rPr>
              <w:t>https://&lt;your-graylog-host&gt;:12202/gelf (or your configured input port)</w:t>
            </w:r>
          </w:p>
        </w:tc>
      </w:tr>
    </w:tbl>
    <w:p/>
    <w:p>
      <w:pPr>
        <w:pStyle w:val="Heading3"/>
      </w:pPr>
      <w:r>
        <w:rPr>
          <w:rFonts w:ascii="Calibri" w:hAnsi="Calibri"/>
          <w:b/>
          <w:color w:val="2A52B8"/>
          <w:sz w:val="25"/>
        </w:rPr>
        <w:t>Option B — Syslog</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YET LIVE</w:t>
            </w:r>
          </w:p>
        </w:tc>
      </w:tr>
    </w:tbl>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Aman would need</w:t>
            </w:r>
          </w:p>
        </w:tc>
        <w:tc>
          <w:tcPr>
            <w:tcW w:type="dxa" w:w="4320"/>
          </w:tcPr>
          <w:p>
            <w:r/>
            <w:r>
              <w:rPr>
                <w:rFonts w:ascii="SF Mono" w:hAnsi="SF Mono"/>
                <w:sz w:val="21"/>
              </w:rPr>
              <w:t>syslog://&lt;your-graylog-host&gt;:1514</w:t>
            </w:r>
          </w:p>
        </w:tc>
      </w:tr>
    </w:tbl>
    <w:p/>
    <w:p>
      <w:pPr>
        <w:pStyle w:val="Heading3"/>
      </w:pPr>
      <w:r>
        <w:rPr>
          <w:rFonts w:ascii="Calibri" w:hAnsi="Calibri"/>
          <w:b/>
          <w:color w:val="2A52B8"/>
          <w:sz w:val="25"/>
        </w:rPr>
        <w:t>What to expect from either option</w:t>
      </w:r>
    </w:p>
    <w:p>
      <w:r>
        <w:t>Data lands reliably and is immediately searchable in Graylog Search. Building a native Graylog Alert (an Event Definition) on top of this data does not currently work — this has been isolated to a defect in Graylog's own Event Definition scheduler, confirmed with a control test using a query with no connection to Aman's data at all, which failed the same way. It is not something reconfiguring your input, or waiting for Aman to fix something on our side, will resolve. You can still build dashboards and run searches against the data normally.</w:t>
      </w:r>
    </w:p>
    <w:p>
      <w:pPr>
        <w:pStyle w:val="Heading1"/>
      </w:pPr>
      <w:r>
        <w:rPr>
          <w:rFonts w:ascii="Calibri" w:hAnsi="Calibri"/>
          <w:b/>
          <w:color w:val="1A2733"/>
          <w:sz w:val="42"/>
        </w:rPr>
        <w:t>5. Built, not yet verified against a live instance</w:t>
      </w:r>
    </w:p>
    <w:tbl>
      <w:tblPr>
        <w:tblW w:type="auto" w:w="0"/>
        <w:tblLook w:firstColumn="1" w:firstRow="1" w:lastColumn="0" w:lastRow="0" w:noHBand="0" w:noVBand="1" w:val="04A0"/>
      </w:tblPr>
      <w:tblGrid>
        <w:gridCol w:w="8640"/>
      </w:tblGrid>
      <w:tr>
        <w:tc>
          <w:tcPr>
            <w:tcW w:type="dxa" w:w="8640"/>
            <w:shd w:val="clear" w:color="auto" w:fill="FEF3C7"/>
          </w:tcPr>
          <w:p>
            <w:r/>
            <w:r>
              <w:rPr>
                <w:b/>
                <w:color w:val="92400E"/>
                <w:sz w:val="22"/>
              </w:rPr>
              <w:t>Read this before continuing</w:t>
            </w:r>
          </w:p>
          <w:p>
            <w:r>
              <w:rPr>
                <w:color w:val="92400E"/>
                <w:sz w:val="21"/>
              </w:rPr>
              <w:t>The two SIEMs below have a real, tested data format built in Aman's engine, based on each vendor's own published documentation — but that format has not yet been confirmed against an actual live instance of either product, and it is not the pipeline sending live customer data today.</w:t>
            </w:r>
          </w:p>
          <w:p>
            <w:r>
              <w:rPr>
                <w:color w:val="92400E"/>
                <w:sz w:val="21"/>
              </w:rPr>
              <w:t>Treat the steps below as a preview of what setup will involve, not a guarantee of the exact field names or behavior once verified.</w:t>
            </w:r>
          </w:p>
        </w:tc>
      </w:tr>
    </w:tbl>
    <w:p/>
    <w:p>
      <w:pPr>
        <w:pStyle w:val="Heading2"/>
      </w:pPr>
      <w:r>
        <w:rPr>
          <w:rFonts w:ascii="Calibri" w:hAnsi="Calibri"/>
          <w:b/>
          <w:color w:val="2A52B8"/>
          <w:sz w:val="30"/>
        </w:rPr>
        <w:t>Microsoft Sentinel</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LIVE-VERIFIED</w:t>
            </w:r>
          </w:p>
        </w:tc>
      </w:tr>
    </w:tbl>
    <w:p>
      <w:pPr>
        <w:pStyle w:val="Heading3"/>
      </w:pPr>
      <w:r>
        <w:rPr>
          <w:rFonts w:ascii="Calibri" w:hAnsi="Calibri"/>
          <w:b/>
          <w:color w:val="2A52B8"/>
          <w:sz w:val="25"/>
        </w:rPr>
        <w:t>Set up in Microsoft Sentinel</w:t>
      </w:r>
    </w:p>
    <w:p>
      <w:pPr>
        <w:pStyle w:val="ListNumber"/>
      </w:pPr>
      <w:r>
        <w:t>Register an application in Microsoft Entra ID for Aman to authenticate with.</w:t>
      </w:r>
    </w:p>
    <w:p>
      <w:pPr>
        <w:pStyle w:val="ListNumber"/>
      </w:pPr>
      <w:r>
        <w:t>Create a Data Collection Rule (DCR) targeting a table in your Sentinel workspace, shaped to receive DNS-activity data.</w:t>
      </w:r>
    </w:p>
    <w:p>
      <w:pPr>
        <w:pStyle w:val="ListNumber"/>
      </w:pPr>
      <w:r>
        <w:t>Note the DCR's Logs Ingestion API endpoint and the application's client credentials.</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Aman would need</w:t>
            </w:r>
          </w:p>
        </w:tc>
        <w:tc>
          <w:tcPr>
            <w:tcW w:type="dxa" w:w="4320"/>
          </w:tcPr>
          <w:p>
            <w:r/>
            <w:r>
              <w:rPr>
                <w:rFonts w:ascii="Calibri" w:hAnsi="Calibri"/>
                <w:sz w:val="21"/>
              </w:rPr>
              <w:t>your DCR's ingestion endpoint URL, plus an OAuth2 access token</w:t>
            </w:r>
          </w:p>
        </w:tc>
      </w:tr>
    </w:tbl>
    <w:p/>
    <w:p>
      <w:pPr>
        <w:pStyle w:val="Heading3"/>
      </w:pPr>
      <w:r>
        <w:rPr>
          <w:rFonts w:ascii="Calibri" w:hAnsi="Calibri"/>
          <w:b/>
          <w:color w:val="2A52B8"/>
          <w:sz w:val="25"/>
        </w:rPr>
        <w:t>A known limitation to plan around</w:t>
      </w:r>
    </w:p>
    <w:p>
      <w:r>
        <w:t>Sentinel's normalized DNS schema (ASIM) only has four severity levels: Informational, Low, Medium, High — there is no “Critical” tier. Aman's Critical-severity alerts (malware and other malicious-category blocks) will fold into “High” by default. If you need to distinguish Critical from High in Sentinel, ask your Aman representative — the original severity can be preserved in a separate field on request.</w:t>
      </w:r>
    </w:p>
    <w:p>
      <w:pPr>
        <w:pStyle w:val="Heading2"/>
      </w:pPr>
      <w:r>
        <w:rPr>
          <w:rFonts w:ascii="Calibri" w:hAnsi="Calibri"/>
          <w:b/>
          <w:color w:val="2A52B8"/>
          <w:sz w:val="30"/>
        </w:rPr>
        <w:t>Datadog</w:t>
      </w:r>
    </w:p>
    <w:tbl>
      <w:tblPr>
        <w:tblW w:type="auto" w:w="0"/>
        <w:jc w:val="left"/>
        <w:tblLayout w:type="autofit"/>
        <w:tblLook w:firstColumn="1" w:firstRow="1" w:lastColumn="0" w:lastRow="0" w:noHBand="0" w:noVBand="1" w:val="04A0"/>
      </w:tblPr>
      <w:tblGrid>
        <w:gridCol w:w="5200"/>
      </w:tblGrid>
      <w:tr>
        <w:tc>
          <w:tcPr>
            <w:tcW w:type="dxa" w:w="8640"/>
            <w:shd w:val="clear" w:color="auto" w:fill="FEF3C7"/>
          </w:tcPr>
          <w:p>
            <w:r/>
            <w:r>
              <w:rPr>
                <w:b/>
                <w:color w:val="92400E"/>
                <w:sz w:val="21"/>
              </w:rPr>
              <w:t>BUILT, NOT LIVE-VERIFIED</w:t>
            </w:r>
          </w:p>
        </w:tc>
      </w:tr>
    </w:tbl>
    <w:p>
      <w:pPr>
        <w:pStyle w:val="Heading3"/>
      </w:pPr>
      <w:r>
        <w:rPr>
          <w:rFonts w:ascii="Calibri" w:hAnsi="Calibri"/>
          <w:b/>
          <w:color w:val="2A52B8"/>
          <w:sz w:val="25"/>
        </w:rPr>
        <w:t>Set up in Datadog</w:t>
      </w:r>
    </w:p>
    <w:p>
      <w:r>
        <w:t>Organization Settings → API Keys → create a new key for Aman.</w:t>
      </w:r>
    </w:p>
    <w:tbl>
      <w:tblPr>
        <w:tblStyle w:val="TableGrid"/>
        <w:tblW w:type="auto" w:w="0"/>
        <w:tblLook w:firstColumn="1" w:firstRow="1" w:lastColumn="0" w:lastRow="0" w:noHBand="0" w:noVBand="1" w:val="04A0"/>
      </w:tblPr>
      <w:tblGrid>
        <w:gridCol w:w="4320"/>
        <w:gridCol w:w="4320"/>
      </w:tblGrid>
      <w:tr>
        <w:tc>
          <w:tcPr>
            <w:tcW w:type="dxa" w:w="4320"/>
          </w:tcPr>
          <w:p>
            <w:r/>
            <w:r>
              <w:rPr>
                <w:b/>
                <w:color w:val="1A2733"/>
                <w:sz w:val="21"/>
              </w:rPr>
              <w:t>Webhook URL</w:t>
            </w:r>
          </w:p>
        </w:tc>
        <w:tc>
          <w:tcPr>
            <w:tcW w:type="dxa" w:w="4320"/>
          </w:tcPr>
          <w:p>
            <w:r/>
            <w:r>
              <w:rPr>
                <w:rFonts w:ascii="SF Mono" w:hAnsi="SF Mono"/>
                <w:sz w:val="21"/>
              </w:rPr>
              <w:t>https://http-intake.logs.datadoghq.com/api/v2/logs</w:t>
            </w:r>
          </w:p>
        </w:tc>
      </w:tr>
      <w:tr>
        <w:tc>
          <w:tcPr>
            <w:tcW w:type="dxa" w:w="4320"/>
          </w:tcPr>
          <w:p>
            <w:r/>
            <w:r>
              <w:rPr>
                <w:b/>
                <w:color w:val="1A2733"/>
                <w:sz w:val="21"/>
              </w:rPr>
              <w:t>Auth</w:t>
            </w:r>
          </w:p>
        </w:tc>
        <w:tc>
          <w:tcPr>
            <w:tcW w:type="dxa" w:w="4320"/>
          </w:tcPr>
          <w:p>
            <w:r/>
            <w:r>
              <w:rPr>
                <w:rFonts w:ascii="Calibri" w:hAnsi="Calibri"/>
                <w:sz w:val="21"/>
              </w:rPr>
              <w:t>your API key, sent as the DD-API-KEY header</w:t>
            </w:r>
          </w:p>
        </w:tc>
      </w:tr>
    </w:tbl>
    <w:p/>
    <w:p>
      <w:pPr>
        <w:pStyle w:val="Heading3"/>
      </w:pPr>
      <w:r>
        <w:rPr>
          <w:rFonts w:ascii="Calibri" w:hAnsi="Calibri"/>
          <w:b/>
          <w:color w:val="2A52B8"/>
          <w:sz w:val="25"/>
        </w:rPr>
        <w:t>A known limitation to plan around</w:t>
      </w:r>
    </w:p>
    <w:p>
      <w:r>
        <w:t>Datadog does not automatically resolve geolocation from an IP address for this kind of log submission. If you want country/city enrichment, you will need to add a GeoIP Parser processor to a log pipeline on your side. Datadog's own OCSF Processor can additionally map this data into OCSF classes for you, if that is useful for your existing detections.</w:t>
      </w:r>
    </w:p>
    <w:p>
      <w:pPr>
        <w:pStyle w:val="Heading1"/>
      </w:pPr>
      <w:r>
        <w:rPr>
          <w:rFonts w:ascii="Calibri" w:hAnsi="Calibri"/>
          <w:b/>
          <w:color w:val="1A2733"/>
          <w:sz w:val="42"/>
        </w:rPr>
        <w:t>6. Not yet available</w:t>
      </w:r>
    </w:p>
    <w:tbl>
      <w:tblPr>
        <w:tblW w:type="auto" w:w="0"/>
        <w:tblLook w:firstColumn="1" w:firstRow="1" w:lastColumn="0" w:lastRow="0" w:noHBand="0" w:noVBand="1" w:val="04A0"/>
      </w:tblPr>
      <w:tblGrid>
        <w:gridCol w:w="8640"/>
      </w:tblGrid>
      <w:tr>
        <w:tc>
          <w:tcPr>
            <w:tcW w:type="dxa" w:w="8640"/>
            <w:shd w:val="clear" w:color="auto" w:fill="FEE2E2"/>
          </w:tcPr>
          <w:p>
            <w:r/>
            <w:r>
              <w:rPr>
                <w:b/>
                <w:color w:val="B42318"/>
                <w:sz w:val="22"/>
              </w:rPr>
              <w:t>This SIEM is not available yet</w:t>
            </w:r>
          </w:p>
          <w:p>
            <w:r>
              <w:rPr>
                <w:color w:val="B42318"/>
                <w:sz w:val="21"/>
              </w:rPr>
              <w:t>Aman does not yet build this SIEM's data format. The steps below describe what your side would need to prepare once it is available — they are not something you can configure today.</w:t>
            </w:r>
          </w:p>
          <w:p>
            <w:r>
              <w:rPr>
                <w:color w:val="B42318"/>
                <w:sz w:val="21"/>
              </w:rPr>
              <w:t>Contact your Aman representative if you specifically need this SIEM supported.</w:t>
            </w:r>
          </w:p>
        </w:tc>
      </w:tr>
    </w:tbl>
    <w:p/>
    <w:p>
      <w:pPr>
        <w:pStyle w:val="Heading2"/>
      </w:pPr>
      <w:r>
        <w:rPr>
          <w:rFonts w:ascii="Calibri" w:hAnsi="Calibri"/>
          <w:b/>
          <w:color w:val="2A52B8"/>
          <w:sz w:val="30"/>
        </w:rPr>
        <w:t>Sumo Logic</w:t>
      </w:r>
    </w:p>
    <w:tbl>
      <w:tblPr>
        <w:tblW w:type="auto" w:w="0"/>
        <w:jc w:val="left"/>
        <w:tblLayout w:type="autofit"/>
        <w:tblLook w:firstColumn="1" w:firstRow="1" w:lastColumn="0" w:lastRow="0" w:noHBand="0" w:noVBand="1" w:val="04A0"/>
      </w:tblPr>
      <w:tblGrid>
        <w:gridCol w:w="5200"/>
      </w:tblGrid>
      <w:tr>
        <w:tc>
          <w:tcPr>
            <w:tcW w:type="dxa" w:w="8640"/>
            <w:shd w:val="clear" w:color="auto" w:fill="FEE2E2"/>
          </w:tcPr>
          <w:p>
            <w:r/>
            <w:r>
              <w:rPr>
                <w:b/>
                <w:color w:val="B42318"/>
                <w:sz w:val="21"/>
              </w:rPr>
              <w:t>NOT YET AVAILABLE</w:t>
            </w:r>
          </w:p>
        </w:tc>
      </w:tr>
    </w:tbl>
    <w:p>
      <w:r>
        <w:t>Once available, setup is expected to involve creating a Hosted Collector with an HTTP Logs and Metrics Source in Sumo Logic, and providing Aman with that source's unique HTTP endpoint URL.</w:t>
      </w:r>
    </w:p>
    <w:p>
      <w:pPr>
        <w:pStyle w:val="Heading2"/>
      </w:pPr>
      <w:r>
        <w:rPr>
          <w:rFonts w:ascii="Calibri" w:hAnsi="Calibri"/>
          <w:b/>
          <w:color w:val="2A52B8"/>
          <w:sz w:val="30"/>
        </w:rPr>
        <w:t>CrowdStrike Falcon LogScale</w:t>
      </w:r>
    </w:p>
    <w:tbl>
      <w:tblPr>
        <w:tblW w:type="auto" w:w="0"/>
        <w:jc w:val="left"/>
        <w:tblLayout w:type="autofit"/>
        <w:tblLook w:firstColumn="1" w:firstRow="1" w:lastColumn="0" w:lastRow="0" w:noHBand="0" w:noVBand="1" w:val="04A0"/>
      </w:tblPr>
      <w:tblGrid>
        <w:gridCol w:w="5200"/>
      </w:tblGrid>
      <w:tr>
        <w:tc>
          <w:tcPr>
            <w:tcW w:type="dxa" w:w="8640"/>
            <w:shd w:val="clear" w:color="auto" w:fill="FEE2E2"/>
          </w:tcPr>
          <w:p>
            <w:r/>
            <w:r>
              <w:rPr>
                <w:b/>
                <w:color w:val="B42318"/>
                <w:sz w:val="21"/>
              </w:rPr>
              <w:t>NOT YET AVAILABLE</w:t>
            </w:r>
          </w:p>
        </w:tc>
      </w:tr>
    </w:tbl>
    <w:p>
      <w:r>
        <w:t>Once available, setup is expected to involve creating an ingest token scoped to a LogScale repository, and providing Aman with the ingest endpoint URL and that token.</w:t>
      </w:r>
    </w:p>
    <w:p>
      <w:pPr>
        <w:pStyle w:val="Heading2"/>
      </w:pPr>
      <w:r>
        <w:rPr>
          <w:rFonts w:ascii="Calibri" w:hAnsi="Calibri"/>
          <w:b/>
          <w:color w:val="2A52B8"/>
          <w:sz w:val="30"/>
        </w:rPr>
        <w:t>Something else not listed here?</w:t>
      </w:r>
    </w:p>
    <w:p>
      <w:r>
        <w:t>Contact your Aman representative — the Generic / custom webhook option in Section 3 works with any SIEM or log platform that can receive an HTTPS POST today, regardless of whether it has a dedicated section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