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475569"/>
          <w:sz w:val="32"/>
        </w:rPr>
        <w:t>IntelliBroń Aman</w:t>
      </w:r>
    </w:p>
    <w:p>
      <w:r>
        <w:rPr>
          <w:b/>
          <w:color w:val="1A2733"/>
          <w:sz w:val="68"/>
        </w:rPr>
        <w:t>SIEM Configuration Guide</w:t>
      </w:r>
    </w:p>
    <w:p>
      <w:r>
        <w:rPr>
          <w:color w:val="2A52B8"/>
          <w:sz w:val="36"/>
        </w:rPr>
        <w:t>What Aman sends, and how to set your SIEM up to receive it</w:t>
      </w:r>
    </w:p>
    <w:p/>
    <w:p>
      <w:r>
        <w:rPr>
          <w:b/>
        </w:rPr>
        <w:t xml:space="preserve">Status:  </w:t>
      </w:r>
      <w:r>
        <w:rPr>
          <w:color w:val="B42318"/>
        </w:rPr>
        <w:t>DRAFT — for internal review before this goes to any customer</w:t>
      </w:r>
    </w:p>
    <w:p>
      <w:r>
        <w:rPr>
          <w:b/>
        </w:rPr>
        <w:t xml:space="preserve">Prepared by:  </w:t>
      </w:r>
      <w:r>
        <w:rPr>
          <w:color w:val="475569"/>
        </w:rPr>
        <w:t>Brian Hikari Janna — Cyber Security Product Researcher, ITSEC Asia</w:t>
      </w:r>
    </w:p>
    <w:p>
      <w:r>
        <w:rPr>
          <w:b/>
        </w:rPr>
        <w:t xml:space="preserve">Date:  </w:t>
      </w:r>
      <w:r>
        <w:rPr>
          <w:color w:val="475569"/>
        </w:rPr>
        <w:t>2026-09-01</w:t>
      </w:r>
    </w:p>
    <w:p>
      <w:r>
        <w:rPr>
          <w:b/>
        </w:rPr>
        <w:t xml:space="preserve">Source repo:  </w:t>
      </w:r>
      <w:r>
        <w:rPr>
          <w:color w:val="475569"/>
        </w:rPr>
        <w:t>github.com/bhikari40-cloud/aman-siem-pipeline, branch customer-onboarding-gate</w:t>
      </w:r>
    </w:p>
    <w:p/>
    <w:p>
      <w:pPr>
        <w:pStyle w:val="Heading1"/>
      </w:pPr>
      <w:r>
        <w:rPr>
          <w:rFonts w:ascii="Calibri" w:hAnsi="Calibri"/>
          <w:b/>
          <w:color w:val="1A2733"/>
          <w:sz w:val="42"/>
        </w:rPr>
        <w:t>1. What Aman sends</w:t>
      </w:r>
    </w:p>
    <w:p>
      <w:r>
        <w:t>Aman delivers each blocked DNS event as a single HTTPS POST request to a URL you provide. There is no batching and no separate “native alert” — each blocked query is sent to you as soon as it happens.</w:t>
      </w:r>
    </w:p>
    <w:p>
      <w:r>
        <w:t>The body of each request is one line of plain text: a standard syslog (RFC 5424) header, followed by a JSON object holding the event's fields — domain, source IP, severity, and so on — using Elastic Common Schema (ECS) field names. This is a real, working example:</w:t>
      </w:r>
    </w:p>
    <w:p>
      <w:pPr>
        <w:spacing w:before="40" w:after="160"/>
      </w:pPr>
      <w:r>
        <w:rPr>
          <w:rFonts w:ascii="SF Mono" w:hAnsi="SF Mono"/>
          <w:color w:val="0A0A0A"/>
          <w:sz w:val="19"/>
        </w:rPr>
        <w:t>&lt;34&gt;1 2026-09-01T02:14:07.000Z aman-pipeline aman-dns - - - {"@timestamp":"2026-09-01T02:14:07.000Z","event":{"type":["denied"],"category":["network"],"action":"blocked"},"source":{"ip":"203.153.118.242"},"dns":{"question":{"name":"phishing-kit.example","type":"ANY"}},"severity":"Critical"}</w:t>
      </w:r>
    </w:p>
    <w:p>
      <w:r>
        <w:t>The part before the JSON is the syslog header; everything from the first { onward is the JSON object.</w:t>
      </w:r>
    </w:p>
    <w:p>
      <w:r>
        <w:t>Every request also carries an Authorization header, using a token you provide: Authorization: Bearer &lt;your token&gt;. Splunk is the one exception — see the Splunk section below for the login format it requires instead.</w:t>
      </w:r>
    </w:p>
    <w:p>
      <w:pPr>
        <w:pStyle w:val="Heading1"/>
      </w:pPr>
      <w:r>
        <w:rPr>
          <w:rFonts w:ascii="Calibri" w:hAnsi="Calibri"/>
          <w:b/>
          <w:color w:val="1A2733"/>
          <w:sz w:val="42"/>
        </w:rPr>
        <w:t>2. What to give Aman</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Calibri" w:hAnsi="Calibri"/>
                <w:sz w:val="21"/>
              </w:rPr>
              <w:t>the HTTPS address Aman should send each alert to</w:t>
            </w:r>
          </w:p>
        </w:tc>
      </w:tr>
      <w:tr>
        <w:tc>
          <w:tcPr>
            <w:tcW w:type="dxa" w:w="4320"/>
          </w:tcPr>
          <w:p>
            <w:r/>
            <w:r>
              <w:rPr>
                <w:b/>
                <w:color w:val="1A2733"/>
                <w:sz w:val="21"/>
              </w:rPr>
              <w:t>Auth token</w:t>
            </w:r>
          </w:p>
        </w:tc>
        <w:tc>
          <w:tcPr>
            <w:tcW w:type="dxa" w:w="4320"/>
          </w:tcPr>
          <w:p>
            <w:r/>
            <w:r>
              <w:rPr>
                <w:rFonts w:ascii="Calibri" w:hAnsi="Calibri"/>
                <w:sz w:val="21"/>
              </w:rPr>
              <w:t>a token you generate — Aman sends it back to you in every request</w:t>
            </w:r>
          </w:p>
        </w:tc>
      </w:tr>
    </w:tbl>
    <w:p/>
    <w:p>
      <w:pPr>
        <w:pStyle w:val="Heading1"/>
      </w:pPr>
      <w:r>
        <w:rPr>
          <w:rFonts w:ascii="Calibri" w:hAnsi="Calibri"/>
          <w:b/>
          <w:color w:val="1A2733"/>
          <w:sz w:val="42"/>
        </w:rPr>
        <w:t>3. Setting up Splunk</w:t>
      </w:r>
    </w:p>
    <w:p>
      <w:r>
        <w:t>Splunk has a built-in way to receive exactly this kind of data: its HTTP Event Collector (HEC).</w:t>
      </w:r>
    </w:p>
    <w:p>
      <w:pPr>
        <w:pStyle w:val="ListNumber"/>
      </w:pPr>
      <w:r>
        <w:t>In Splunk Web: Settings → Data Inputs → HTTP Event Collector → New Token.</w:t>
      </w:r>
    </w:p>
    <w:p>
      <w:pPr>
        <w:pStyle w:val="ListNumber"/>
      </w:pPr>
      <w:r>
        <w:t>Name it (for example, “IntelliBroń Aman”), choose or create a source type, and continue.</w:t>
      </w:r>
    </w:p>
    <w:p>
      <w:pPr>
        <w:pStyle w:val="ListNumber"/>
      </w:pPr>
      <w:r>
        <w:t>Choose which index should receive the data, then Review and Submit.</w:t>
      </w:r>
    </w:p>
    <w:p>
      <w:pPr>
        <w:pStyle w:val="ListNumber"/>
      </w:pPr>
      <w:r>
        <w:t>Under Settings → Data Inputs → HTTP Event Collector → Global Settings, confirm “All Tokens” is enabled, and enable SSL if it is not already on.</w:t>
      </w:r>
    </w:p>
    <w:p>
      <w:pPr>
        <w:pStyle w:val="ListNumber"/>
      </w:pPr>
      <w:r>
        <w:t>Copy the token value Splunk generates — you will not be able to view it again later.</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https://&lt;your-splunk-host&gt;:8088/services/collector/raw</w:t>
            </w:r>
          </w:p>
        </w:tc>
      </w:tr>
      <w:tr>
        <w:tc>
          <w:tcPr>
            <w:tcW w:type="dxa" w:w="4320"/>
          </w:tcPr>
          <w:p>
            <w:r/>
            <w:r>
              <w:rPr>
                <w:b/>
                <w:color w:val="1A2733"/>
                <w:sz w:val="21"/>
              </w:rPr>
              <w:t>Auth token</w:t>
            </w:r>
          </w:p>
        </w:tc>
        <w:tc>
          <w:tcPr>
            <w:tcW w:type="dxa" w:w="4320"/>
          </w:tcPr>
          <w:p>
            <w:r/>
            <w:r>
              <w:rPr>
                <w:rFonts w:ascii="Calibri" w:hAnsi="Calibri"/>
                <w:sz w:val="21"/>
              </w:rPr>
              <w:t>the HEC token from step 5 above</w:t>
            </w:r>
          </w:p>
        </w:tc>
      </w:tr>
    </w:tbl>
    <w:p/>
    <w:p>
      <w:r>
        <w:t>Use the /services/collector/raw path exactly as shown, not the bare /services/collector address — that address only accepts JSON, and will reject this format.</w:t>
      </w:r>
    </w:p>
    <w:p>
      <w:r>
        <w:t>Splunk indexes each line as raw text by default — it does not automatically split the JSON portion into separate searchable fields. To search on individual fields (domain, severity, and so on), use Splunk's spath command at search time, or add field extraction (KV_MODE=json) to the sourcetype you chose in step 2.</w:t>
      </w:r>
    </w:p>
    <w:p>
      <w:pPr>
        <w:pStyle w:val="Heading1"/>
      </w:pPr>
      <w:r>
        <w:rPr>
          <w:rFonts w:ascii="Calibri" w:hAnsi="Calibri"/>
          <w:b/>
          <w:color w:val="1A2733"/>
          <w:sz w:val="42"/>
        </w:rPr>
        <w:t>4. Setting up other SIEMs</w:t>
      </w:r>
    </w:p>
    <w:p>
      <w:r>
        <w:t>The platforms below can each receive this exact webhook directly. Two platforms — Wazuh and Microsoft Sentinel — do not currently have a way to accept this format directly; those sections explain the practical alternative.</w:t>
      </w:r>
    </w:p>
    <w:p>
      <w:pPr>
        <w:pStyle w:val="Heading2"/>
      </w:pPr>
      <w:r>
        <w:rPr>
          <w:rFonts w:ascii="Calibri" w:hAnsi="Calibri"/>
          <w:b/>
          <w:color w:val="2A52B8"/>
          <w:sz w:val="30"/>
        </w:rPr>
        <w:t>Elastic (via Logstash)</w:t>
      </w:r>
    </w:p>
    <w:p>
      <w:r>
        <w:t>Elasticsearch's own Bulk API requires a specific JSON format and cannot accept this. Logstash's http input can, using its default plain-text mode.</w:t>
      </w:r>
    </w:p>
    <w:p>
      <w:pPr>
        <w:pStyle w:val="ListNumber"/>
      </w:pPr>
      <w:r>
        <w:t>If you don't already run Logstash, install it alongside your Elastic Stack.</w:t>
      </w:r>
    </w:p>
    <w:p>
      <w:pPr>
        <w:pStyle w:val="ListNumber"/>
      </w:pPr>
      <w:r>
        <w:t>Configure a pipeline with an http input (default codec is already plain text — no change needed) listening on a port of your choice, with TLS enabled, and an elasticsearch output pointing at your cluster.</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https://&lt;your-logstash-host&gt;:&lt;port&gt;/</w:t>
            </w:r>
          </w:p>
        </w:tc>
      </w:tr>
    </w:tbl>
    <w:p/>
    <w:p>
      <w:r>
        <w:t>Logstash's http input does not check any credential by default. If you want to verify the token Aman sends, add a filter that checks the Authorization header value — or rely on network-level access control (firewall or VPN) instead. Note: Elastic's separate “Custom HTTP Endpoint” integration will not work for this — it requires a JSON body and rejects plain text.</w:t>
      </w:r>
    </w:p>
    <w:p>
      <w:pPr>
        <w:pStyle w:val="Heading2"/>
      </w:pPr>
      <w:r>
        <w:rPr>
          <w:rFonts w:ascii="Calibri" w:hAnsi="Calibri"/>
          <w:b/>
          <w:color w:val="2A52B8"/>
          <w:sz w:val="30"/>
        </w:rPr>
        <w:t>Graylog</w:t>
      </w:r>
    </w:p>
    <w:p>
      <w:r>
        <w:t>Graylog's GELF HTTP input requires a specific JSON structure and cannot accept this. Its separate Raw HTTP input can.</w:t>
      </w:r>
    </w:p>
    <w:p>
      <w:pPr>
        <w:pStyle w:val="ListNumber"/>
      </w:pPr>
      <w:r>
        <w:t>System → Inputs → select “Raw HTTP Input” → Launch new input.</w:t>
      </w:r>
    </w:p>
    <w:p>
      <w:pPr>
        <w:pStyle w:val="ListNumber"/>
      </w:pPr>
      <w:r>
        <w:t>Set Bind Address and Port (enable TLS if you want HTTPS).</w:t>
      </w:r>
    </w:p>
    <w:p>
      <w:pPr>
        <w:pStyle w:val="ListNumber"/>
      </w:pPr>
      <w:r>
        <w:t>Set “Authorization Header Value” to exactly Bearer, followed by a space, then the token you give Aman — for example: Bearer a1b2c3d4. This is what makes Graylog check the token instead of accepting requests from anyone who finds the URL.</w:t>
      </w:r>
    </w:p>
    <w:p>
      <w:pPr>
        <w:pStyle w:val="ListNumber"/>
      </w:pPr>
      <w:r>
        <w:t>Save.</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https://&lt;your-graylog-host&gt;:&lt;port&gt;/raw</w:t>
            </w:r>
          </w:p>
        </w:tc>
      </w:tr>
    </w:tbl>
    <w:p/>
    <w:p>
      <w:pPr>
        <w:pStyle w:val="Heading2"/>
      </w:pPr>
      <w:r>
        <w:rPr>
          <w:rFonts w:ascii="Calibri" w:hAnsi="Calibri"/>
          <w:b/>
          <w:color w:val="2A52B8"/>
          <w:sz w:val="30"/>
        </w:rPr>
        <w:t>Sumo Logic</w:t>
      </w:r>
    </w:p>
    <w:p>
      <w:pPr>
        <w:pStyle w:val="ListNumber"/>
      </w:pPr>
      <w:r>
        <w:t>Create a Hosted Collector with an HTTP Logs and Metrics Source.</w:t>
      </w:r>
    </w:p>
    <w:p>
      <w:pPr>
        <w:pStyle w:val="ListNumber"/>
      </w:pPr>
      <w:r>
        <w:t>Copy the unique URL Sumo Logic generates for that source.</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the URL from step 2, shaped like https://&lt;endpoint&gt;/receiver/v1/http/&lt;code&gt;</w:t>
            </w:r>
          </w:p>
        </w:tc>
      </w:tr>
    </w:tbl>
    <w:p/>
    <w:p>
      <w:r>
        <w:t>That URL is itself the credential — treat it like a password. Sumo Logic does not check the separate auth token Aman asks for, so any placeholder value there is fine.</w:t>
      </w:r>
    </w:p>
    <w:p>
      <w:pPr>
        <w:pStyle w:val="Heading2"/>
      </w:pPr>
      <w:r>
        <w:rPr>
          <w:rFonts w:ascii="Calibri" w:hAnsi="Calibri"/>
          <w:b/>
          <w:color w:val="2A52B8"/>
          <w:sz w:val="30"/>
        </w:rPr>
        <w:t>CrowdStrike Falcon LogScale</w:t>
      </w:r>
    </w:p>
    <w:p>
      <w:pPr>
        <w:pStyle w:val="ListNumber"/>
      </w:pPr>
      <w:r>
        <w:t>Create an ingest token in LogScale, scoped to the repository this data should land in.</w:t>
      </w:r>
    </w:p>
    <w:tbl>
      <w:tblPr>
        <w:tblStyle w:val="TableGrid"/>
        <w:tblW w:type="auto" w:w="0"/>
        <w:tblLook w:firstColumn="1" w:firstRow="1" w:lastColumn="0" w:lastRow="0" w:noHBand="0" w:noVBand="1" w:val="04A0"/>
      </w:tblPr>
      <w:tblGrid>
        <w:gridCol w:w="4320"/>
        <w:gridCol w:w="4320"/>
      </w:tblGrid>
      <w:tr>
        <w:tc>
          <w:tcPr>
            <w:tcW w:type="dxa" w:w="4320"/>
          </w:tcPr>
          <w:p>
            <w:r/>
            <w:r>
              <w:rPr>
                <w:b/>
                <w:color w:val="1A2733"/>
                <w:sz w:val="21"/>
              </w:rPr>
              <w:t>Webhook URL</w:t>
            </w:r>
          </w:p>
        </w:tc>
        <w:tc>
          <w:tcPr>
            <w:tcW w:type="dxa" w:w="4320"/>
          </w:tcPr>
          <w:p>
            <w:r/>
            <w:r>
              <w:rPr>
                <w:rFonts w:ascii="SF Mono" w:hAnsi="SF Mono"/>
                <w:sz w:val="21"/>
              </w:rPr>
              <w:t>https://&lt;your-logscale-host&gt;/api/v1/ingest/hec/raw</w:t>
            </w:r>
          </w:p>
        </w:tc>
      </w:tr>
      <w:tr>
        <w:tc>
          <w:tcPr>
            <w:tcW w:type="dxa" w:w="4320"/>
          </w:tcPr>
          <w:p>
            <w:r/>
            <w:r>
              <w:rPr>
                <w:b/>
                <w:color w:val="1A2733"/>
                <w:sz w:val="21"/>
              </w:rPr>
              <w:t>Auth token</w:t>
            </w:r>
          </w:p>
        </w:tc>
        <w:tc>
          <w:tcPr>
            <w:tcW w:type="dxa" w:w="4320"/>
          </w:tcPr>
          <w:p>
            <w:r/>
            <w:r>
              <w:rPr>
                <w:rFonts w:ascii="Calibri" w:hAnsi="Calibri"/>
                <w:sz w:val="21"/>
              </w:rPr>
              <w:t>the ingest token from step 1</w:t>
            </w:r>
          </w:p>
        </w:tc>
      </w:tr>
    </w:tbl>
    <w:p/>
    <w:p>
      <w:r>
        <w:t>This uses the same login format Aman sends by default, so no extra configuration is needed on Aman's side.</w:t>
      </w:r>
    </w:p>
    <w:p>
      <w:pPr>
        <w:pStyle w:val="Heading2"/>
      </w:pPr>
      <w:r>
        <w:rPr>
          <w:rFonts w:ascii="Calibri" w:hAnsi="Calibri"/>
          <w:b/>
          <w:color w:val="2A52B8"/>
          <w:sz w:val="30"/>
        </w:rPr>
        <w:t>Datadog — not ready yet</w:t>
      </w:r>
    </w:p>
    <w:p>
      <w:r>
        <w:t>Datadog's Logs API does have a way to accept this exact plain-text format. However, it requires the credential in a header named DD-API-KEY, and Aman's delivery does not yet support sending a credential under that header name — only the more common Authorization header. This integration is not usable yet. Contact your Aman representative if you need Datadog specifically.</w:t>
      </w:r>
    </w:p>
    <w:p>
      <w:pPr>
        <w:pStyle w:val="Heading2"/>
      </w:pPr>
      <w:r>
        <w:rPr>
          <w:rFonts w:ascii="Calibri" w:hAnsi="Calibri"/>
          <w:b/>
          <w:color w:val="2A52B8"/>
          <w:sz w:val="30"/>
        </w:rPr>
        <w:t>Wazuh — needs a relay you build</w:t>
      </w:r>
    </w:p>
    <w:p>
      <w:r>
        <w:t>Wazuh's real alerting path only accepts syslog over TCP or UDP, not HTTP, and its indexer's API requires a different, specific JSON format. Neither can accept this webhook directly. If you need this integration, you would stand up a small receiver of your own that accepts Aman's webhook and forwards the data into your Wazuh manager over syslog. Contact your Aman representative to discuss this.</w:t>
      </w:r>
    </w:p>
    <w:p>
      <w:pPr>
        <w:pStyle w:val="Heading2"/>
      </w:pPr>
      <w:r>
        <w:rPr>
          <w:rFonts w:ascii="Calibri" w:hAnsi="Calibri"/>
          <w:b/>
          <w:color w:val="2A52B8"/>
          <w:sz w:val="30"/>
        </w:rPr>
        <w:t>Microsoft Sentinel — needs a relay you build</w:t>
      </w:r>
    </w:p>
    <w:p>
      <w:r>
        <w:t>Sentinel's ingestion API requires a specific JSON structure matching a table schema you define, and cannot accept this format directly. The standard way around this is a small Azure Function or Logic App with an HTTP trigger that receives Aman's webhook, wraps it as JSON, and forwards it into Sentinel via that ingestion API. Contact your Aman representative if you'd like help scoping this.</w:t>
      </w:r>
    </w:p>
    <w:p>
      <w:pPr>
        <w:pStyle w:val="Heading2"/>
      </w:pPr>
      <w:r>
        <w:rPr>
          <w:rFonts w:ascii="Calibri" w:hAnsi="Calibri"/>
          <w:b/>
          <w:color w:val="2A52B8"/>
          <w:sz w:val="30"/>
        </w:rPr>
        <w:t>Anything else</w:t>
      </w:r>
    </w:p>
    <w:p>
      <w:r>
        <w:t>Any endpoint that can accept an HTTPS POST request and read a plain-text body can receive this webhook, even if it isn't named above — check your platform's documentation for terms like “HTTP input,” “webhook,” or “custom log source.”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