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00 MASTER AGENT INSTRUCTIONS</w:t>
      </w:r>
    </w:p>
    <w:p>
      <w:r>
        <w:t>Purpose</w:t>
        <w:br/>
        <w:t>This is the operating contract for AI-assisted development of Auriva BMS.</w:t>
      </w:r>
    </w:p>
    <w:p>
      <w:r>
        <w:t>Source-of-truth order</w:t>
        <w:br/>
        <w:t>1. Actual repository source/configuration.</w:t>
        <w:br/>
        <w:t>2. Verified backend/API runtime behavior.</w:t>
        <w:br/>
        <w:t>3. docs/ai documentation.</w:t>
        <w:br/>
        <w:t>4. Older AI notes only when consistent with current evidence.</w:t>
      </w:r>
    </w:p>
    <w:p>
      <w:r>
        <w:t>Non-negotiable rules</w:t>
        <w:br/>
        <w:t>• Preserve approved UI unless redesign is explicitly requested.</w:t>
        <w:br/>
        <w:t>• Do not start broad feature development before critical refactoring gates pass.</w:t>
        <w:br/>
        <w:t>• Verify references before deleting *_old.dart or orphaned files.</w:t>
        <w:br/>
        <w:t>• Continue using GetX; do not introduce another state-management architecture.</w:t>
        <w:br/>
        <w:t>• Separate UI, controller orchestration, data access, and pure business rules.</w:t>
        <w:br/>
        <w:t>• Prefer Controller → Repository/Feature Service → ApiService → Backend.</w:t>
        <w:br/>
        <w:t>• Never invent API fields, endpoints, models, permissions, or backend behavior.</w:t>
        <w:br/>
        <w:t>• Do not change invoice/quotation calculations without approval and regression tests.</w:t>
        <w:br/>
        <w:t>• Mark unknown facts as VERIFY IN REPOSITORY.</w:t>
        <w:br/>
        <w:t>• Update the AI changelog after meaningful implementation.</w:t>
      </w:r>
    </w:p>
    <w:p>
      <w:r>
        <w:t>Required workflow</w:t>
        <w:br/>
        <w:t>Read relevant docs → inspect repository → identify exact scope → plan minimal change → implement → format/analyze/test → review diff → update docs → report verification and risks.</w:t>
      </w:r>
    </w:p>
    <w:p>
      <w:r>
        <w:t>Current critical focus</w:t>
        <w:br/>
        <w:t>Invoices and Quotations have the largest documented technical debt. Routing consistency and automated tests are also critical.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