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Auriva BMS</w:t>
      </w:r>
    </w:p>
    <w:p>
      <w:pPr>
        <w:pStyle w:val="Heading1"/>
      </w:pPr>
      <w:r>
        <w:t>02 CURRENT STATE</w:t>
      </w:r>
    </w:p>
    <w:p>
      <w:r>
        <w:t>Audit date: 2026-09-23</w:t>
      </w:r>
    </w:p>
    <w:p>
      <w:r>
        <w:t>Current state</w:t>
        <w:br/>
        <w:t>Flutter + GetX, feature-based modular structure, responsive navigation, REST backend, Firebase monitoring, and OneSignal.</w:t>
      </w:r>
    </w:p>
    <w:p>
      <w:r>
        <w:t>Major findings</w:t>
        <w:br/>
        <w:t>• Invoices screen: ~147KB.</w:t>
        <w:br/>
        <w:t>• Quotations screen: ~211KB.</w:t>
        <w:br/>
        <w:t>• Old invoice screen: ~286KB.</w:t>
        <w:br/>
        <w:t>• Invoices/Quotations mix UI, state, validation and business logic.</w:t>
        <w:br/>
        <w:t>• Named routes exist, but direct Get.to() is used extensively.</w:t>
        <w:br/>
        <w:t>• Tests are essentially absent.</w:t>
        <w:br/>
        <w:t>• Audit reports InvoiceController using limit=1000.</w:t>
        <w:br/>
        <w:t>• Authentication, Main Layout, Theming, Localization, Notifications/Analytics are reported completed.</w:t>
        <w:br/>
        <w:t>• Invoices, Quotations, Clients, Dashboard and Profile are reported partial.</w:t>
      </w:r>
    </w:p>
    <w:p>
      <w:r>
        <w:t>Evidence gaps</w:t>
        <w:br/>
        <w:t>The supplied audit does not contain complete API schemas, complete model inventory, complete route inventory, full screen inventory, or actual automated test results. These must be verified from the repository.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