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04 ARCHITECTURE</w:t>
      </w:r>
    </w:p>
    <w:p>
      <w:r>
        <w:t>Current</w:t>
        <w:br/>
        <w:t>Flutter UI → GetX Controllers → ApiService → REST Backend.</w:t>
      </w:r>
    </w:p>
    <w:p>
      <w:r>
        <w:t>Target</w:t>
        <w:br/>
        <w:t>Screen/Widget → GetX Controller → Feature Repository/Service → ApiService → Backend.</w:t>
        <w:br/>
        <w:t>Pure business rules should live in independently testable calculators/validators/mappers.</w:t>
      </w:r>
    </w:p>
    <w:p>
      <w:r>
        <w:t>Responsibilities</w:t>
        <w:br/>
        <w:t>UI: rendering and interaction.</w:t>
        <w:br/>
        <w:t>Controller: state and orchestration.</w:t>
        <w:br/>
        <w:t>Repository/Service: feature data operations.</w:t>
        <w:br/>
        <w:t>ApiService: transport, headers, token, common response handling.</w:t>
        <w:br/>
        <w:t>Model: data and serialization.</w:t>
        <w:br/>
        <w:t>Calculator/Validator: pure business rules.</w:t>
      </w:r>
    </w:p>
    <w:p>
      <w:r>
        <w:t>Important correction</w:t>
        <w:br/>
        <w:t>The audit recommends putting all API calls and validation strictly in controllers. The professional target is more maintainable: controllers orchestrate, while pure rules and data-access boundaries remain independently testable.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